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4E3" w:rsidRPr="00C244E3" w:rsidRDefault="00C244E3" w:rsidP="00C244E3">
      <w:pPr>
        <w:widowControl w:val="0"/>
        <w:shd w:val="clear" w:color="auto" w:fill="FFFFFF"/>
        <w:autoSpaceDE w:val="0"/>
        <w:autoSpaceDN w:val="0"/>
        <w:adjustRightInd w:val="0"/>
        <w:spacing w:after="0" w:line="370" w:lineRule="exact"/>
        <w:ind w:left="1418" w:right="1786" w:firstLine="10"/>
        <w:jc w:val="center"/>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32"/>
          <w:szCs w:val="32"/>
          <w:lang w:eastAsia="hr-HR"/>
        </w:rPr>
        <w:t>OPERATIVNI PROGRAM U OKVIRU CILJA INVESTICIJA ZA RAST I ZAPOŠLJAVANJE</w:t>
      </w:r>
    </w:p>
    <w:p w:rsidR="00C244E3" w:rsidRPr="00C244E3" w:rsidRDefault="00C244E3" w:rsidP="00C244E3">
      <w:pPr>
        <w:widowControl w:val="0"/>
        <w:autoSpaceDE w:val="0"/>
        <w:autoSpaceDN w:val="0"/>
        <w:adjustRightInd w:val="0"/>
        <w:spacing w:after="34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5600"/>
      </w:tblGrid>
      <w:tr w:rsidR="00C244E3" w:rsidRPr="00C244E3" w:rsidTr="00C244E3">
        <w:trPr>
          <w:trHeight w:hRule="exact" w:val="29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CCI</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4"/>
                <w:sz w:val="24"/>
                <w:szCs w:val="24"/>
                <w:lang w:eastAsia="hr-HR"/>
              </w:rPr>
              <w:t>2014HR16M1OP001</w:t>
            </w:r>
          </w:p>
        </w:tc>
      </w:tr>
      <w:tr w:rsidR="00C244E3" w:rsidRPr="00C244E3" w:rsidTr="00C244E3">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4"/>
                <w:sz w:val="24"/>
                <w:szCs w:val="24"/>
                <w:lang w:eastAsia="hr-HR"/>
              </w:rPr>
              <w:t>Naslov</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69" w:lineRule="exact"/>
              <w:ind w:right="32"/>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 xml:space="preserve">Operativni program Konkurentnost i kohezija </w:t>
            </w:r>
            <w:r w:rsidRPr="00C244E3">
              <w:rPr>
                <w:rFonts w:ascii="Times New Roman" w:eastAsia="Times New Roman" w:hAnsi="Times New Roman" w:cs="Times New Roman"/>
                <w:color w:val="000000"/>
                <w:spacing w:val="-1"/>
                <w:sz w:val="24"/>
                <w:szCs w:val="24"/>
                <w:lang w:eastAsia="hr-HR"/>
              </w:rPr>
              <w:t>2014. – 2020.</w:t>
            </w:r>
          </w:p>
        </w:tc>
      </w:tr>
      <w:tr w:rsidR="00C244E3" w:rsidRPr="00C244E3" w:rsidTr="00C244E3">
        <w:trPr>
          <w:trHeight w:hRule="exact" w:val="28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4"/>
                <w:sz w:val="24"/>
                <w:szCs w:val="24"/>
                <w:lang w:eastAsia="hr-HR"/>
              </w:rPr>
              <w:t>Inačica</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9"/>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1.0</w:t>
            </w:r>
          </w:p>
        </w:tc>
      </w:tr>
      <w:tr w:rsidR="00C244E3" w:rsidRPr="00C244E3" w:rsidTr="00C244E3">
        <w:trPr>
          <w:trHeight w:hRule="exact" w:val="27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Prva godina</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4"/>
                <w:szCs w:val="24"/>
                <w:lang w:eastAsia="hr-HR"/>
              </w:rPr>
              <w:t>2014.</w:t>
            </w:r>
          </w:p>
        </w:tc>
      </w:tr>
      <w:tr w:rsidR="00C244E3" w:rsidRPr="00C244E3" w:rsidTr="00C244E3">
        <w:trPr>
          <w:trHeight w:hRule="exact" w:val="28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Zadnja godina</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4"/>
                <w:szCs w:val="24"/>
                <w:lang w:eastAsia="hr-HR"/>
              </w:rPr>
              <w:t>2020.</w:t>
            </w:r>
          </w:p>
        </w:tc>
      </w:tr>
      <w:tr w:rsidR="00C244E3" w:rsidRPr="00C244E3" w:rsidTr="00C244E3">
        <w:trPr>
          <w:trHeight w:hRule="exact" w:val="52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Prihvatljivo od</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52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Prihvatljivo do</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52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Broj odluke Europske komisije</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51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3"/>
                <w:sz w:val="24"/>
                <w:szCs w:val="24"/>
                <w:lang w:eastAsia="hr-HR"/>
              </w:rPr>
              <w:t>Datum odluke Europske komisije</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56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Broj odluke države članice o izmjenama i dopunama</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55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8" w:lineRule="exact"/>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Datum odluke države članice o izmjenama i dopunama</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933"/>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83" w:lineRule="exact"/>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Datum stupanja na snagu odluke države članice o izmjenama i dopunama</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57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8" w:lineRule="exact"/>
              <w:ind w:left="10"/>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Regija NUTS obuhvaćena operativnim programom</w:t>
            </w:r>
          </w:p>
        </w:tc>
        <w:tc>
          <w:tcPr>
            <w:tcW w:w="5600"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HR - HRVATSKA</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headerReference w:type="even" r:id="rId9"/>
          <w:headerReference w:type="default" r:id="rId10"/>
          <w:footerReference w:type="even" r:id="rId11"/>
          <w:footerReference w:type="default" r:id="rId12"/>
          <w:headerReference w:type="first" r:id="rId13"/>
          <w:footerReference w:type="first" r:id="rId14"/>
          <w:type w:val="continuous"/>
          <w:pgSz w:w="11909" w:h="16834"/>
          <w:pgMar w:top="1248"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r w:rsidRPr="00C244E3">
        <w:rPr>
          <w:rFonts w:ascii="Arial" w:eastAsia="Times New Roman" w:hAnsi="Arial" w:cs="Arial"/>
          <w:sz w:val="20"/>
          <w:szCs w:val="20"/>
          <w:lang w:eastAsia="hr-HR"/>
        </w:rPr>
        <w:br w:type="column"/>
      </w: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248" w:right="360" w:bottom="360" w:left="730" w:header="720" w:footer="720" w:gutter="0"/>
          <w:cols w:num="2" w:space="720" w:equalWidth="0">
            <w:col w:w="720" w:space="9379"/>
            <w:col w:w="720"/>
          </w:cols>
          <w:noEndnote/>
        </w:sectPr>
      </w:pPr>
    </w:p>
    <w:p w:rsidR="00C244E3" w:rsidRPr="00C244E3" w:rsidRDefault="00C244E3" w:rsidP="009B2E82">
      <w:pPr>
        <w:widowControl w:val="0"/>
        <w:shd w:val="clear" w:color="auto" w:fill="FFFFFF"/>
        <w:autoSpaceDE w:val="0"/>
        <w:autoSpaceDN w:val="0"/>
        <w:adjustRightInd w:val="0"/>
        <w:spacing w:after="0" w:line="274" w:lineRule="exact"/>
        <w:ind w:left="826" w:right="1325"/>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3"/>
          <w:sz w:val="24"/>
          <w:szCs w:val="24"/>
          <w:lang w:eastAsia="hr-HR"/>
        </w:rPr>
        <w:lastRenderedPageBreak/>
        <w:t>1. STRATEGIJA ZA DOPRINOS OPERATIVNOG PROGRAMA STRATEGIJI UNIJE ZA PAMETAN, ODRŽIV I UKLJUČIV RAST I OSTVARENJE GOSPODARSKE, DRUŠTVENE I TERITORIJALNE KOHEZIJE</w:t>
      </w:r>
    </w:p>
    <w:p w:rsidR="00C244E3" w:rsidRPr="00C244E3" w:rsidRDefault="00C244E3" w:rsidP="009B2E82">
      <w:pPr>
        <w:widowControl w:val="0"/>
        <w:shd w:val="clear" w:color="auto" w:fill="FFFFFF"/>
        <w:autoSpaceDE w:val="0"/>
        <w:autoSpaceDN w:val="0"/>
        <w:adjustRightInd w:val="0"/>
        <w:spacing w:before="518" w:after="0" w:line="274" w:lineRule="exact"/>
        <w:ind w:left="826" w:right="1325"/>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1.1 Strategija za doprinos operativnog programa strategiji Unije za pametan, održiv i uključiv rast i ostvarenje gospodarske, društvene i teritorijalne kohezije</w:t>
      </w:r>
    </w:p>
    <w:p w:rsidR="00C244E3" w:rsidRPr="00C244E3" w:rsidRDefault="00C244E3" w:rsidP="009B2E82">
      <w:pPr>
        <w:widowControl w:val="0"/>
        <w:shd w:val="clear" w:color="auto" w:fill="FFFFFF"/>
        <w:autoSpaceDE w:val="0"/>
        <w:autoSpaceDN w:val="0"/>
        <w:adjustRightInd w:val="0"/>
        <w:spacing w:before="514" w:after="0" w:line="274"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1.1.1 Opis strategije programa za provedbu strategije Unije za pametan, održiv i uključiv rast te za postizanje gospodarske, društvene i teritorijalne kohezije</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115"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Uvod</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Temelj Operativnog programa Konkurentnost i kohezija (OPKK) 2014. - 2020. jest analiza socioekonomskih okolnosti, utvrđenih prepreka za rast, izazova i razvojnih potreba u Hrvatskoj, u kontekstu Sporazuma o partnerstvu (SP), relevantnih strateških dokumenata Unije i država članica, njihovih povezanih ciljeva i temeljnih strateških odredaba.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Analiza ukazuje na negativne učinke gospodarske recesije uslijed koje se od 2008. godine razina BDP-a smanjila za više od 10 %. Glavni izazovi su niska konkurentnost gospodarstva, visoka nezaposlenost, raskorak između obrazovnog sustava i ekonomskih potreba, nedostatna infrastruktura i usluge gospodarskih i javnih usluga. Regionalni nerazmjeri su također prisutni, uzrokovani zemljopisnim i raznim socioekonomskim čimbenicima. Potrebno je pozabaviti se mnogim ključnim izazovima kako bi se pridonijelo ostvarivanju ciljeva Europe 2020. i nacionalnim programima reformi (NPR) predviđenih za 2014. godinu i buduća razdoblja.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U tom pogledu, Hrvatska je posvećena postizanju bržeg i naprednijeg pametnog rasta, a održivi i uravnoteženi gospodarski i društveni razvoj cijele zemlje potreban je kako bi se osigurala prihvatljiva kvaliteta življenja u svim regijama, usporediva s prosjekom Europske unije.</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OPKK se sufinancira iz Europskog fonda za regionalni razvoj (EFRR) i Kohezijskog fonda (KF), a njegova se strategija temelji na koncentraciji ulaganja u 9 tematskih ciljeva (TC) zajedničkog Strateškog okvira (TC 1, TC 2, TC 3, TC 4, TC 5, TC 6, TC 7, TC 9 i TC 10) i njihovim specifičnim investicijskim prioritetima (IP), s daljnjim fokusom na konkretne ciljeve (KC) koje je potrebno ostvariti. Neke aktivnosti OPKK-a dopunjene su ulaganjima u okviru Operativnog programa Učinkoviti ljudski resursi 2014. - 2020. (OPEHR), sufinanciranog iz Europskog socijalnog fonda (ESF). Također će se primjenjivati načelo potpomaganja uravnoteženog regionalnog razvoja kao horizontalnog prioriteta.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Kako bi se postigli spomenuti ciljevi, raspoloživa sredstva EFRR-a i KF-a u okviru OPKK-a raspoređena su na sljedeća prioritetna područja</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274" w:after="0" w:line="240" w:lineRule="auto"/>
        <w:ind w:left="1214"/>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Jačanje gospodarstva primjenom istraživanja i inovacija</w:t>
      </w:r>
      <w:r w:rsidRPr="00C244E3">
        <w:rPr>
          <w:rFonts w:ascii="Arial" w:eastAsia="Times New Roman" w:hAnsi="Arial" w:cs="Arial"/>
          <w:sz w:val="20"/>
          <w:szCs w:val="20"/>
          <w:lang w:eastAsia="hr-HR"/>
        </w:rPr>
        <w:t xml:space="preserve"> </w:t>
      </w:r>
    </w:p>
    <w:p w:rsidR="00C244E3" w:rsidRPr="00C244E3" w:rsidRDefault="00C244E3" w:rsidP="009B2E82">
      <w:pPr>
        <w:widowControl w:val="0"/>
        <w:shd w:val="clear" w:color="auto" w:fill="FFFFFF"/>
        <w:tabs>
          <w:tab w:val="left" w:pos="5318"/>
          <w:tab w:val="left" w:pos="10099"/>
        </w:tabs>
        <w:autoSpaceDE w:val="0"/>
        <w:autoSpaceDN w:val="0"/>
        <w:adjustRightInd w:val="0"/>
        <w:spacing w:before="413" w:after="0" w:line="475" w:lineRule="exact"/>
        <w:jc w:val="both"/>
        <w:rPr>
          <w:rFonts w:ascii="Arial" w:eastAsia="Times New Roman" w:hAnsi="Arial" w:cs="Arial"/>
          <w:sz w:val="20"/>
          <w:szCs w:val="20"/>
          <w:lang w:eastAsia="hr-HR"/>
        </w:rPr>
        <w:sectPr w:rsidR="00C244E3" w:rsidRPr="00C244E3">
          <w:pgSz w:w="11909" w:h="16834"/>
          <w:pgMar w:top="1313" w:right="435" w:bottom="360" w:left="770" w:header="720" w:footer="720" w:gutter="0"/>
          <w:cols w:space="60"/>
          <w:noEndnote/>
        </w:sectPr>
      </w:pPr>
    </w:p>
    <w:p w:rsidR="00C244E3" w:rsidRPr="00C244E3" w:rsidRDefault="00C244E3" w:rsidP="009B2E82">
      <w:pPr>
        <w:widowControl w:val="0"/>
        <w:numPr>
          <w:ilvl w:val="0"/>
          <w:numId w:val="1"/>
        </w:numPr>
        <w:shd w:val="clear" w:color="auto" w:fill="FFFFFF"/>
        <w:tabs>
          <w:tab w:val="left" w:pos="1598"/>
        </w:tabs>
        <w:autoSpaceDE w:val="0"/>
        <w:autoSpaceDN w:val="0"/>
        <w:adjustRightInd w:val="0"/>
        <w:spacing w:after="0" w:line="394" w:lineRule="exact"/>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lastRenderedPageBreak/>
        <w:t>Korištenje informacijske i komunikacijske tehnologije</w:t>
      </w:r>
    </w:p>
    <w:p w:rsidR="00C244E3" w:rsidRPr="00C244E3" w:rsidRDefault="00C244E3" w:rsidP="009B2E82">
      <w:pPr>
        <w:widowControl w:val="0"/>
        <w:numPr>
          <w:ilvl w:val="0"/>
          <w:numId w:val="1"/>
        </w:numPr>
        <w:shd w:val="clear" w:color="auto" w:fill="FFFFFF"/>
        <w:tabs>
          <w:tab w:val="left" w:pos="1598"/>
        </w:tabs>
        <w:autoSpaceDE w:val="0"/>
        <w:autoSpaceDN w:val="0"/>
        <w:adjustRightInd w:val="0"/>
        <w:spacing w:after="0" w:line="394" w:lineRule="exact"/>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pacing w:val="-1"/>
          <w:sz w:val="24"/>
          <w:szCs w:val="24"/>
          <w:lang w:eastAsia="hr-HR"/>
        </w:rPr>
        <w:t>Poslovna konkurentnost</w:t>
      </w:r>
    </w:p>
    <w:p w:rsidR="00C244E3" w:rsidRPr="00C244E3" w:rsidRDefault="00C244E3" w:rsidP="009B2E82">
      <w:pPr>
        <w:widowControl w:val="0"/>
        <w:numPr>
          <w:ilvl w:val="0"/>
          <w:numId w:val="1"/>
        </w:numPr>
        <w:shd w:val="clear" w:color="auto" w:fill="FFFFFF"/>
        <w:tabs>
          <w:tab w:val="left" w:pos="1598"/>
        </w:tabs>
        <w:autoSpaceDE w:val="0"/>
        <w:autoSpaceDN w:val="0"/>
        <w:adjustRightInd w:val="0"/>
        <w:spacing w:after="0" w:line="394" w:lineRule="exact"/>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Promicanje energetske učinkovitosti i obnovljivih izvora energije</w:t>
      </w:r>
    </w:p>
    <w:p w:rsidR="00C244E3" w:rsidRPr="00C244E3" w:rsidRDefault="00C244E3" w:rsidP="009B2E82">
      <w:pPr>
        <w:widowControl w:val="0"/>
        <w:numPr>
          <w:ilvl w:val="0"/>
          <w:numId w:val="1"/>
        </w:numPr>
        <w:shd w:val="clear" w:color="auto" w:fill="FFFFFF"/>
        <w:tabs>
          <w:tab w:val="left" w:pos="1598"/>
        </w:tabs>
        <w:autoSpaceDE w:val="0"/>
        <w:autoSpaceDN w:val="0"/>
        <w:adjustRightInd w:val="0"/>
        <w:spacing w:after="0" w:line="394" w:lineRule="exact"/>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Klimatske promjene i upravljanje rizicima</w:t>
      </w:r>
    </w:p>
    <w:p w:rsidR="00C244E3" w:rsidRPr="00C244E3" w:rsidRDefault="00C244E3" w:rsidP="009B2E82">
      <w:pPr>
        <w:widowControl w:val="0"/>
        <w:numPr>
          <w:ilvl w:val="0"/>
          <w:numId w:val="1"/>
        </w:numPr>
        <w:shd w:val="clear" w:color="auto" w:fill="FFFFFF"/>
        <w:tabs>
          <w:tab w:val="left" w:pos="1598"/>
        </w:tabs>
        <w:autoSpaceDE w:val="0"/>
        <w:autoSpaceDN w:val="0"/>
        <w:adjustRightInd w:val="0"/>
        <w:spacing w:after="0" w:line="394" w:lineRule="exact"/>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Zaštita okoliša i održivost resursa</w:t>
      </w:r>
    </w:p>
    <w:p w:rsidR="00C244E3" w:rsidRPr="00C244E3" w:rsidRDefault="00C244E3" w:rsidP="009B2E82">
      <w:pPr>
        <w:widowControl w:val="0"/>
        <w:numPr>
          <w:ilvl w:val="0"/>
          <w:numId w:val="1"/>
        </w:numPr>
        <w:shd w:val="clear" w:color="auto" w:fill="FFFFFF"/>
        <w:tabs>
          <w:tab w:val="left" w:pos="1598"/>
        </w:tabs>
        <w:autoSpaceDE w:val="0"/>
        <w:autoSpaceDN w:val="0"/>
        <w:adjustRightInd w:val="0"/>
        <w:spacing w:after="0" w:line="394" w:lineRule="exact"/>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pacing w:val="-1"/>
          <w:sz w:val="24"/>
          <w:szCs w:val="24"/>
          <w:lang w:eastAsia="hr-HR"/>
        </w:rPr>
        <w:t>Povezanost i mobilnost</w:t>
      </w:r>
    </w:p>
    <w:p w:rsidR="00C244E3" w:rsidRPr="00C244E3" w:rsidRDefault="00C244E3" w:rsidP="009B2E82">
      <w:pPr>
        <w:widowControl w:val="0"/>
        <w:numPr>
          <w:ilvl w:val="0"/>
          <w:numId w:val="1"/>
        </w:numPr>
        <w:shd w:val="clear" w:color="auto" w:fill="FFFFFF"/>
        <w:tabs>
          <w:tab w:val="left" w:pos="1598"/>
        </w:tabs>
        <w:autoSpaceDE w:val="0"/>
        <w:autoSpaceDN w:val="0"/>
        <w:adjustRightInd w:val="0"/>
        <w:spacing w:after="0" w:line="394" w:lineRule="exact"/>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pacing w:val="-1"/>
          <w:sz w:val="24"/>
          <w:szCs w:val="24"/>
          <w:lang w:eastAsia="hr-HR"/>
        </w:rPr>
        <w:t>Socijalno uključivanje i zdravlje i</w:t>
      </w:r>
    </w:p>
    <w:p w:rsidR="00C244E3" w:rsidRPr="00C244E3" w:rsidRDefault="00C244E3" w:rsidP="009B2E82">
      <w:pPr>
        <w:widowControl w:val="0"/>
        <w:numPr>
          <w:ilvl w:val="0"/>
          <w:numId w:val="1"/>
        </w:numPr>
        <w:shd w:val="clear" w:color="auto" w:fill="FFFFFF"/>
        <w:tabs>
          <w:tab w:val="left" w:pos="1598"/>
        </w:tabs>
        <w:autoSpaceDE w:val="0"/>
        <w:autoSpaceDN w:val="0"/>
        <w:adjustRightInd w:val="0"/>
        <w:spacing w:after="0" w:line="394" w:lineRule="exact"/>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pacing w:val="-1"/>
          <w:sz w:val="24"/>
          <w:szCs w:val="24"/>
          <w:lang w:eastAsia="hr-HR"/>
        </w:rPr>
        <w:t>Obrazovanje, vještine i cjeloživotno učenje.</w:t>
      </w:r>
    </w:p>
    <w:p w:rsidR="00C244E3" w:rsidRPr="00C244E3" w:rsidRDefault="00C244E3" w:rsidP="009B2E82">
      <w:pPr>
        <w:widowControl w:val="0"/>
        <w:shd w:val="clear" w:color="auto" w:fill="FFFFFF"/>
        <w:autoSpaceDE w:val="0"/>
        <w:autoSpaceDN w:val="0"/>
        <w:adjustRightInd w:val="0"/>
        <w:spacing w:before="259" w:after="0" w:line="274" w:lineRule="exact"/>
        <w:ind w:left="816" w:right="922"/>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Sljedeći odlomci sadržavaju opširniji opis potreba i izazova na temelju kojih su definirana prioritetna područja, kao i njihov odnos prema Strategiji EU 2020 i drugim relevantnim strateškim dokumentima.</w:t>
      </w:r>
    </w:p>
    <w:p w:rsidR="00C244E3" w:rsidRPr="00C244E3" w:rsidRDefault="00C244E3" w:rsidP="009B2E82">
      <w:pPr>
        <w:widowControl w:val="0"/>
        <w:shd w:val="clear" w:color="auto" w:fill="FFFFFF"/>
        <w:autoSpaceDE w:val="0"/>
        <w:autoSpaceDN w:val="0"/>
        <w:adjustRightInd w:val="0"/>
        <w:spacing w:before="278"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24"/>
          <w:szCs w:val="24"/>
          <w:lang w:eastAsia="hr-HR"/>
        </w:rPr>
        <w:t>Istraživanje, tehnološki razvoj i inovacije</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Znanstvene organizacije u Hrvatskoj posjeduju dobar znanstveni potencijal i predstavljaju čvrstu znanstvenu osnovu za razvoj konkurentnog gospodarstva vođenog inovacijama. Velika većina svih znanstvenika zaposlena je u javnom sektoru koji predstavlja ključnu istraživačku infrastrukturu raspoloživu unutar Hrvatske. Međutim, s ciljem postizanja konkurentnog gospodarstva usmjerenog k inovacijama, potrebno je prevladati nekoliko glavnih uočenih problema.</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Zastarjela oprema za istraživanje i razvoj te nerazvijena infrastruktura u javnom i privatnom istraživačko-razvojnom sektoru ne omogućuje provođenje istraživanja u skladu s međunarodnim normama, ograničavajući kvalitetu znanstveno-istraživačkih ishoda, rezultata i utjecaja, čineći tako Hrvatsku manje konkurentnom u usporedbi s prosjekom Europske unije. To predstavlja prepreku poboljšanju kvalitete i raspoloživosti njihovih usluga/istraživanja nužnim za  uspješnu integraciju u Europski istraživački prostor (EIP) i za konkurentnost na međunarodnoj razini. Slaba infrastruktura također je neprivlačna u smislu biranja karijere u istraživačkom sektoru</w:t>
      </w:r>
      <w:r>
        <w:rPr>
          <w:rFonts w:ascii="Times New Roman" w:eastAsia="Times New Roman" w:hAnsi="Times New Roman" w:cs="Times New Roman"/>
          <w:color w:val="000000"/>
          <w:sz w:val="24"/>
          <w:szCs w:val="24"/>
          <w:lang w:eastAsia="hr-HR"/>
        </w:rPr>
        <w:t xml:space="preserve"> </w:t>
      </w:r>
      <w:r w:rsidRPr="00C244E3">
        <w:rPr>
          <w:rFonts w:ascii="Times New Roman" w:eastAsia="Times New Roman" w:hAnsi="Times New Roman" w:cs="Times New Roman"/>
          <w:color w:val="000000"/>
          <w:sz w:val="24"/>
          <w:szCs w:val="24"/>
          <w:lang w:eastAsia="hr-HR"/>
        </w:rPr>
        <w:t>i negativno utječe na izvedbenu kvalitetu istraživanja i razvoja. Vrhunska kakvoća istraživanja ovisi o vrhunskim postrojenjima i znanstveno-istraživačkim infrastrukturama (ZII), uključujući e-infrastrukturu temeljenu na informacijsko-komunikacijskoj tehnologiji (eZII). Takva znanstveno-istraživačka infrastruktura privlači talente i stimulira inovacije i poslovne prilike. E-infrastruktura posebice omogućuje porast podatkovno-intenzivnog suradničkog istraživanja po zemljopisno raspoređenim timovima. Stoga je nužno ulagati i u njen razvoj. Nadalje, znanstvene organizacije nemaju dovoljno sredstava za provedbu istraživanja, kao ni za osposobljavanje djelatnika, što je vidljivo iz činjenice da su ulaganja usmjerena u istraživanje i razvoj u 2012. iznosila samo 0,75 % BDP-a, od čega je 0,42 % BDP-a uloženo iz javnih izvora, a 0,34 % iz privatnog sektora. Gospodarska kriza usporila je rast ulaganja u istraživanje i razvoj (Eurostatovi podaci o izdacima za istraživanje i razvoj - GERD), te ona stagniraju ili padaju od 2008. Postojeći znanstveno-istraživački potencijali i znanje ne koriste se na odgovarajući način (tj. transfer tehnologije), a prilagođavanje razvoju i potrebama gospodarstva na niskoj je razini.</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Planirane intervencije za jačanje istraživanja, tehnologije, razvoja i inovacija unutar investicijskog prioriteta 1a promicat će razvoj potencijala znanstvene djelatnosti i povećati sposobnosti znanstvenih organizacija za provedbu vrhunskih  istraživanja i suradnje između znanstvenog i poslovnog sektora. </w:t>
      </w:r>
    </w:p>
    <w:p w:rsidR="00C244E3" w:rsidRPr="00C244E3" w:rsidRDefault="00C244E3" w:rsidP="009B2E82">
      <w:pPr>
        <w:widowControl w:val="0"/>
        <w:shd w:val="clear" w:color="auto" w:fill="FFFFFF"/>
        <w:tabs>
          <w:tab w:val="left" w:pos="5299"/>
          <w:tab w:val="left" w:pos="10099"/>
        </w:tabs>
        <w:autoSpaceDE w:val="0"/>
        <w:autoSpaceDN w:val="0"/>
        <w:adjustRightInd w:val="0"/>
        <w:spacing w:before="806" w:after="0" w:line="355" w:lineRule="exact"/>
        <w:jc w:val="both"/>
        <w:rPr>
          <w:rFonts w:ascii="Arial" w:eastAsia="Times New Roman" w:hAnsi="Arial" w:cs="Arial"/>
          <w:sz w:val="20"/>
          <w:szCs w:val="20"/>
          <w:lang w:eastAsia="hr-HR"/>
        </w:rPr>
        <w:sectPr w:rsidR="00C244E3" w:rsidRPr="00C244E3">
          <w:pgSz w:w="11909" w:h="16834"/>
          <w:pgMar w:top="1142"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before="278" w:after="0" w:line="274" w:lineRule="exact"/>
        <w:ind w:left="821" w:right="7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lastRenderedPageBreak/>
        <w:t>Hrvatska srednja i velika poduzeća ulažu više od 90 % privatnih investicija u istraživanje i razvoj, dok velika poduzeća ulažu najveći udio, s više od 60 % investicija u istraživanje i razvoj. Nešto manje od 8 % privatnih ulaganja u istraživanje i razvoj dolazi iz mikro i malih poduzeća, pokazujući tako njihovu slabu uključenost u aktivnosti istraživanja i razvoja koje se smatraju prerizičnima i s nesigurnim ishodom. Zbog nedovoljne javne potpore znanstveno-istraživačkim aktivnostima i relativno niskog interesa poduzeća, ulaganja u razvoj istraživanja i inovacija proteklih godina stagniraju. Kako bi se promijenili negativni trendovi i stagnacija, predviđeno je korištenje ESI fondova; značajna potpora usmjerit će se na privatna ulaganja u razvoj istraživanja i inovacija, obuhvaćajući potporu i za unutarnje istraživačke aktivnosti poduzeća (uključujući mala i srednja poduzeća) i za nabavku znanstveno-istraživačkih usluga s ciljem pokretanja novih ili temeljno izmijenjenih postupaka i proizvoda. Aktivnosti istraživanja i razvoja, uz ostale aktivnosti povezane s uvođenjem inovacija u poduzeća, neophodne su da bi hrvatsko gospodarstvo postalo konkurentnije putem rasta produktivnosti poduzeća, pristupanja novim tržištima s većom dodanom vrijednošću i naposljetku dovođenjem do održivog zapošljavanja u kontekstu oštrog globalnog natjecanja.</w:t>
      </w:r>
    </w:p>
    <w:p w:rsidR="00C244E3" w:rsidRPr="00C244E3" w:rsidRDefault="00C244E3" w:rsidP="009B2E82">
      <w:pPr>
        <w:widowControl w:val="0"/>
        <w:shd w:val="clear" w:color="auto" w:fill="FFFFFF"/>
        <w:autoSpaceDE w:val="0"/>
        <w:autoSpaceDN w:val="0"/>
        <w:adjustRightInd w:val="0"/>
        <w:spacing w:before="278" w:after="0" w:line="274" w:lineRule="exact"/>
        <w:ind w:left="821" w:right="7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Utvrđene su potrebe i kapaciteti 12 hrvatskih industrijskih sektora s visokim potencijalom za rast. Vlada je omogućila kreiranje nacionalnog klastera konkurentnosti za svaki od tih sektora u okviru elaboracijskog postupka Strategije pametne specijalizacije (S3). Kvalitetna baza znanja, sposobni industrijski kapaciteti i dokazana akademska izvrsnost prepoznati su u četiri područja strategije S3: Zdravlje i kvaliteta življenja, Energija i održivi okoliš, Prijevoz i mobilnost, Sigurnost, Poljoprivredno-prehrambeno i bio-gospodarstvo. Nadalje, prepoznate prioritetne horizontalne teme strategije S3 su: ključne tehnologije koje potiču razvoj inovacija (KET), IKT i inženjerstvo, turizam, kreativne i kulturne industrije.</w:t>
      </w:r>
    </w:p>
    <w:p w:rsidR="00C244E3" w:rsidRPr="00C244E3" w:rsidRDefault="00C244E3" w:rsidP="009B2E82">
      <w:pPr>
        <w:widowControl w:val="0"/>
        <w:shd w:val="clear" w:color="auto" w:fill="FFFFFF"/>
        <w:autoSpaceDE w:val="0"/>
        <w:autoSpaceDN w:val="0"/>
        <w:adjustRightInd w:val="0"/>
        <w:spacing w:before="278" w:after="0" w:line="274" w:lineRule="exact"/>
        <w:ind w:left="821" w:right="7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Društveno-korisnainovacija je prilično novo područje za Hrvatsku i do sada postoji samo vrlo ograničeno iskustvo u njezinoj potpori i promicanju, uglavnom zahvaljujući angažmanu civilnog sektora. Stoga postoji potreba za intenzivnijom potporom i aktivnostima sa središnje razine, s ciljem stvaranja dugoročno održivog temelja razvoja socijalne inovacije.</w:t>
      </w:r>
    </w:p>
    <w:p w:rsidR="00C244E3" w:rsidRPr="00C244E3" w:rsidRDefault="00C244E3" w:rsidP="009B2E82">
      <w:pPr>
        <w:widowControl w:val="0"/>
        <w:shd w:val="clear" w:color="auto" w:fill="FFFFFF"/>
        <w:autoSpaceDE w:val="0"/>
        <w:autoSpaceDN w:val="0"/>
        <w:adjustRightInd w:val="0"/>
        <w:spacing w:before="278" w:after="0" w:line="274" w:lineRule="exact"/>
        <w:ind w:left="821" w:right="72"/>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Iz gornjeg opisa situacije u Hrvatskoj, s obzirom na istraživanje, razvoj i inovacije te poduzetničku aktivnost u tom području, a u kontekstu Strategije Europa 2020., potrebno je svladati sljedeće utvrđene probleme</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5" w:after="0" w:line="240" w:lineRule="auto"/>
        <w:ind w:left="1214" w:right="7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slaba kvaliteta i raspoloživost usluga/istraživanja znanstvenih organizacija te slaba kvaliteta IRI infrastrukture u javnim i privatnim znanstvenim organizacijama (ZO) i poduzećima;</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5" w:after="0" w:line="240" w:lineRule="auto"/>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nezadovoljavajuća razina sudjelovanja znanstvenih organizacija u međunarodnim i europskim projektima i programima;</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5" w:after="0" w:line="240" w:lineRule="auto"/>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nepovoljno okruženje za IR suradnju te promicanje IRI rezultata među poduzećima;</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5" w:after="0" w:line="240" w:lineRule="auto"/>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nedovoljna primjena novih tehnologija u poslovnom sektoru;</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5" w:after="0" w:line="240" w:lineRule="auto"/>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slab interes za promicanje društveno-korisnih inovacija</w:t>
      </w:r>
      <w:r w:rsidRPr="00C244E3">
        <w:rPr>
          <w:rFonts w:ascii="Times New Roman" w:eastAsia="Times New Roman" w:hAnsi="Times New Roman" w:cs="Times New Roman"/>
          <w:color w:val="000000"/>
          <w:spacing w:val="-1"/>
          <w:sz w:val="24"/>
          <w:szCs w:val="24"/>
          <w:lang w:eastAsia="hr-HR"/>
        </w:rPr>
        <w:t>.</w:t>
      </w:r>
      <w:r w:rsidRPr="00C244E3">
        <w:rPr>
          <w:rFonts w:ascii="Times New Roman" w:eastAsia="Times New Roman" w:hAnsi="Times New Roman" w:cs="Times New Roman"/>
          <w:color w:val="000000"/>
          <w:sz w:val="24"/>
          <w:szCs w:val="24"/>
          <w:lang w:eastAsia="hr-HR"/>
        </w:rPr>
        <w:t xml:space="preserve"> </w:t>
      </w:r>
    </w:p>
    <w:p w:rsidR="00C244E3" w:rsidRPr="00C244E3" w:rsidRDefault="00C244E3" w:rsidP="009B2E82">
      <w:pPr>
        <w:widowControl w:val="0"/>
        <w:shd w:val="clear" w:color="auto" w:fill="FFFFFF"/>
        <w:tabs>
          <w:tab w:val="left" w:pos="5299"/>
          <w:tab w:val="left" w:pos="10099"/>
        </w:tabs>
        <w:autoSpaceDE w:val="0"/>
        <w:autoSpaceDN w:val="0"/>
        <w:adjustRightInd w:val="0"/>
        <w:spacing w:before="893" w:after="0" w:line="355" w:lineRule="exact"/>
        <w:jc w:val="both"/>
        <w:rPr>
          <w:rFonts w:ascii="Arial" w:eastAsia="Times New Roman" w:hAnsi="Arial" w:cs="Arial"/>
          <w:sz w:val="20"/>
          <w:szCs w:val="20"/>
          <w:lang w:eastAsia="hr-HR"/>
        </w:rPr>
        <w:sectPr w:rsidR="00C244E3" w:rsidRPr="00C244E3">
          <w:pgSz w:w="11909" w:h="16834"/>
          <w:pgMar w:top="1188"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after="0" w:line="269"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lastRenderedPageBreak/>
        <w:t>Zaključno, glavni prioriteti financiranja koje je potrebno riješiti mjerama javne politike do 2020. godine, predviđeni u okviru Prioritetne osi 1, su:</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0" w:after="0" w:line="240" w:lineRule="auto"/>
        <w:ind w:left="1214"/>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organizacijska reforma znanstvenih  organizacija i modernizacija IR infrastrukture;</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0" w:after="0" w:line="240" w:lineRule="auto"/>
        <w:ind w:left="1214"/>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jačanje znanstvene izvrsnosti i uspješnosti;</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0" w:after="0" w:line="240" w:lineRule="auto"/>
        <w:ind w:left="1214"/>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 xml:space="preserve">kreiranje uvjeta za investicije poslovnog sektora u istraživanje, razvoj i inovacije, usmjeravajući fokus javnih </w:t>
      </w:r>
      <w:r w:rsidRPr="00C244E3">
        <w:rPr>
          <w:rFonts w:ascii="Times New Roman" w:eastAsia="Times New Roman" w:hAnsi="Times New Roman" w:cs="Times New Roman"/>
          <w:color w:val="000000"/>
          <w:sz w:val="24"/>
          <w:szCs w:val="24"/>
          <w:lang w:eastAsia="hr-HR"/>
        </w:rPr>
        <w:t xml:space="preserve">znanstvenih organizacija </w:t>
      </w:r>
      <w:r w:rsidRPr="00C244E3">
        <w:rPr>
          <w:rFonts w:ascii="Times New Roman" w:eastAsia="Times New Roman" w:hAnsi="Times New Roman" w:cs="Times New Roman"/>
          <w:color w:val="000000"/>
          <w:spacing w:val="-1"/>
          <w:sz w:val="24"/>
          <w:szCs w:val="24"/>
          <w:lang w:eastAsia="hr-HR"/>
        </w:rPr>
        <w:t>na primijenjena istraživanja koji odgovaraju potrebama industrije i gospodarstva;</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0" w:after="0" w:line="240" w:lineRule="auto"/>
        <w:ind w:left="1214"/>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podupiranje inovacija i prijenosa znanja;</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0" w:after="0" w:line="240" w:lineRule="auto"/>
        <w:ind w:left="1214"/>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potpora potrošnje za razvoj, istraživanje i inovacije u poduzećima radi povećanja ukupne razine potrošnje za istraživanja i razvoj;</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0" w:after="0" w:line="240" w:lineRule="auto"/>
        <w:ind w:left="1214"/>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stvaranje zajedničkog interesa u provedbi projekata razvoja, istraživanja i inovacija između institucija za istraživanje i razvoj, uključujući akademski sektor, tijela javne vlasti i poduzeća</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0" w:after="0" w:line="240" w:lineRule="auto"/>
        <w:ind w:left="1214"/>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kreiranje povoljnog okruženja za poduzeća na području razvoja, istraživanja i inovacija;</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10" w:after="0" w:line="240" w:lineRule="auto"/>
        <w:ind w:left="1214"/>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pacing w:val="-1"/>
          <w:sz w:val="24"/>
          <w:szCs w:val="24"/>
          <w:lang w:eastAsia="hr-HR"/>
        </w:rPr>
        <w:t>podrška provedbi društveno-korisnih inovacija</w:t>
      </w:r>
    </w:p>
    <w:p w:rsidR="00C244E3" w:rsidRPr="00C244E3" w:rsidRDefault="00C244E3" w:rsidP="009B2E82">
      <w:pPr>
        <w:widowControl w:val="0"/>
        <w:shd w:val="clear" w:color="auto" w:fill="FFFFFF"/>
        <w:autoSpaceDE w:val="0"/>
        <w:autoSpaceDN w:val="0"/>
        <w:adjustRightInd w:val="0"/>
        <w:spacing w:before="283" w:after="0" w:line="274"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Ulaganja iz ESI fondova u okviru Prioritetne osi 1 blisko se oslanjaju na stečena znanja iz prethodnog iskustava OPRK-a 2007. - 2013., predstavljajući dodatni korak u već odabranom smjeru. Ova ulaganja nastoje pridonijeti ostvarivanju strategije EU za pametne, održive i uključive ciljeve rasta i povećanju udjela bruto izdataka za istraživanje i razvoj (GERD) na nacionalnoj razini od 0,75 % na 1,4 % BDP-a do 2020. (kako je navedeno u Partnerskom sporazumu). Istovremeno, planira se povećanje poslovnih rashoda za istraživanje i razvoja (BERD) od 0,34 % -na 0,70 % BDP-a</w:t>
      </w:r>
      <w:r w:rsidRPr="00C244E3">
        <w:rPr>
          <w:rFonts w:ascii="Times New Roman" w:eastAsia="Times New Roman" w:hAnsi="Times New Roman" w:cs="Times New Roman"/>
          <w:color w:val="000000"/>
          <w:spacing w:val="-8"/>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40" w:lineRule="auto"/>
        <w:ind w:left="821"/>
        <w:jc w:val="both"/>
        <w:rPr>
          <w:rFonts w:ascii="Arial" w:eastAsia="Times New Roman" w:hAnsi="Arial" w:cs="Arial"/>
          <w:b/>
          <w:sz w:val="20"/>
          <w:szCs w:val="20"/>
          <w:lang w:eastAsia="hr-HR"/>
        </w:rPr>
      </w:pPr>
      <w:r w:rsidRPr="00C244E3">
        <w:rPr>
          <w:rFonts w:ascii="Times New Roman" w:eastAsia="Times New Roman" w:hAnsi="Times New Roman" w:cs="Times New Roman"/>
          <w:b/>
          <w:color w:val="000000"/>
          <w:sz w:val="24"/>
          <w:szCs w:val="24"/>
          <w:lang w:eastAsia="hr-HR"/>
        </w:rPr>
        <w:t>Korištenje informacijskih i komunikacijskih tehnologija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U Hrvatskoj, IKT sektor ima udio od 4,2 % ukupnog BDP-a, u kojem je zaposleno 2,2 % od aktivnog stanovništva. Hrvatska će nastojati provesti ambiciozne ciljeve navedene u Strategiji Europa 2020. i vodećoj inicijativi "Digitalna agenda za Europu".</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Jedan od glavnih identificiranih problema Hrvatske u sektoru IKT-a je širokopojasni pristup i pokrivenost mrežom sljedeće generacije, od kojih oba zaostaju za prosjekom Europske unije. U siječnju 2014., penetracija fiksnog širokopojasnog pristupa iznosila je 21,7 % (prosjek Europske unije 2013. godine je 29,8 %). Tijekom 2013., 63,6 % kućanstava u Hrvatskoj imalo je pristup Internetu (prosjek Europske unije iznosio je 76 % za 2013. godinu). Iako je Hrvatska već ostvarila dobru osnovnu širokopojasnu pokrivenost (97 % stanovništva u 2013.), ukupna pokrivenost pristupnom mrežom sljedeće generacije u Hrvatskoj iznosila je samo 33 % u 2013., što je pozicioniralo Hrvatsku daleko iza prosječne europske pokrivenosti pristupnom mrežom sljedeće generacije od 62 % u istoj godini. Sadašnja razina pokrivenosti pristupnom mrežom sljedeće generacije koncentrirana je na nekoliko gusto naseljenih područja u Hrvatskoj. S obzirom na to, značajan broj kućanstava, lokacija javne uprave, obrazovnih institucija i ustanova zdravstvene skrbi, kao i malih i srednjih poduzeća, nisu u mogućnosti pristupiti brzoj širokopojasnoj vezi i koristiti napredne IT usluge, čime se koči ujednačen regionalni razvoj u Hrvatskoj i eksploatiraju socioekonomske koristi vezane uz raspoloživost širokopojasnih pristupnih mreža sljedeće generacije.</w:t>
      </w:r>
      <w:r w:rsidRPr="00C244E3">
        <w:rPr>
          <w:rFonts w:ascii="Arial" w:eastAsia="Times New Roman" w:hAnsi="Arial" w:cs="Arial"/>
          <w:sz w:val="20"/>
          <w:szCs w:val="20"/>
          <w:lang w:eastAsia="hr-HR"/>
        </w:rPr>
        <w:t xml:space="preserve"> </w:t>
      </w:r>
    </w:p>
    <w:p w:rsidR="00C244E3" w:rsidRPr="00C244E3" w:rsidRDefault="00C244E3" w:rsidP="009B2E82">
      <w:pPr>
        <w:widowControl w:val="0"/>
        <w:shd w:val="clear" w:color="auto" w:fill="FFFFFF"/>
        <w:tabs>
          <w:tab w:val="left" w:pos="5290"/>
          <w:tab w:val="left" w:pos="10099"/>
        </w:tabs>
        <w:autoSpaceDE w:val="0"/>
        <w:autoSpaceDN w:val="0"/>
        <w:adjustRightInd w:val="0"/>
        <w:spacing w:before="806" w:after="0" w:line="355" w:lineRule="exact"/>
        <w:jc w:val="both"/>
        <w:rPr>
          <w:rFonts w:ascii="Arial" w:eastAsia="Times New Roman" w:hAnsi="Arial" w:cs="Arial"/>
          <w:sz w:val="20"/>
          <w:szCs w:val="20"/>
          <w:lang w:eastAsia="hr-HR"/>
        </w:rPr>
        <w:sectPr w:rsidR="00C244E3" w:rsidRPr="00C244E3">
          <w:pgSz w:w="11909" w:h="16834"/>
          <w:pgMar w:top="1195"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lastRenderedPageBreak/>
        <w:t>U skladu s tehničkim i ekonomskim analizama koje je tijekom 2012. provela hrvatska Vlada, najmanje 60 % hrvatskog stanovništva ne bi bilo obuhvaćeno komercijalnom infrastrukturnom mrežom sljedeće generacije, zbog slabih mogućnosti profitabilnosti ulaganja u mrežu sljedeće generacije u područjima s najmanjom gustoćom naseljenosti. S ciljem promicanja širenja pokrivenosti mrežom sljedeće generacije na ta područja, javna sredstva će biti korištena za potporu ulaganjima u infrastrukturu mreže sljedeće generacije (agregacijski i pristupni dio mreže), kao dopuna privatnim ulaganjima operatora u bijelim i sivim područjima mreža sljedeće generacije. Nema potrebe za podrškom ulaganju u osnovnu mrežu, budući da tamo nema naznaka tržišnog neuspjeha.</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Analize iz "Studije o modelu financiranja i potporama za ulaganje u širokopojasnu infrastrukturu" ukazuju da, s ciljem postizanja stopostotne širokopojasne nacionalne pokrivenosti pristupom sljedeće generacije i zatvaranja postojećeg i predviđenog nedostatka pokrivenosti u neprofitabilnim područjima do 2020., potrebna su ulaganja u iznosu do 1.286 milijuna eura. Očekuje se da najmanje 29,8 % ovog iznosa može biti pokriveno privatnim ulaganjima gospodarskih subjekata, dok će preostali maksimalni udio od 70,2 % biti obuhvaćen javnom potporom, zbog nerentabilnosti komercijalnih ulaganja u mrežu sljedeće generacije u predgrađima i ruralnim područjima. Predviđa se da će potpora iz fonda EFRR-a pridonijeti širenju širokopojasne pokrivenosti mrežom sljedeće generacije za barem 12 dodatnih postotnih bodova hrvatskih kućanstava.</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Glavni cilj Strategije za razvoj širokopojasnog pristupa Internetu u Republici Hrvatskoj za 2012. - 2015. i nove Strategije za 2016. - 2020. jest podrška razvoju nacionalne infrastrukture za brzi širokopojasni pristup Internetu (najmanje 30 Mbit/s) i usluga koje zahtijevaju visoku brzinu pristupa, omogućujući razvoj i raspoloživost digitalnog društva svim građanima.</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Detaljna analiza hrvatskog javnog sektora IKT-a otkrila je nedostatke koji se uglavnom tiču neadekvatnih i neučinkovitih troškova i upravljanja investicijama u javnom sektoru informacijske i komunikacijske tehnologije. Javne informacijsko-komunikacijske projekte provode uglavnom pojedinačna državna upravna tijela, bez sustavne koordinacije ili mogućnosti korištenja zajedničkih sredstava, dok istovremeno mnogi sustavi imaju male postotke iskoristivosti raspoložive IKT infrastrukture. Većina središnjih državnih tijela koristi vlastiti softver i programska rješenja i podatke koji nisu dostupni drugim državnim tijelima (nedostupnost podataka). Ne postoje zajednička rješenja za iste poslovne procese ili sustave za integraciju postojećih aplikacija i baza podataka.</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Zakon o državnoj informacijskoj infrastrukturi definira zajedničke elemente za razvoj elektroničkih usluga, uključujući jednu vladinu internetsku stranicu kao jedinstvenu točku kontakta; zajedničko sučelje za identifikaciju i autentifikaciju (u skladu s projektom EU STORK), zajednički korisnički poštanski kovčežić za građane (projekt e-Građani pokrenut 2014.). Mora se izraditi obvezni okvir interoperabilnosti u skladu s europskim okvirom interoperabilnosti, koji će omogućiti međupovezivanje s paneuropskim e-uslugama.</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Javne e-usluge u Hrvatskoj u većoj se mjeri pružaju tvrtkama nego građanima. Građanima je potpuno dostupno 50 % osnovnih javnih usluga putem Interneta (u 2010. godini), ali u usporedbi s EU-27, Hrvatska je ispod prosjeka (dostupnost usluga u državama EU-27 iznosi 81 %). Samo 30,8 % građana komuniciralo je u 2013. s tijelima javne vlasti putem internetskih aplikacija (EU-27: 50 %). Stupanj omogućenosti i korištenja usluga e-vlade i e-javnih usluga u Hrvatskoj je trenutačno nedovoljan (pokazatelj "online dostupnosti" za Hrvatsku u 2013. iznosio je 57 %, dok je prosjek za EU-27 iznosio 74 %</w:t>
      </w:r>
      <w:r w:rsidRPr="00C244E3">
        <w:rPr>
          <w:rFonts w:ascii="Times New Roman" w:eastAsia="Times New Roman" w:hAnsi="Times New Roman" w:cs="Times New Roman"/>
          <w:color w:val="000000"/>
          <w:sz w:val="24"/>
          <w:szCs w:val="24"/>
          <w:lang w:eastAsia="hr-HR"/>
        </w:rPr>
        <w:t xml:space="preserve">). </w:t>
      </w:r>
    </w:p>
    <w:p w:rsidR="00C244E3" w:rsidRPr="00C244E3" w:rsidRDefault="00C244E3" w:rsidP="009B2E82">
      <w:pPr>
        <w:widowControl w:val="0"/>
        <w:shd w:val="clear" w:color="auto" w:fill="FFFFFF"/>
        <w:tabs>
          <w:tab w:val="left" w:pos="5309"/>
          <w:tab w:val="left" w:pos="10099"/>
        </w:tabs>
        <w:autoSpaceDE w:val="0"/>
        <w:autoSpaceDN w:val="0"/>
        <w:adjustRightInd w:val="0"/>
        <w:spacing w:before="442" w:after="0" w:line="466" w:lineRule="exact"/>
        <w:jc w:val="both"/>
        <w:rPr>
          <w:rFonts w:ascii="Arial" w:eastAsia="Times New Roman" w:hAnsi="Arial" w:cs="Arial"/>
          <w:sz w:val="20"/>
          <w:szCs w:val="20"/>
          <w:lang w:eastAsia="hr-HR"/>
        </w:rPr>
        <w:sectPr w:rsidR="00C244E3" w:rsidRPr="00C244E3">
          <w:pgSz w:w="11909" w:h="16834"/>
          <w:pgMar w:top="1191"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before="278" w:after="0" w:line="274" w:lineRule="exact"/>
        <w:ind w:left="811"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lastRenderedPageBreak/>
        <w:t>Ustanovama u sklopu javne uprave (posebice u obrazovnom sektoru, upravljanju zemljištima, zdravstvenoj skrbi, pravosuđu, kulturi i turističkom sektoru) i javnim uslugama nedostaju digitalni podaci i mogućnost razmjene podataka. Oprema i infrastruktura IKT-a potrebna za umrežavanje i pružanje e-usluga javnosti zastarjela je i neadekvatna te joj je potrebna dodatna potpora. Potrebni su dodatni napori za prilagodbu e-usluga različitim skupinama osoba s posebnim potrebama i prilagodbu e-sadržaja kako bi se osigurala dostupnost usluga svima (uključujući udaljene i teško dostupne lokacije, posebno na otocima).</w:t>
      </w:r>
    </w:p>
    <w:p w:rsidR="00C244E3" w:rsidRPr="00C244E3" w:rsidRDefault="00C244E3" w:rsidP="009B2E82">
      <w:pPr>
        <w:widowControl w:val="0"/>
        <w:shd w:val="clear" w:color="auto" w:fill="FFFFFF"/>
        <w:autoSpaceDE w:val="0"/>
        <w:autoSpaceDN w:val="0"/>
        <w:adjustRightInd w:val="0"/>
        <w:spacing w:before="278" w:after="0" w:line="274" w:lineRule="exact"/>
        <w:ind w:left="811"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Korištenje IKT-a postaje ključni element za bolje ostvarivanje ciljeva strategije u korist cjelokupnog stanovništva. Hrvatska je, u ovom trenutku, prepoznala potrebu za razvojem e-usluga, posebno u području zdravstva, obrazovanja, upravljanja zemljištima, pravosuđu, kulturi, turizmu i socijalnoj uključenosti, kako bi tijela državne uprave poboljšala svoju isporuku usluga. Iako Strategija digitalnog rasta (koja predstavlja ex-ante uvjet) još nije sastavljena, postoje strateška pozadina i opravdanost u sektorskim strategijama u kojima je razrađena i naglašena važnost elektroničkih medija i provedba IKT usluga i aplikacija za ispunjavanje spomenutih ciljeva strategije. Strategija digitalnog rasta usmjeravat će razvoj e-usluga s jasnim određivanjem prioriteta i orijentiranošću prema rezultatima te će razraditi poticaje usmjerene ka povećanju korištenja e-usluga (npr. brža obrada e-zahtjeva i smanjenje troškova u usporedbi s klasičnim šalterskim uslugama).</w:t>
      </w:r>
    </w:p>
    <w:p w:rsidR="00C244E3" w:rsidRPr="00C244E3" w:rsidRDefault="00C244E3" w:rsidP="009B2E82">
      <w:pPr>
        <w:widowControl w:val="0"/>
        <w:shd w:val="clear" w:color="auto" w:fill="FFFFFF"/>
        <w:autoSpaceDE w:val="0"/>
        <w:autoSpaceDN w:val="0"/>
        <w:adjustRightInd w:val="0"/>
        <w:spacing w:before="278" w:after="0" w:line="274" w:lineRule="exact"/>
        <w:ind w:left="811" w:right="922"/>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Unutar primjene ovog prioritetnog područja, sredstva EFRR-a koristit će se kako bi se riješili nedostatna širokopojasna pokrivenost mrežom sljedeće generacije na području Hrvatske, nedostatno upravljanje javnom infrastrukturom IKT-a, nedostatak podataka i isporuke javnih usluga skupa s lošom raspoloživošću e-usluga. Da bi se potaknula produktivnost u privatnom sektoru i državnoj upravi, unapređenje IKT opreme, razvoj e-usluga i širokopojasne infrastrukture mreže sljedeće generacije nisu dovoljni. Postizanje cilja unaprijeđenog korištenja IKT-a zahtijeva kombinaciju koja uključuje mjere poboljšanja digitalnih vještina koje će se provoditi u okviru Operativnog programa iz područja učinkovitih ljudskih resursa.</w:t>
      </w:r>
    </w:p>
    <w:p w:rsidR="00C244E3" w:rsidRPr="00C244E3" w:rsidRDefault="00C244E3" w:rsidP="009B2E82">
      <w:pPr>
        <w:widowControl w:val="0"/>
        <w:shd w:val="clear" w:color="auto" w:fill="FFFFFF"/>
        <w:autoSpaceDE w:val="0"/>
        <w:autoSpaceDN w:val="0"/>
        <w:adjustRightInd w:val="0"/>
        <w:spacing w:before="278"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Poslovna konkurentnost</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24"/>
          <w:szCs w:val="24"/>
          <w:lang w:eastAsia="hr-HR"/>
        </w:rPr>
        <w:t xml:space="preserve">Mala i srednja poduzeća (MSP-ovi) </w:t>
      </w:r>
      <w:r w:rsidRPr="00C244E3">
        <w:rPr>
          <w:rFonts w:ascii="Times New Roman" w:eastAsia="Times New Roman" w:hAnsi="Times New Roman" w:cs="Times New Roman"/>
          <w:color w:val="000000"/>
          <w:sz w:val="24"/>
          <w:szCs w:val="24"/>
          <w:lang w:eastAsia="hr-HR"/>
        </w:rPr>
        <w:t>čine 99,7 % ukupnog broja poduzeća u Hrvatskoj (92,2 % su mikro, 6,3 % mala i 1,2 % srednja poduzeća). Sektor MSP-ova sudjeluje sa 68,3 % u ukupnom zapošljavanju (1,03 milijuna osoba), što je iznad prosjeka Europske unije, stvarajući 20,5 milijardi eura dodane vrijednosti (59 %), što je na razini prosjeka Europske unije i 51 % BDP-a</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Također postoje razlike u poduzetničkoj aktivnosti i uspjehu između regija (NUTS II), pri čemu u kontinentalnoj Hrvatskoj ima 61,42 % malih poduzeća i 66,87 % zaposlenih, dok jadranska regija bilježi 38,58 % malih poduzeća i 33,13 % zaposlenih. Na razini NUTS III, u kontinentalnoj Hrvatskoj, Gradu Zagrebu, Zagrebačkoj županiji i Osječko-baranjskoj županiji postoji najveća poduzetnička aktivnost, dok je u jadranskoj regiji poduzetnička aktivnost najveća u Splitsko-dalmatinskoj županiji, Istarskoj županiji i Primorsko-goranskoj županiji</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269" w:after="0" w:line="278" w:lineRule="exact"/>
        <w:ind w:left="821" w:right="922"/>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 xml:space="preserve">Analize izvršene tijekom 2011. i 2013. pokazale su da postoji trajni </w:t>
      </w:r>
      <w:r w:rsidRPr="00C244E3">
        <w:rPr>
          <w:rFonts w:ascii="Times New Roman" w:eastAsia="Times New Roman" w:hAnsi="Times New Roman" w:cs="Times New Roman"/>
          <w:b/>
          <w:color w:val="000000"/>
          <w:spacing w:val="-1"/>
          <w:sz w:val="24"/>
          <w:szCs w:val="24"/>
          <w:lang w:eastAsia="hr-HR"/>
        </w:rPr>
        <w:t>nedostatak financiranja</w:t>
      </w:r>
      <w:r w:rsidRPr="00C244E3">
        <w:rPr>
          <w:rFonts w:ascii="Times New Roman" w:eastAsia="Times New Roman" w:hAnsi="Times New Roman" w:cs="Times New Roman"/>
          <w:color w:val="000000"/>
          <w:spacing w:val="-1"/>
          <w:sz w:val="24"/>
          <w:szCs w:val="24"/>
          <w:lang w:eastAsia="hr-HR"/>
        </w:rPr>
        <w:t>, što znači da popriličan udio MSP-ova ne može pribaviti financiranje od banaka, na tržištu kapitala ili iz drugih izvora financiranja. Banke su vrlo nesklone riziku, što dovodi do toga da 79 % MSP-ova koristi vlastite prihode i zadržanu dobit kao svoj primarni izvor financiranja novih ulaganja</w:t>
      </w:r>
      <w:r w:rsidRPr="00C244E3">
        <w:rPr>
          <w:rFonts w:ascii="Times New Roman" w:eastAsia="Times New Roman" w:hAnsi="Times New Roman" w:cs="Times New Roman"/>
          <w:color w:val="000000"/>
          <w:sz w:val="24"/>
          <w:szCs w:val="24"/>
          <w:lang w:eastAsia="hr-HR"/>
        </w:rPr>
        <w:t>.</w:t>
      </w:r>
    </w:p>
    <w:p w:rsidR="00C244E3" w:rsidRPr="00C244E3" w:rsidRDefault="00C244E3" w:rsidP="00C244E3">
      <w:pPr>
        <w:widowControl w:val="0"/>
        <w:shd w:val="clear" w:color="auto" w:fill="FFFFFF"/>
        <w:tabs>
          <w:tab w:val="left" w:pos="5299"/>
          <w:tab w:val="left" w:pos="10099"/>
        </w:tabs>
        <w:autoSpaceDE w:val="0"/>
        <w:autoSpaceDN w:val="0"/>
        <w:adjustRightInd w:val="0"/>
        <w:spacing w:before="432" w:after="0" w:line="466" w:lineRule="exact"/>
        <w:rPr>
          <w:rFonts w:ascii="Arial" w:eastAsia="Times New Roman" w:hAnsi="Arial" w:cs="Arial"/>
          <w:sz w:val="20"/>
          <w:szCs w:val="20"/>
          <w:lang w:eastAsia="hr-HR"/>
        </w:rPr>
        <w:sectPr w:rsidR="00C244E3" w:rsidRPr="00C244E3">
          <w:pgSz w:w="11909" w:h="16834"/>
          <w:pgMar w:top="1191"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after="0" w:line="274" w:lineRule="exact"/>
        <w:ind w:left="816" w:right="1325"/>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lastRenderedPageBreak/>
        <w:t>MSP-ovi imaju određene teškoće u pribavljanju malih zajmova (25.000 - 100.000 eura) dok 60 % MSP-ova nema dovoljna jamstva za pribavljanje bilo kojeg oblika financiranja od banaka. 54 % ponuđenih financijskih usluga i proizvoda nisu prilagođeni potrebama i očekivanjima MSP-ova, a razina kamatnih stopa previsoka je za njih 34 %. Tržište rizičnog kapitala gotovo da ne postoji i na raspolaganju ima zanemariv kapital, a mreža poslovnih anđela je slaba i nerazvijena. Trenutno se priprema ex-ante procjena prepreka pristupu financijskom tržištu[6], a kada bude gotova predložit će se prikladniji i inovativni instrumenti na temelju njenih zaključaka</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78" w:lineRule="exact"/>
        <w:ind w:left="830" w:right="132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MSP-ovi u različitim fazama rasta trebaju profesionalnu podršku </w:t>
      </w:r>
      <w:r w:rsidRPr="00C244E3">
        <w:rPr>
          <w:rFonts w:ascii="Times New Roman" w:eastAsia="Times New Roman" w:hAnsi="Times New Roman" w:cs="Times New Roman"/>
          <w:b/>
          <w:color w:val="000000"/>
          <w:sz w:val="24"/>
          <w:szCs w:val="24"/>
          <w:lang w:eastAsia="hr-HR"/>
        </w:rPr>
        <w:t>poduzetničkih potpornih institucija (PPI)</w:t>
      </w:r>
      <w:r w:rsidRPr="00C244E3">
        <w:rPr>
          <w:rFonts w:ascii="Times New Roman" w:eastAsia="Times New Roman" w:hAnsi="Times New Roman" w:cs="Times New Roman"/>
          <w:color w:val="000000"/>
          <w:sz w:val="24"/>
          <w:szCs w:val="24"/>
          <w:lang w:eastAsia="hr-HR"/>
        </w:rPr>
        <w:t>. Često se smatra da PPI-ovi pružaju usluge koje si većina MSP-ova ne može priuštiti. Nadalje, različite potrebe za specijaliziranom podrškom MSP-ovima prepoznate su u različitim regijama Hrvatske. Međutim, pokazalo se da PPI-ovi nemaju dovoljne kapacitete za pružanje usluga visoke kvalitete i suvremenog/modernog pristupa u rješavanju problema MSP-ova. Zahtjevi od MSP-ova dolaze u smislu i specifičnijih usluga i usluga višeg reda te drugih oblika poslovne podrške.</w:t>
      </w:r>
    </w:p>
    <w:p w:rsidR="00C244E3" w:rsidRPr="00C244E3" w:rsidRDefault="00C244E3" w:rsidP="009B2E82">
      <w:pPr>
        <w:widowControl w:val="0"/>
        <w:shd w:val="clear" w:color="auto" w:fill="FFFFFF"/>
        <w:autoSpaceDE w:val="0"/>
        <w:autoSpaceDN w:val="0"/>
        <w:adjustRightInd w:val="0"/>
        <w:spacing w:before="278" w:after="0" w:line="278" w:lineRule="exact"/>
        <w:ind w:left="830" w:right="132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Dodatni problem je status poduzetništva u hrvatskom društvu i opći </w:t>
      </w:r>
      <w:r w:rsidRPr="00C244E3">
        <w:rPr>
          <w:rFonts w:ascii="Times New Roman" w:eastAsia="Times New Roman" w:hAnsi="Times New Roman" w:cs="Times New Roman"/>
          <w:b/>
          <w:color w:val="000000"/>
          <w:sz w:val="24"/>
          <w:szCs w:val="24"/>
          <w:lang w:eastAsia="hr-HR"/>
        </w:rPr>
        <w:t>nedostatak poduzetničkih vještina</w:t>
      </w:r>
      <w:r w:rsidRPr="00C244E3">
        <w:rPr>
          <w:rFonts w:ascii="Times New Roman" w:eastAsia="Times New Roman" w:hAnsi="Times New Roman" w:cs="Times New Roman"/>
          <w:color w:val="000000"/>
          <w:sz w:val="24"/>
          <w:szCs w:val="24"/>
          <w:lang w:eastAsia="hr-HR"/>
        </w:rPr>
        <w:t>. Postotak zaposlenika u dobi od 18 do 24 godine uključenih u obrazovanje i izobrazbu iznosi samo 5,9 % (2011.), dok je prosjek na razini EU-27 35,8 %. Samo 2,3 % ukupnog broja zaposlenih osoba sudjeluje u trajnim procesima osposobljavanja i učenja (prosjek na razini EU-27 je 8,9 %).</w:t>
      </w:r>
    </w:p>
    <w:p w:rsidR="00C244E3" w:rsidRPr="00C244E3" w:rsidRDefault="00C244E3" w:rsidP="009B2E82">
      <w:pPr>
        <w:widowControl w:val="0"/>
        <w:shd w:val="clear" w:color="auto" w:fill="FFFFFF"/>
        <w:autoSpaceDE w:val="0"/>
        <w:autoSpaceDN w:val="0"/>
        <w:adjustRightInd w:val="0"/>
        <w:spacing w:before="278" w:after="0" w:line="278" w:lineRule="exact"/>
        <w:ind w:left="830" w:right="132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Potreba za poboljšanjem poduzetničkih vještina i </w:t>
      </w:r>
      <w:r w:rsidRPr="00C244E3">
        <w:rPr>
          <w:rFonts w:ascii="Times New Roman" w:eastAsia="Times New Roman" w:hAnsi="Times New Roman" w:cs="Times New Roman"/>
          <w:b/>
          <w:color w:val="000000"/>
          <w:sz w:val="24"/>
          <w:szCs w:val="24"/>
          <w:lang w:eastAsia="hr-HR"/>
        </w:rPr>
        <w:t>statusa poduzetništva</w:t>
      </w:r>
      <w:r w:rsidRPr="00C244E3">
        <w:rPr>
          <w:rFonts w:ascii="Times New Roman" w:eastAsia="Times New Roman" w:hAnsi="Times New Roman" w:cs="Times New Roman"/>
          <w:color w:val="000000"/>
          <w:sz w:val="24"/>
          <w:szCs w:val="24"/>
          <w:lang w:eastAsia="hr-HR"/>
        </w:rPr>
        <w:t xml:space="preserve"> rješavat će se kroz podršku koju nude PPI-ovi, kreiranje </w:t>
      </w:r>
      <w:r w:rsidRPr="00C244E3">
        <w:rPr>
          <w:rFonts w:ascii="Times New Roman" w:eastAsia="Times New Roman" w:hAnsi="Times New Roman" w:cs="Times New Roman"/>
          <w:b/>
          <w:color w:val="000000"/>
          <w:sz w:val="24"/>
          <w:szCs w:val="24"/>
          <w:lang w:eastAsia="hr-HR"/>
        </w:rPr>
        <w:t>napredne poslovne infrastrukture</w:t>
      </w:r>
      <w:r w:rsidRPr="00C244E3">
        <w:rPr>
          <w:rFonts w:ascii="Times New Roman" w:eastAsia="Times New Roman" w:hAnsi="Times New Roman" w:cs="Times New Roman"/>
          <w:color w:val="000000"/>
          <w:sz w:val="24"/>
          <w:szCs w:val="24"/>
          <w:lang w:eastAsia="hr-HR"/>
        </w:rPr>
        <w:t xml:space="preserve"> i povezanih usluga ponuđenih poduzećima (npr. kroz inkubatore, industrijske i tehnološke parkove), ali i kroz aktivnosti Regionalnog centra za razvoj poduzetničkih kompetencija za zemlje jugoistočne Europe (SEECEL), pogodujući također ciljevima Dunavske strategije i regionalne suradnje u stimuliranju razvoja poduzetničkih kompetencija. SEECEL se temelji na izražavanju potrebe pretpristupnih zemalja EU za institucionalizaciju regionalnog dijaloga i ciljanu suradnju u području razvoja poduzetničkih kompetencija u okviru Zakona o malim poduzećima, prema Načelima 1 i 8.</w:t>
      </w:r>
    </w:p>
    <w:p w:rsidR="00C244E3" w:rsidRPr="00C244E3" w:rsidRDefault="00C244E3" w:rsidP="009B2E82">
      <w:pPr>
        <w:widowControl w:val="0"/>
        <w:shd w:val="clear" w:color="auto" w:fill="FFFFFF"/>
        <w:autoSpaceDE w:val="0"/>
        <w:autoSpaceDN w:val="0"/>
        <w:adjustRightInd w:val="0"/>
        <w:spacing w:before="278" w:after="0" w:line="278" w:lineRule="exact"/>
        <w:ind w:left="830" w:right="132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Turizam treba posebno istaknuti, budući da on predstavlja važan pokretač gospodarstva i stvara snažne učinke multiplikacije koji se prelijevaju na ostala gospodarska područja. U 2013., udio turizma u sveukupnom gospodarskom BDP-u procijenjen je na 16,5 %, s ukupnim međunarodnim primicima od 7,2 milijarde eura, što je značajno smanjilo vanjsko-trgovinski deficit Hrvatske, pokrivajući jednu trećinu hrvatskog izvoza i dvije trećine izvoza usluga. Nadalje, u 2013. zabilježeno je 12,5 milijuna turističkih dolazaka i 64,8 milijuna noćenja, dok je broj stalnih zaposlenika u turističkom sektoru iznosio 84.200 ili 6,3 % ukupno zaposlenih.</w:t>
      </w:r>
    </w:p>
    <w:p w:rsidR="00C244E3" w:rsidRPr="00C244E3" w:rsidRDefault="00C244E3" w:rsidP="009B2E82">
      <w:pPr>
        <w:widowControl w:val="0"/>
        <w:shd w:val="clear" w:color="auto" w:fill="FFFFFF"/>
        <w:autoSpaceDE w:val="0"/>
        <w:autoSpaceDN w:val="0"/>
        <w:adjustRightInd w:val="0"/>
        <w:spacing w:before="278" w:after="0" w:line="278" w:lineRule="exact"/>
        <w:ind w:left="830" w:right="132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MSP-ovi u turizmu nastoje prevladati dva temeljna problema: sezonalnost (80 % turističkog prometa odvija se tijekom tri ljetna mjeseca) i nedostatak diversificiranih turističkih proizvoda (što rezultira niskom prosječnom potrošnjom).</w:t>
      </w:r>
    </w:p>
    <w:p w:rsidR="00C244E3" w:rsidRPr="00C244E3" w:rsidRDefault="00C244E3" w:rsidP="009B2E82">
      <w:pPr>
        <w:widowControl w:val="0"/>
        <w:shd w:val="clear" w:color="auto" w:fill="FFFFFF"/>
        <w:autoSpaceDE w:val="0"/>
        <w:autoSpaceDN w:val="0"/>
        <w:adjustRightInd w:val="0"/>
        <w:spacing w:before="278" w:after="0" w:line="278" w:lineRule="exact"/>
        <w:ind w:left="830" w:right="1325"/>
        <w:jc w:val="both"/>
        <w:rPr>
          <w:rFonts w:ascii="Arial" w:eastAsia="Times New Roman" w:hAnsi="Arial" w:cs="Arial"/>
          <w:b/>
          <w:sz w:val="20"/>
          <w:szCs w:val="20"/>
          <w:lang w:eastAsia="hr-HR"/>
        </w:rPr>
      </w:pPr>
      <w:r w:rsidRPr="00C244E3">
        <w:rPr>
          <w:rFonts w:ascii="Times New Roman" w:eastAsia="Times New Roman" w:hAnsi="Times New Roman" w:cs="Times New Roman"/>
          <w:color w:val="000000"/>
          <w:sz w:val="24"/>
          <w:szCs w:val="24"/>
          <w:lang w:eastAsia="hr-HR"/>
        </w:rPr>
        <w:t>Pad izvoza u razdoblju od 2008. do 2010. uzrokovan je velikim dijelom posebnim dislokacijama u ponudi. Negativna trgovinska bilanca (2010.) pokazuje da rastući MSP-ovi trebaju povećati svoju konkurentnost i na domaćem i na inozemnom tržištu</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C244E3">
      <w:pPr>
        <w:widowControl w:val="0"/>
        <w:shd w:val="clear" w:color="auto" w:fill="FFFFFF"/>
        <w:tabs>
          <w:tab w:val="left" w:pos="5299"/>
          <w:tab w:val="left" w:pos="10099"/>
        </w:tabs>
        <w:autoSpaceDE w:val="0"/>
        <w:autoSpaceDN w:val="0"/>
        <w:adjustRightInd w:val="0"/>
        <w:spacing w:before="432" w:after="0" w:line="466" w:lineRule="exact"/>
        <w:rPr>
          <w:rFonts w:ascii="Arial" w:eastAsia="Times New Roman" w:hAnsi="Arial" w:cs="Arial"/>
          <w:sz w:val="20"/>
          <w:szCs w:val="20"/>
          <w:lang w:eastAsia="hr-HR"/>
        </w:rPr>
        <w:sectPr w:rsidR="00C244E3" w:rsidRPr="00C244E3">
          <w:pgSz w:w="11909" w:h="16834"/>
          <w:pgMar w:top="1191"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bCs/>
          <w:color w:val="000000"/>
          <w:spacing w:val="-1"/>
          <w:sz w:val="24"/>
          <w:szCs w:val="24"/>
          <w:lang w:eastAsia="hr-HR"/>
        </w:rPr>
      </w:pPr>
      <w:r w:rsidRPr="00C244E3">
        <w:rPr>
          <w:rFonts w:ascii="Times New Roman" w:eastAsia="Times New Roman" w:hAnsi="Times New Roman" w:cs="Times New Roman"/>
          <w:bCs/>
          <w:color w:val="000000"/>
          <w:spacing w:val="-1"/>
          <w:sz w:val="24"/>
          <w:szCs w:val="24"/>
          <w:lang w:eastAsia="hr-HR"/>
        </w:rPr>
        <w:lastRenderedPageBreak/>
        <w:t xml:space="preserve">Neophodno je </w:t>
      </w:r>
      <w:r w:rsidRPr="00C244E3">
        <w:rPr>
          <w:rFonts w:ascii="Times New Roman" w:eastAsia="Times New Roman" w:hAnsi="Times New Roman" w:cs="Times New Roman"/>
          <w:b/>
          <w:bCs/>
          <w:color w:val="000000"/>
          <w:spacing w:val="-1"/>
          <w:sz w:val="24"/>
          <w:szCs w:val="24"/>
          <w:lang w:eastAsia="hr-HR"/>
        </w:rPr>
        <w:t>povećati učinkovitost</w:t>
      </w:r>
      <w:r w:rsidRPr="00C244E3">
        <w:rPr>
          <w:rFonts w:ascii="Times New Roman" w:eastAsia="Times New Roman" w:hAnsi="Times New Roman" w:cs="Times New Roman"/>
          <w:bCs/>
          <w:color w:val="000000"/>
          <w:spacing w:val="-1"/>
          <w:sz w:val="24"/>
          <w:szCs w:val="24"/>
          <w:lang w:eastAsia="hr-HR"/>
        </w:rPr>
        <w:t xml:space="preserve"> njihovih proizvodnih pogona, opreme i postupaka, uključujući uvođenje </w:t>
      </w:r>
      <w:r w:rsidRPr="00C244E3">
        <w:rPr>
          <w:rFonts w:ascii="Times New Roman" w:eastAsia="Times New Roman" w:hAnsi="Times New Roman" w:cs="Times New Roman"/>
          <w:b/>
          <w:bCs/>
          <w:color w:val="000000"/>
          <w:spacing w:val="-1"/>
          <w:sz w:val="24"/>
          <w:szCs w:val="24"/>
          <w:lang w:eastAsia="hr-HR"/>
        </w:rPr>
        <w:t>IKT</w:t>
      </w:r>
      <w:r w:rsidRPr="00C244E3">
        <w:rPr>
          <w:rFonts w:ascii="Times New Roman" w:eastAsia="Times New Roman" w:hAnsi="Times New Roman" w:cs="Times New Roman"/>
          <w:bCs/>
          <w:color w:val="000000"/>
          <w:spacing w:val="-1"/>
          <w:sz w:val="24"/>
          <w:szCs w:val="24"/>
          <w:lang w:eastAsia="hr-HR"/>
        </w:rPr>
        <w:t xml:space="preserve"> rješenja, </w:t>
      </w:r>
      <w:r w:rsidRPr="00C244E3">
        <w:rPr>
          <w:rFonts w:ascii="Times New Roman" w:eastAsia="Times New Roman" w:hAnsi="Times New Roman" w:cs="Times New Roman"/>
          <w:b/>
          <w:bCs/>
          <w:color w:val="000000"/>
          <w:spacing w:val="-1"/>
          <w:sz w:val="24"/>
          <w:szCs w:val="24"/>
          <w:lang w:eastAsia="hr-HR"/>
        </w:rPr>
        <w:t>međunarodnih standarda i normi</w:t>
      </w:r>
      <w:r w:rsidRPr="00C244E3">
        <w:rPr>
          <w:rFonts w:ascii="Times New Roman" w:eastAsia="Times New Roman" w:hAnsi="Times New Roman" w:cs="Times New Roman"/>
          <w:bCs/>
          <w:color w:val="000000"/>
          <w:spacing w:val="-1"/>
          <w:sz w:val="24"/>
          <w:szCs w:val="24"/>
          <w:lang w:eastAsia="hr-HR"/>
        </w:rPr>
        <w:t>, kao i sveukupnih kapaciteta.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bCs/>
          <w:color w:val="000000"/>
          <w:spacing w:val="-1"/>
          <w:sz w:val="24"/>
          <w:szCs w:val="24"/>
          <w:lang w:eastAsia="hr-HR"/>
        </w:rPr>
      </w:pPr>
      <w:r w:rsidRPr="00C244E3">
        <w:rPr>
          <w:rFonts w:ascii="Times New Roman" w:eastAsia="Times New Roman" w:hAnsi="Times New Roman" w:cs="Times New Roman"/>
          <w:b/>
          <w:bCs/>
          <w:color w:val="000000"/>
          <w:spacing w:val="-1"/>
          <w:sz w:val="24"/>
          <w:szCs w:val="24"/>
          <w:lang w:eastAsia="hr-HR"/>
        </w:rPr>
        <w:t>Umrežavanje i stvaranje klastera</w:t>
      </w:r>
      <w:r w:rsidRPr="00C244E3">
        <w:rPr>
          <w:rFonts w:ascii="Times New Roman" w:eastAsia="Times New Roman" w:hAnsi="Times New Roman" w:cs="Times New Roman"/>
          <w:bCs/>
          <w:color w:val="000000"/>
          <w:spacing w:val="-1"/>
          <w:sz w:val="24"/>
          <w:szCs w:val="24"/>
          <w:lang w:eastAsia="hr-HR"/>
        </w:rPr>
        <w:t xml:space="preserve"> može donijeti prednosti MSP-ovima, posebice vezano uz jačanje njihovih vrijednosnih i proizvodnih lanaca. U Hrvatskoj više od 500 poduzeća sudjeluje u klasterima koji zapošljavaju preko 25.000 djelatnika. Većina tih klastera odnosi se na proizvodni sektor, no turizam i poljoprivreda također su dobro zastupljeni. Osim toga, postoji 1.131 registrirana zadruga (2013.) s 19.309 članova.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bCs/>
          <w:color w:val="000000"/>
          <w:spacing w:val="-1"/>
          <w:sz w:val="24"/>
          <w:szCs w:val="24"/>
          <w:lang w:eastAsia="hr-HR"/>
        </w:rPr>
      </w:pPr>
      <w:r w:rsidRPr="00C244E3">
        <w:rPr>
          <w:rFonts w:ascii="Times New Roman" w:eastAsia="Times New Roman" w:hAnsi="Times New Roman" w:cs="Times New Roman"/>
          <w:b/>
          <w:bCs/>
          <w:color w:val="000000"/>
          <w:spacing w:val="-1"/>
          <w:sz w:val="24"/>
          <w:szCs w:val="24"/>
          <w:lang w:eastAsia="hr-HR"/>
        </w:rPr>
        <w:t>Proces internacionalizacije</w:t>
      </w:r>
      <w:r w:rsidRPr="00C244E3">
        <w:rPr>
          <w:rFonts w:ascii="Times New Roman" w:eastAsia="Times New Roman" w:hAnsi="Times New Roman" w:cs="Times New Roman"/>
          <w:bCs/>
          <w:color w:val="000000"/>
          <w:spacing w:val="-1"/>
          <w:sz w:val="24"/>
          <w:szCs w:val="24"/>
          <w:lang w:eastAsia="hr-HR"/>
        </w:rPr>
        <w:t xml:space="preserve"> zahtijeva cjeloviti skup instrumenata koji obuhvaća pristup informacijama na inozemnim tržištima, uključujući uvjete ulaska i potporu za pripremu strategije širenja na strana tržišta, dobru promidžbu, prodaju i suradnju sa stranim partnerima.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bCs/>
          <w:color w:val="000000"/>
          <w:spacing w:val="-1"/>
          <w:sz w:val="24"/>
          <w:szCs w:val="24"/>
          <w:lang w:eastAsia="hr-HR"/>
        </w:rPr>
      </w:pPr>
      <w:r w:rsidRPr="00C244E3">
        <w:rPr>
          <w:rFonts w:ascii="Times New Roman" w:eastAsia="Times New Roman" w:hAnsi="Times New Roman" w:cs="Times New Roman"/>
          <w:bCs/>
          <w:color w:val="000000"/>
          <w:spacing w:val="-1"/>
          <w:sz w:val="24"/>
          <w:szCs w:val="24"/>
          <w:lang w:eastAsia="hr-HR"/>
        </w:rPr>
        <w:t xml:space="preserve">Vezano uz </w:t>
      </w:r>
      <w:r w:rsidRPr="00C244E3">
        <w:rPr>
          <w:rFonts w:ascii="Times New Roman" w:eastAsia="Times New Roman" w:hAnsi="Times New Roman" w:cs="Times New Roman"/>
          <w:b/>
          <w:bCs/>
          <w:color w:val="000000"/>
          <w:spacing w:val="-1"/>
          <w:sz w:val="24"/>
          <w:szCs w:val="24"/>
          <w:lang w:eastAsia="hr-HR"/>
        </w:rPr>
        <w:t>izravna strana ulaganja</w:t>
      </w:r>
      <w:r w:rsidRPr="00C244E3">
        <w:rPr>
          <w:rFonts w:ascii="Times New Roman" w:eastAsia="Times New Roman" w:hAnsi="Times New Roman" w:cs="Times New Roman"/>
          <w:bCs/>
          <w:color w:val="000000"/>
          <w:spacing w:val="-1"/>
          <w:sz w:val="24"/>
          <w:szCs w:val="24"/>
          <w:lang w:eastAsia="hr-HR"/>
        </w:rPr>
        <w:t>, godišnji prosjek neto toka takvih ulaganja pao je s oko 6 % BDP-a u razdoblju između 1999. i 2008. na 2 % BDP-a u razdoblju od 2010. do 2013., što pokazuje rizik od toga da će jako ograničeni iznos ulaganja završiti u trgovinskom i proizvodnom sektoru. Postoji potreba da se te okolnosti promijene i privuku izravna strana ulaganja u proizvodnu domaću aktivu i gospodarsku preobrazbu, kao i da se poveća utjecaj izravnih stranih ulaganja u sektoru MSP-ova.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bCs/>
          <w:color w:val="000000"/>
          <w:spacing w:val="-1"/>
          <w:sz w:val="24"/>
          <w:szCs w:val="24"/>
          <w:lang w:eastAsia="hr-HR"/>
        </w:rPr>
        <w:t xml:space="preserve">Hrvatski MSP-ovi ne ulažu dovoljno u inovacije s ciljem uvođenja novih proizvoda i usluga na tržište. Hrvatska se smatra "umjerenim inovatorom" s postotkom </w:t>
      </w:r>
      <w:r w:rsidRPr="00C244E3">
        <w:rPr>
          <w:rFonts w:ascii="Times New Roman" w:eastAsia="Times New Roman" w:hAnsi="Times New Roman" w:cs="Times New Roman"/>
          <w:b/>
          <w:bCs/>
          <w:color w:val="000000"/>
          <w:spacing w:val="-1"/>
          <w:sz w:val="24"/>
          <w:szCs w:val="24"/>
          <w:lang w:eastAsia="hr-HR"/>
        </w:rPr>
        <w:t>poduzeća uključenih u inovacije</w:t>
      </w:r>
      <w:r w:rsidRPr="00C244E3">
        <w:rPr>
          <w:rFonts w:ascii="Times New Roman" w:eastAsia="Times New Roman" w:hAnsi="Times New Roman" w:cs="Times New Roman"/>
          <w:bCs/>
          <w:color w:val="000000"/>
          <w:spacing w:val="-1"/>
          <w:sz w:val="24"/>
          <w:szCs w:val="24"/>
          <w:lang w:eastAsia="hr-HR"/>
        </w:rPr>
        <w:t xml:space="preserve"> 8 % ispod prosjeka zemalja EU-27. Pružit će se potpora uspostavi inovativnih novonastalih poduzeća, ali i poboljšanju inovacijskog potencijala i komercijalizaciji aktivnosti postojećih MSP-ova, posebice u područjima navedenim u strategiji S3</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274"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24"/>
          <w:szCs w:val="24"/>
          <w:lang w:eastAsia="hr-HR"/>
        </w:rPr>
        <w:t>Promicanje energetske učinkovitosti i obnovljivih izvora energije (OIE)</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Što se tiče hrvatskog energetskog sustava, njegove slabosti i mogućnosti prepoznate su i detaljno uključene u Energetsku strategiju Republike Hrvatske za razdoblje do 2020. U skladu s potonjim i Strategijom Europa 2020., glavni cilj je povećati korištenje obnovljivih izvora energije i energetske učinkovitosti, posebno u konačnoj potrošnji energije, ostvarujući tako višestruku korist, kao što je smanjenje emisija, smanjenje potrošnje i povezanih troškova te povećanje sigurnosti opskrbe</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40" w:lineRule="auto"/>
        <w:ind w:left="826"/>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Staklenički plinovi (SP)</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S 28,3 megatona (Mt) ispuštenih stakleničkih plinova u 2011. godini, Hrvatska je odgovorna za manje od 0,1% ukupnih svjetskih ispuštenih stakleničkih plinova. Na razini EU-a (EU-27), udio Hrvatske iznosi 0,6%. Kao potpisnica Protokola iz Kyota, Hrvatska je ispunila cilj smanjenja ispuštanja stakleničkih plinova do 2012. godine na 95% razine iz 1990. godine; Ukupna ispuštanja stakleničkih plinova, isključujući odlive, iznosila su u 2011. godini 10,3% manje nego u 1990. godini. Što se tiče općih trendova, ispuštanja stakleničkih plinova značajno su opala u razdoblju između 1991. i 1995. godine zbog kolapsa industrije i rata. Od 1996. do 2007. godine ispuštanja su se postojano povećavala; međutim, od 2007. ponovo je prisutan trend opadanja. Tijekom cijelog referentnog razdoblja od 1990. do 2011. godine udjeli pojedinih plinova u načelu su ostali jednaki: 73,9 % CO2, 12,6 % CH, 12,4 % N20; 1,7 % HFC i PFC i 0,05 % SF6</w:t>
      </w:r>
      <w:r w:rsidRPr="00C244E3">
        <w:rPr>
          <w:rFonts w:ascii="Times New Roman" w:eastAsia="Times New Roman" w:hAnsi="Times New Roman" w:cs="Times New Roman"/>
          <w:color w:val="000000"/>
          <w:spacing w:val="-1"/>
          <w:sz w:val="24"/>
          <w:szCs w:val="24"/>
          <w:lang w:eastAsia="hr-HR"/>
        </w:rPr>
        <w:t>.</w:t>
      </w:r>
      <w:r w:rsidRPr="00C244E3">
        <w:rPr>
          <w:rFonts w:ascii="Arial" w:eastAsia="Times New Roman" w:hAnsi="Arial" w:cs="Arial"/>
          <w:sz w:val="20"/>
          <w:szCs w:val="20"/>
          <w:lang w:eastAsia="hr-HR"/>
        </w:rPr>
        <w:t xml:space="preserve"> </w:t>
      </w:r>
    </w:p>
    <w:p w:rsidR="00C244E3" w:rsidRPr="00C244E3" w:rsidRDefault="00C244E3" w:rsidP="00C244E3">
      <w:pPr>
        <w:widowControl w:val="0"/>
        <w:shd w:val="clear" w:color="auto" w:fill="FFFFFF"/>
        <w:tabs>
          <w:tab w:val="left" w:pos="5299"/>
          <w:tab w:val="left" w:pos="10099"/>
        </w:tabs>
        <w:autoSpaceDE w:val="0"/>
        <w:autoSpaceDN w:val="0"/>
        <w:adjustRightInd w:val="0"/>
        <w:spacing w:before="418" w:after="0" w:line="470" w:lineRule="exact"/>
        <w:rPr>
          <w:rFonts w:ascii="Arial" w:eastAsia="Times New Roman" w:hAnsi="Arial" w:cs="Arial"/>
          <w:sz w:val="20"/>
          <w:szCs w:val="20"/>
          <w:lang w:eastAsia="hr-HR"/>
        </w:rPr>
        <w:sectPr w:rsidR="00C244E3" w:rsidRPr="00C244E3">
          <w:pgSz w:w="11909" w:h="16834"/>
          <w:pgMar w:top="1193"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after="0" w:line="274"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lastRenderedPageBreak/>
        <w:t>Što se tiče izvora ispuštenih stakleničkih plinova, sektor energetike (što uključuje promet i industriju) ima najveći udio (73,3%), a slijedi ga poljoprivreda (14%), gospodarenje otpadom (5%) itd. Od navedenih sektora, u posljednjih pet godina samo sektor gospodarenja otpadom zabilježio je porast ispuštanja stakleničkih plinova zbog navažanja otpada, dok se razina ispuštanja u energetici i poljoprivredi smanjila, ne samo zbog učinaka gospodarske krize već i zbog porasta proizvodnje obnovljivih izvora energije.</w:t>
      </w:r>
    </w:p>
    <w:p w:rsidR="00C244E3" w:rsidRPr="00C244E3" w:rsidRDefault="00C244E3" w:rsidP="009B2E82">
      <w:pPr>
        <w:widowControl w:val="0"/>
        <w:shd w:val="clear" w:color="auto" w:fill="FFFFFF"/>
        <w:autoSpaceDE w:val="0"/>
        <w:autoSpaceDN w:val="0"/>
        <w:adjustRightInd w:val="0"/>
        <w:spacing w:before="274"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Proizvodnja energije (uključujući obnovljive izvore energije)</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Ukupna opskrba primarnom energijom u Hrvatskoj u 2011. godini iznosila je 383 PJ, sa stabilnim trendom pada od 2008. godine, uglavnom zbog učinaka gospodarske krize, a više od 80 % opskrbe energijom potječe od fosilnih goriva (ugljen, nafta, plin). Hrvatska je vrlo ovisna (54 %) o uvozu energenata s 282 PJ energije uvezene u 2011. godini (uglavnom nafte i naftnih derivata).</w:t>
      </w:r>
    </w:p>
    <w:p w:rsidR="00C244E3" w:rsidRPr="00C244E3" w:rsidRDefault="00C244E3" w:rsidP="009B2E82">
      <w:pPr>
        <w:widowControl w:val="0"/>
        <w:shd w:val="clear" w:color="auto" w:fill="FFFFFF"/>
        <w:autoSpaceDE w:val="0"/>
        <w:autoSpaceDN w:val="0"/>
        <w:adjustRightInd w:val="0"/>
        <w:spacing w:before="278" w:after="0" w:line="274"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15,7% bruto konačne potrošnje energije u 2011. godini bilo je iz obnovljivih izvora, što predstavlja stalni rast obnovljivih izvora energije u bruto konačnoj potrošnji energije od 12,2 % u 2008. do 14,6 % u 2010. godini. Međutim, velike hidroelektrane i biomasa predstavljaju više od 90% navedenog udjela (s dominantnim velikim hidroelektranama), nakon čega slijede biogoriva (5%), vjetar (2%) i sunce/male hidroelektrane/geotermalna energija (manje od 1% svaki). Gledano po sektorima, više od 34% konačne potrošnje električne energije proizvedeno je od obnovljivih izvora energije (ali samo 2% tog udjela dolazi iz izvora koji nisu velike hidroelektrane) dok je za grijanje/hlađenje i sektor prometa taj udio znatno niži i iznosi 12,8% i 1,4%</w:t>
      </w:r>
      <w:r w:rsidRPr="00C244E3">
        <w:rPr>
          <w:rFonts w:ascii="Times New Roman" w:eastAsia="Times New Roman" w:hAnsi="Times New Roman" w:cs="Times New Roman"/>
          <w:color w:val="000000"/>
          <w:spacing w:val="-2"/>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Javna energetska infrastruktura</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Distribucijska mreža električne energije okarakterizirana je regionalnim razlikama u smislu broja korisnika, ukupne količine i karakteristika opskrbe (npr. sezonalnost), kao i ograničenim mogućnostima za integraciju dodatnih kapaciteta obnovljivih izvora energije. Ovo se ne odnosi samo na izgradnju nove ili obnovu postojeće mreže, nego i na poboljšanje cjelokupnog sustava upravljanja, uključujući uvođenje novih tehnologija (pametne mreže).</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Sustav centraliziranog grijanja ograničene je pokrivenosti (samo 10% svih kućanstava) te je neučinkovit, s velikim gubicima vode i topline. Potrošnja energije za javnu rasvjetu relativno je stabilna, s oko 440 GWh godišnje</w:t>
      </w:r>
      <w:r w:rsidRPr="00C244E3">
        <w:rPr>
          <w:rFonts w:ascii="Times New Roman" w:eastAsia="Times New Roman" w:hAnsi="Times New Roman" w:cs="Times New Roman"/>
          <w:color w:val="000000"/>
          <w:spacing w:val="-2"/>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24"/>
          <w:szCs w:val="24"/>
          <w:lang w:eastAsia="hr-HR"/>
        </w:rPr>
        <w:t>Energetski intenzitet (energetska učinkovitost)</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Tijekom 2011., potrošnja energije u gospodarstvu i sveukupna energetska učinkovitost (bruto unutarnja potrošnja energije podijeljena po BDP-u) nalazila se iznad prosjeka EU-27 - 231 kg ekvivalentne nafte (kgoe) na 1.000 eura u usporedbi s 138 kgoe na 1.000 eura. Što se tiče energetske učinkovitosti (izražene u ODEX-u), pozitivan trend smanjenja ODEX-a od 15,6 % u gospodarstvu u cjelini uspostavljen je u razdoblju 1995. - 2011. Međutim, činjenica da ukupna opskrba energijom opada brže (smanjenje u 2011. za 6,8 % u usporedbi s 2010.) nego potrošnja (smanjenje u 2011. za 2,5 % u usporedbi s 2010.) istovremeno podrazumijeva ograničene učinke mjera energetske učinkovitosti</w:t>
      </w:r>
      <w:r w:rsidRPr="00C244E3">
        <w:rPr>
          <w:rFonts w:ascii="Times New Roman" w:eastAsia="Times New Roman" w:hAnsi="Times New Roman" w:cs="Times New Roman"/>
          <w:color w:val="000000"/>
          <w:spacing w:val="-1"/>
          <w:sz w:val="24"/>
          <w:szCs w:val="24"/>
          <w:lang w:eastAsia="hr-HR"/>
        </w:rPr>
        <w:t xml:space="preserve">. </w:t>
      </w:r>
    </w:p>
    <w:p w:rsidR="00C244E3" w:rsidRPr="00C244E3" w:rsidRDefault="00C244E3" w:rsidP="00C244E3">
      <w:pPr>
        <w:widowControl w:val="0"/>
        <w:shd w:val="clear" w:color="auto" w:fill="FFFFFF"/>
        <w:tabs>
          <w:tab w:val="left" w:pos="5299"/>
          <w:tab w:val="left" w:pos="10099"/>
        </w:tabs>
        <w:autoSpaceDE w:val="0"/>
        <w:autoSpaceDN w:val="0"/>
        <w:adjustRightInd w:val="0"/>
        <w:spacing w:before="427" w:after="0" w:line="466" w:lineRule="exact"/>
        <w:rPr>
          <w:rFonts w:ascii="Arial" w:eastAsia="Times New Roman" w:hAnsi="Arial" w:cs="Arial"/>
          <w:sz w:val="20"/>
          <w:szCs w:val="20"/>
          <w:lang w:eastAsia="hr-HR"/>
        </w:rPr>
        <w:sectPr w:rsidR="00C244E3" w:rsidRPr="00C244E3">
          <w:pgSz w:w="11909" w:h="16834"/>
          <w:pgMar w:top="1191"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after="0" w:line="274"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lastRenderedPageBreak/>
        <w:t>Na sektorskoj razini, glavni fokus je na građevinskom sektoru s najvišim udjelom u potrošnji energije i relativno visokoj razini ODEX-a, uz mali trend rasta. Što se tiče industrije, povišeni pad potrošnje popraćen je ne tako oštrim smanjenjem ODEX-a, dok uslužni sektor jedan ima najnegativniji trend ODEX-a koji podrazumijeva potencijal za značajne uštede energije u i tim sektorima</w:t>
      </w:r>
      <w:r w:rsidRPr="00C244E3">
        <w:rPr>
          <w:rFonts w:ascii="Times New Roman" w:eastAsia="Times New Roman" w:hAnsi="Times New Roman" w:cs="Times New Roman"/>
          <w:color w:val="000000"/>
          <w:sz w:val="24"/>
          <w:szCs w:val="24"/>
          <w:lang w:eastAsia="hr-HR"/>
        </w:rPr>
        <w:t>.</w:t>
      </w:r>
    </w:p>
    <w:p w:rsidR="00C244E3" w:rsidRPr="00C244E3" w:rsidRDefault="00C244E3" w:rsidP="009B2E82">
      <w:pPr>
        <w:widowControl w:val="0"/>
        <w:shd w:val="clear" w:color="auto" w:fill="FFFFFF"/>
        <w:autoSpaceDE w:val="0"/>
        <w:autoSpaceDN w:val="0"/>
        <w:adjustRightInd w:val="0"/>
        <w:spacing w:before="274"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Potrošnja energije</w:t>
      </w:r>
    </w:p>
    <w:p w:rsidR="00C244E3" w:rsidRPr="00C244E3" w:rsidRDefault="00C244E3" w:rsidP="009B2E82">
      <w:pPr>
        <w:widowControl w:val="0"/>
        <w:shd w:val="clear" w:color="auto" w:fill="FFFFFF"/>
        <w:autoSpaceDE w:val="0"/>
        <w:autoSpaceDN w:val="0"/>
        <w:adjustRightInd w:val="0"/>
        <w:spacing w:before="274" w:after="0" w:line="278"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U 2011. godini, konačna potrošnja energije iznosila je 280 PJ s sa stabilnim trendom opadanja tijekom razdoblja 2008. - 2011. Zgrade (uključujući stambene, javne i komercijalne zgrade) imaju najveći udio u konačnoj potrošnji energije koji je iznosio 43 % u 2011. godini. Od toga, dvije trećine otpada na sektor stambenih zgrada, a jedna trećina na javne i komercijalne zgrade. Prosječna potrošnja energije po kućanstvu (kWh/m</w:t>
      </w:r>
      <w:r w:rsidRPr="00C244E3">
        <w:rPr>
          <w:rFonts w:ascii="Times New Roman" w:eastAsia="Times New Roman" w:hAnsi="Times New Roman" w:cs="Times New Roman"/>
          <w:color w:val="000000"/>
          <w:spacing w:val="-1"/>
          <w:sz w:val="24"/>
          <w:szCs w:val="24"/>
          <w:vertAlign w:val="superscript"/>
          <w:lang w:eastAsia="hr-HR"/>
        </w:rPr>
        <w:t>2</w:t>
      </w:r>
      <w:r w:rsidRPr="00C244E3">
        <w:rPr>
          <w:rFonts w:ascii="Times New Roman" w:eastAsia="Times New Roman" w:hAnsi="Times New Roman" w:cs="Times New Roman"/>
          <w:color w:val="000000"/>
          <w:spacing w:val="-1"/>
          <w:sz w:val="24"/>
          <w:szCs w:val="24"/>
          <w:lang w:eastAsia="hr-HR"/>
        </w:rPr>
        <w:t>) viša je nego u susjednim državama članicama EU-a, pri čemu na grijanje/hlađenje otpada 70% potrošnje energije u kućanstvima. Pokrivenost naprednim mjernim sustavima (pametno mjerenje) i drugim pametnim energetskim tehnologijama još je uvijek vrlo ograničena. Iza sektora zgradarstva slijedi sektor prometa, na koji otpada 33% konačne potrošnje energije te industrijski sektor sa 17 % i s gotovo 50 % energije potrošene ugljenom, tekućim i plinovitim gorivima, i najzad sektor poljoprivrede i građevinski sektor na koje otpada 4 % i 2 % konačne potrošnje energije, tim redoslijedom.</w:t>
      </w:r>
    </w:p>
    <w:p w:rsidR="00C244E3" w:rsidRPr="00C244E3" w:rsidRDefault="00C244E3" w:rsidP="009B2E82">
      <w:pPr>
        <w:widowControl w:val="0"/>
        <w:shd w:val="clear" w:color="auto" w:fill="FFFFFF"/>
        <w:autoSpaceDE w:val="0"/>
        <w:autoSpaceDN w:val="0"/>
        <w:adjustRightInd w:val="0"/>
        <w:spacing w:before="274" w:after="0" w:line="278"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Stoga je predviđeno pružanje potpore u sklopu tematskog cilja 4 s fokusom na promicanje obnovljive energije i mjera energetske učinkovitosti koje se odnose i na privatni sektor (poduzeća/MSP-ove) i infrastrukturu javnog sektora i stambenog sektora, budući da su to sektori s najvećim udjelom u potrošnji energije i koji pretežno koriste energiju na bazi ugljika. Osim izravnih koristi u smanjenju emisija, učinkovitosti resursa i smanjenju troškova, ulaganja u obnovljive izvore energije i mjere energetske učinkovitosti omogućit će diversifikaciju izvora energije i povećanje sigurnosti opskrbe, ali i "zelene poslove" i razvoj tehnologije/proizvodnje.</w:t>
      </w:r>
    </w:p>
    <w:p w:rsidR="00C244E3" w:rsidRPr="00C244E3" w:rsidRDefault="00C244E3" w:rsidP="009B2E82">
      <w:pPr>
        <w:widowControl w:val="0"/>
        <w:shd w:val="clear" w:color="auto" w:fill="FFFFFF"/>
        <w:autoSpaceDE w:val="0"/>
        <w:autoSpaceDN w:val="0"/>
        <w:adjustRightInd w:val="0"/>
        <w:spacing w:before="274" w:after="0" w:line="278"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Ove mjere izravno će pridonijeti energetskim i klimatskim ciljevima Strategije EU 2020. koji su preneseni u nacionalne ciljeve (u smislu obnovljivih izvora energije i energetske učinkovitosti), na sljedeći način</w:t>
      </w:r>
      <w:r w:rsidRPr="00C244E3">
        <w:rPr>
          <w:rFonts w:ascii="Times New Roman" w:eastAsia="Times New Roman" w:hAnsi="Times New Roman" w:cs="Times New Roman"/>
          <w:color w:val="000000"/>
          <w:sz w:val="24"/>
          <w:szCs w:val="24"/>
          <w:lang w:eastAsia="hr-HR"/>
        </w:rPr>
        <w:t>:</w:t>
      </w:r>
    </w:p>
    <w:p w:rsidR="00C244E3" w:rsidRPr="00C244E3" w:rsidRDefault="00C244E3" w:rsidP="009B2E82">
      <w:pPr>
        <w:widowControl w:val="0"/>
        <w:numPr>
          <w:ilvl w:val="0"/>
          <w:numId w:val="3"/>
        </w:numPr>
        <w:shd w:val="clear" w:color="auto" w:fill="FFFFFF"/>
        <w:tabs>
          <w:tab w:val="left" w:pos="1531"/>
        </w:tabs>
        <w:autoSpaceDE w:val="0"/>
        <w:autoSpaceDN w:val="0"/>
        <w:adjustRightInd w:val="0"/>
        <w:spacing w:before="120" w:after="0" w:line="274" w:lineRule="exact"/>
        <w:ind w:left="1531" w:right="883" w:hanging="317"/>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Nacionalni akcijski plan za obnovljive izvore energije za 2020. ima za cilj postizanje udjela od 39 %, 10 % i 19,6 % u bruto konačnoj potrošnji energije u električnoj energiji, prijevozu te grijanju i hlađenju;</w:t>
      </w:r>
    </w:p>
    <w:p w:rsidR="00C244E3" w:rsidRPr="00C244E3" w:rsidRDefault="00C244E3" w:rsidP="009B2E82">
      <w:pPr>
        <w:widowControl w:val="0"/>
        <w:numPr>
          <w:ilvl w:val="0"/>
          <w:numId w:val="3"/>
        </w:numPr>
        <w:shd w:val="clear" w:color="auto" w:fill="FFFFFF"/>
        <w:tabs>
          <w:tab w:val="left" w:pos="1531"/>
        </w:tabs>
        <w:autoSpaceDE w:val="0"/>
        <w:autoSpaceDN w:val="0"/>
        <w:adjustRightInd w:val="0"/>
        <w:spacing w:before="120" w:after="0" w:line="274" w:lineRule="exact"/>
        <w:ind w:left="1531" w:right="883" w:hanging="317"/>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pacing w:val="1"/>
          <w:sz w:val="24"/>
          <w:szCs w:val="24"/>
          <w:lang w:eastAsia="hr-HR"/>
        </w:rPr>
        <w:t>Nacionalni akcijski plan za energetsku učinkovitost ima za cilj sveukupnu uštedu energije kojoj kućanstva trebaju pridonijeti s 34 %, usluge s 19 %, industrija sa 17 % (isključujući sustav trgovanja emisijama) i prijevoz s 30 %</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74" w:lineRule="exact"/>
        <w:ind w:left="821" w:right="1766"/>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Zaštita okoliša, prilagodba klimatskim promjenama i održivost resursa</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xml:space="preserve">Znakovi </w:t>
      </w:r>
      <w:r w:rsidRPr="00C244E3">
        <w:rPr>
          <w:rFonts w:ascii="Times New Roman" w:eastAsia="Times New Roman" w:hAnsi="Times New Roman" w:cs="Times New Roman"/>
          <w:b/>
          <w:color w:val="000000"/>
          <w:sz w:val="24"/>
          <w:szCs w:val="24"/>
          <w:lang w:eastAsia="hr-HR"/>
        </w:rPr>
        <w:t>klimatskih promjena</w:t>
      </w:r>
      <w:r w:rsidRPr="00C244E3">
        <w:rPr>
          <w:rFonts w:ascii="Times New Roman" w:eastAsia="Times New Roman" w:hAnsi="Times New Roman" w:cs="Times New Roman"/>
          <w:color w:val="000000"/>
          <w:sz w:val="24"/>
          <w:szCs w:val="24"/>
          <w:lang w:eastAsia="hr-HR"/>
        </w:rPr>
        <w:t xml:space="preserve"> vidljivi su i u Hrvatskoj. Indikacije su sljedeće: a) prosječna temperatura zraka postojano raste, u desetljeću od 2001. do 2010. bila je najviša ikad zabilježena i viša za 1°C u odnosu na prosječnu temperaturu razdoblja između 1961. i 1990; porastao je i broj vrlo toplih dana, pogotovo u ljetnom razdoblju; b) manje intenzivno, ali jednako postojano, smanjuju se godišnje razine padalina; c) trend isparavanja u usporedbi s kretanjima temperature zraka; d) povećana stopa ekstremnih vremenskih pojava koje se mogu pripisati klimatskim promjenama.</w:t>
      </w:r>
    </w:p>
    <w:p w:rsidR="00C244E3" w:rsidRPr="00C244E3" w:rsidRDefault="00C244E3" w:rsidP="00C244E3">
      <w:pPr>
        <w:widowControl w:val="0"/>
        <w:shd w:val="clear" w:color="auto" w:fill="FFFFFF"/>
        <w:tabs>
          <w:tab w:val="left" w:pos="5261"/>
          <w:tab w:val="left" w:pos="10099"/>
        </w:tabs>
        <w:autoSpaceDE w:val="0"/>
        <w:autoSpaceDN w:val="0"/>
        <w:adjustRightInd w:val="0"/>
        <w:spacing w:before="691" w:after="0" w:line="355" w:lineRule="exact"/>
        <w:rPr>
          <w:rFonts w:ascii="Arial" w:eastAsia="Times New Roman" w:hAnsi="Arial" w:cs="Arial"/>
          <w:sz w:val="20"/>
          <w:szCs w:val="20"/>
          <w:lang w:eastAsia="hr-HR"/>
        </w:rPr>
        <w:sectPr w:rsidR="00C244E3" w:rsidRPr="00C244E3">
          <w:pgSz w:w="11909" w:h="16834"/>
          <w:pgMar w:top="1193"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lastRenderedPageBreak/>
        <w:t>Imajući u vidu potencijalne učinke i njezino prirodno i gospodarsko okruženje, Hrvatsku možemo smatrati visoko ugroženom klimatskim promjenama.</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Što se tiče očekivanih utjecaja klimatskih promjena, scenarij lokaliziranih klimatskih promjena (razdoblje 2011. - 2040.) za Hrvatsku pokazuje sljedeće rezultate: daljnji porast prosječne temperature zraka, posebno tijekom ljetnog razdoblja, s očekivanim povećanjem od 0,8°C do 1°C (više u obalnim područjima i na otocima) i s neprekidnim trendom smanjenja padalina, s najvećim očekivanim smanjenjem tijekom jeseni (8 - 12 % u prosjeku), ali sa značajnim regionalnim razlikama, tj. ovaj učinak je primjenjiviji na južni dio Hrvatske. Osim sektora koji su presudni za gospodarstvo (tj. oni koji najviše pridonose BDP-u) poput turizma i poljoprivrede, klimatskim promjenama ugroženi su i postojeći ekosustavi i infrastruktura, prije svega u obalnim područjima i šumama, koje prekrivaju 47 % hrvatskog teritorija.</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Međutim, dosad se Hrvatska uglavnom bavila ublažavanjem učinaka klimatskih promjena, a ne prilagodbom na njih. Iako su mjere ublažavanja važne te su pokrivene  drugim tematskim ciljevima (pogotovo tematskim ciljem 4, mjerama energetske učinkovitosti i obnovljivih izvora energije), prilagodba se mora ozbiljnije rješavati u skladu s ciljevima i prioritetnim ulaganjima utvrđenima u Nacionalnoj strategiji prilagodbe koju je potrebno donijeti do kraja 2016.</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Iako se ne može sve pripisati isključivo učincima klimatskih promjena, mora se reći da šteta nastala uslijed prirodnih katastrofa u prosjeku iznosi više od 200 milijuna eura godišnje samo za poplave, suše i požare. Potrebno je implementirati konkretne mjere za smanjenje </w:t>
      </w:r>
      <w:r w:rsidRPr="00C244E3">
        <w:rPr>
          <w:rFonts w:ascii="Times New Roman" w:eastAsia="Times New Roman" w:hAnsi="Times New Roman" w:cs="Times New Roman"/>
          <w:b/>
          <w:color w:val="000000"/>
          <w:sz w:val="24"/>
          <w:szCs w:val="24"/>
          <w:lang w:eastAsia="hr-HR"/>
        </w:rPr>
        <w:t>rizika od katastrofa</w:t>
      </w:r>
      <w:r w:rsidRPr="00C244E3">
        <w:rPr>
          <w:rFonts w:ascii="Times New Roman" w:eastAsia="Times New Roman" w:hAnsi="Times New Roman" w:cs="Times New Roman"/>
          <w:color w:val="000000"/>
          <w:sz w:val="24"/>
          <w:szCs w:val="24"/>
          <w:lang w:eastAsia="hr-HR"/>
        </w:rPr>
        <w:t xml:space="preserve"> i povećanje prevencije, spremnosti i reakcije na katastrofe, na temelju procjene rizika od katastrofa (rok za prioritetizaciju rizika i pripadajućih mjera je do kraja 2015.) i strategije smanjenja rizika od katastrofa. Hrvatska je zasad pripremila</w:t>
      </w:r>
      <w:r>
        <w:rPr>
          <w:rFonts w:ascii="Times New Roman" w:eastAsia="Times New Roman" w:hAnsi="Times New Roman" w:cs="Times New Roman"/>
          <w:color w:val="000000"/>
          <w:sz w:val="24"/>
          <w:szCs w:val="24"/>
          <w:lang w:eastAsia="hr-HR"/>
        </w:rPr>
        <w:t xml:space="preserve"> </w:t>
      </w:r>
      <w:r w:rsidRPr="00C244E3">
        <w:rPr>
          <w:rFonts w:ascii="Times New Roman" w:eastAsia="Times New Roman" w:hAnsi="Times New Roman" w:cs="Times New Roman"/>
          <w:color w:val="000000"/>
          <w:sz w:val="24"/>
          <w:szCs w:val="24"/>
          <w:lang w:eastAsia="hr-HR"/>
        </w:rPr>
        <w:t>Procjenu ugroženosti, u kojoj je navedeno 11 rizika, od kojih neki ne uzrokuju štetu na godišnjoj razini, ali ipak mogu uzrokovati goleme štete, dok se neke događaju gotovo redovito. Prema privremenoj procjeni rizika od poplava, približno 1/3 područja smatra se visokorizičnim, tj. bez ikakve zaštite ili s ograničenom zaštitom, dok se samo 1,1 % poljoprivrednog zemljišta navodnjava.</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U Hrvatskoj, u okviru nekoliko okolišnih komponenti, još uvijek su potrebna ulaganja za održavanje sadašnjeg statusa ili za poboljšanje postojeće razine upravljanja, što se lako može vidjeti po izdacima za zaštitu okoliša ( Izraženima kao</w:t>
      </w:r>
      <w:r>
        <w:rPr>
          <w:rFonts w:ascii="Times New Roman" w:eastAsia="Times New Roman" w:hAnsi="Times New Roman" w:cs="Times New Roman"/>
          <w:color w:val="000000"/>
          <w:sz w:val="24"/>
          <w:szCs w:val="24"/>
          <w:lang w:eastAsia="hr-HR"/>
        </w:rPr>
        <w:t xml:space="preserve"> </w:t>
      </w:r>
      <w:r w:rsidRPr="00C244E3">
        <w:rPr>
          <w:rFonts w:ascii="Times New Roman" w:eastAsia="Times New Roman" w:hAnsi="Times New Roman" w:cs="Times New Roman"/>
          <w:color w:val="000000"/>
          <w:sz w:val="24"/>
          <w:szCs w:val="24"/>
          <w:lang w:eastAsia="hr-HR"/>
        </w:rPr>
        <w:t>postotak BDP-a), koji je još uvijek niži od prosjeka Europske unije (1,1 % do 1,8 %).</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xml:space="preserve">Postojeći sustav </w:t>
      </w:r>
      <w:r w:rsidRPr="00C244E3">
        <w:rPr>
          <w:rFonts w:ascii="Times New Roman" w:eastAsia="Times New Roman" w:hAnsi="Times New Roman" w:cs="Times New Roman"/>
          <w:b/>
          <w:color w:val="000000"/>
          <w:sz w:val="24"/>
          <w:szCs w:val="24"/>
          <w:lang w:eastAsia="hr-HR"/>
        </w:rPr>
        <w:t>gospodarenja otpadom</w:t>
      </w:r>
      <w:r w:rsidRPr="00C244E3">
        <w:rPr>
          <w:rFonts w:ascii="Times New Roman" w:eastAsia="Times New Roman" w:hAnsi="Times New Roman" w:cs="Times New Roman"/>
          <w:color w:val="000000"/>
          <w:sz w:val="24"/>
          <w:szCs w:val="24"/>
          <w:lang w:eastAsia="hr-HR"/>
        </w:rPr>
        <w:t xml:space="preserve"> može se ocijeniti kao ekološki neprihvatljiv i neodrživ, obilježen nedostatnim postrojenjima za gospodarenje otpadom, visokim udjelom komunalnog/biorazgradivog otpada koji se odlaže na odlagališta otpada i niskim udjelom recikliranja iz komunalnog otpada (KO). Usporedno, Hrvatska treba riješiti problem naslijeđa neadekvatnog gospodarenja otpadom sanacijom odlagališta komunalnog otpada, nelegalnih odlagališta i "vrućih točaka" (mjesta visoko zagađenih otpadom). Sve ove potrebe jasno su povezane s prijelaznim razdobljima za usklađenost s europskim direktivama o otpadu navedenim u Ugovoru o pristupanju, vezanim uz postupno smanjenje a) udjela biorazgradivog komunalnog otpada koji se odlaže na odlagalištima otpada i b) otpada odloženog na postojećim nesukladnim odlagalištima otpada</w:t>
      </w:r>
      <w:r w:rsidRPr="00C244E3">
        <w:rPr>
          <w:rFonts w:ascii="Times New Roman" w:eastAsia="Times New Roman" w:hAnsi="Times New Roman" w:cs="Times New Roman"/>
          <w:color w:val="000000"/>
          <w:spacing w:val="-2"/>
          <w:sz w:val="24"/>
          <w:szCs w:val="24"/>
          <w:lang w:eastAsia="hr-HR"/>
        </w:rPr>
        <w:t>.</w:t>
      </w:r>
    </w:p>
    <w:p w:rsidR="00C244E3" w:rsidRPr="00C244E3" w:rsidRDefault="00C244E3" w:rsidP="00C244E3">
      <w:pPr>
        <w:widowControl w:val="0"/>
        <w:shd w:val="clear" w:color="auto" w:fill="FFFFFF"/>
        <w:tabs>
          <w:tab w:val="left" w:pos="5261"/>
          <w:tab w:val="left" w:pos="10099"/>
        </w:tabs>
        <w:autoSpaceDE w:val="0"/>
        <w:autoSpaceDN w:val="0"/>
        <w:adjustRightInd w:val="0"/>
        <w:spacing w:before="821" w:after="0" w:line="355" w:lineRule="exact"/>
        <w:rPr>
          <w:rFonts w:ascii="Arial" w:eastAsia="Times New Roman" w:hAnsi="Arial" w:cs="Arial"/>
          <w:sz w:val="20"/>
          <w:szCs w:val="20"/>
          <w:lang w:eastAsia="hr-HR"/>
        </w:rPr>
        <w:sectPr w:rsidR="00C244E3" w:rsidRPr="00C244E3">
          <w:pgSz w:w="11909" w:h="16834"/>
          <w:pgMar w:top="1193"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lastRenderedPageBreak/>
        <w:t>Javni sustav za sakupljanje otpada pokriva 99 % stanovništva, ali sveukupni sustav je usredotočen na sakupljanje otpada kao takvo te na odlaganje. Primjerice, u 2012. godini 83 % komunalnog otpada bilo je zbrinuto na odlagalištima otpada (prosjek Europske unije je 34 %). To je izrazito važno imajući u vidu da biorazgradivi otpad čini 65 % ukupnog komunalnog otpada, što dovodi do činjenice da je 83 % biorazgradivog otpada zbrinuto na odlagalištima, dok se mali dio odvojeno sakuplja i reciklira. U 2012. postojala su 302 službena neregulirana odlagališta komunalnog otpada od kojih je 113 sanirano (među kojima je otpad u potpunosti uklonjen sa 71 lokacije) dok je dodatno 51 odlagalište bilo u postupku sanacije. Osim tih nereguliranih odlagališta komunalnog otpada, postoje brojni neslužbeni deponiji (divlje lokacije) koje je također potrebno sanirati. Što se tiče modernog gospodarenja otpadom i infrastrukture za odlaganje otpada, Hrvatska je u postupku uspostave novih centara za gospodarenje otpadom financiranih iz pomoći Europske unije u razdoblju 2005. - 2013. (centri za gospodarenje otpadom Bikarac, Marišćina i Kaštijun).</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Od 1997. do 2008. količina komunalnog otpada povećala se za 76 %. Iako se u razdoblju 2008. - 2012. količina komunalnog otpada smanjila za 7 %, u posljednje tri godine ponovo je prisutan lagani trend rasta (porast od 2,5 % u 2012. u usporedbi s 2010.). U 2012. stvoreno je ukupno 1,670.005 t komunalnog otpada, tj. 390 kg po stanovniku, što je ispod prosjeka Europske unije (503 kg po stanovniku). Od tog iznosa, 23 % je odvojeno sakupljeno, međutim, samo 15 % ukupnog komunalnog otpada je poslano na oporabu. Od 2007., Hrvatska provodi posebno zakonodavstvo povezano s odvojenim sakupljanjem i ponovnom upotrebom posebnih kategorija otpada, što je pokazalo dobre rezultate u praksi, posebno stopa sakupljanja i recikliranja ambalažnog otpada; međutim sveukupna stopa reciklaže je relativno niska. U smislu opasnog otpada (OO), prosječna godišnja količina iznosi oko 60.000 t (66.000 t u 2012.), dok se procjenjuje da je stvarni iznos generiranog opasnog otpada oko 213.000 t. Značajan udjel (66 %) generiranog opasnog otpada odnosi se na posebne kategorije otpada, kao što su otpadna vozila, elektronički otpad, građevni otpad koji sadržava azbest, otpadno ulje te baterije i akumulatori. Posebna značajka hrvatskog sustava gospodarenja otpadom povezana je s 13 lokacija visoko zagađenih otpadom ("crne točke"), tj. lokacija nastalih dugoročnim neprikladnim gospodarenjem industrijskim (tehnološkim) otpadom koji predstavlja prijetnju ne samo okolišu, već i ljudskom zdravlju. Zaključno, sustav gospodarenja otpadom obilježen je potrebom usklađenosti s relevantnim europskim zahtjevima i normama, ali takvo usklađivanje zahtijeva značajna ulaganja.</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xml:space="preserve">Ista vrsta potrebe vrijedi i za sektor </w:t>
      </w:r>
      <w:r w:rsidRPr="00C244E3">
        <w:rPr>
          <w:rFonts w:ascii="Times New Roman" w:eastAsia="Times New Roman" w:hAnsi="Times New Roman" w:cs="Times New Roman"/>
          <w:b/>
          <w:color w:val="000000"/>
          <w:sz w:val="24"/>
          <w:szCs w:val="24"/>
          <w:lang w:eastAsia="hr-HR"/>
        </w:rPr>
        <w:t>vodnog gospodarstva</w:t>
      </w:r>
      <w:r w:rsidRPr="00C244E3">
        <w:rPr>
          <w:rFonts w:ascii="Times New Roman" w:eastAsia="Times New Roman" w:hAnsi="Times New Roman" w:cs="Times New Roman"/>
          <w:color w:val="000000"/>
          <w:sz w:val="24"/>
          <w:szCs w:val="24"/>
          <w:lang w:eastAsia="hr-HR"/>
        </w:rPr>
        <w:t>. Dok se situacija s pokrivenošću vodoopskrbnim sustavima može općenito ocijeniti kao zadovoljavajuća, s približno 80 % populacije priključene na javne sustave (ostali se opskrbljuju iz takozvanih lokalnih sustava ili pojedinačno iz vlastitih bunara, cisterni, itd.), potrebno je istaknuti i značajne regionalne razlike, tj. stopa priključenosti je viša u jadranskom slivu (91 %) nego u crnomorskom slivu (77 %). Stanovništvo koje nema priključke na javni sustav vodoopskrbe (otprilike 20 %) snabdijeva se iz takozvanih lokalnih sustava ili pojedinačno iz vlastitih bunara, cisterni, itd. Indeks učinkovitosti korištenja vode (omjer između isporučene i crpljene količine vode) iznosi oko 56 %, što podrazumijeva visoke gubitke unutar sustava od 44 %. Problem s kakvoćom vode postoji u ograničenom geografskom obuhvatu, a povezan je s prirodno uzrokovanim problemima s razinom željeza, mangana, amonijaka i arsena, a to traži zahtjevnije postupke pročišćavanja vode za piće. S druge strane, javni sustav odvodnje nije razvijen kao javni vodoopskrbni sustav i ima prilično nisku razinu priključenosti (stopa priključenosti stanovništva iznosi 44 %), što je definitivno nisko u usporedbi s većinom država članica Europske unije</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C244E3">
      <w:pPr>
        <w:widowControl w:val="0"/>
        <w:shd w:val="clear" w:color="auto" w:fill="FFFFFF"/>
        <w:tabs>
          <w:tab w:val="left" w:pos="5261"/>
          <w:tab w:val="left" w:pos="10099"/>
        </w:tabs>
        <w:autoSpaceDE w:val="0"/>
        <w:autoSpaceDN w:val="0"/>
        <w:adjustRightInd w:val="0"/>
        <w:spacing w:before="446" w:after="0" w:line="466" w:lineRule="exact"/>
        <w:rPr>
          <w:rFonts w:ascii="Arial" w:eastAsia="Times New Roman" w:hAnsi="Arial" w:cs="Arial"/>
          <w:sz w:val="20"/>
          <w:szCs w:val="20"/>
          <w:lang w:eastAsia="hr-HR"/>
        </w:rPr>
        <w:sectPr w:rsidR="00C244E3" w:rsidRPr="00C244E3">
          <w:pgSz w:w="11909" w:h="16834"/>
          <w:pgMar w:top="1191"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lastRenderedPageBreak/>
        <w:t>Razlika u stopi priključenosti vidljiva je i na regionalnoj razini (niža razina u dalmatinskom slivu (31 %) u usporedbi s drugim slivovima), ali više u smislu veličine naselja, sa stopom na relativno zadovoljavajućoj razini samo u naseljima s brojem stanovnika većim od 10.000. Osim toga, obrađuje se samo 28 % prikupljenih otpadnih voda, no potrebno je naglasiti da se 1/3 tog postotka zapravo odnosi na predobradu ili primarno pročišćavanje otpadnih voda. Vrlo niska razina obrade otpadnih voda ukazuje na veliku potrebu za ulaganjima u prikupljanje otpadnih voda i uvođenje odgovarajuće razine obrade otpadnih voda s ciljem postizanja dobrog stanja voda. Što se tiče priobalnih voda, velika većina je ocijenjena vrlo dobrim ekološkim statusom (vodeći rang). Međutim, u posljednjih pet godina uočava se porast onečišćenja. Ovaj operativni program bavi se ovim pitanjem prvenstveno na način da osigurava mjere unapređenja obrade otpadnih voda koje se ispuštaju u priobalne vode. Naposljetku, sve mjere u sklopu sektora vodnoga gospodarstva  polaze od i u skladu su s Planom upravljanja vodnim područjima (važeći Plan za razdoblje 2012. - 2015. i novi Plan za razdoblje 2016. - 2021. koji treba pripremiti do kraja 2015.) kao integriranim dokumentom koji uključuje sve mjere i aktivnosti povezane s vodama.</w:t>
      </w:r>
    </w:p>
    <w:p w:rsidR="00C244E3" w:rsidRDefault="00C244E3" w:rsidP="009B2E82">
      <w:pPr>
        <w:widowControl w:val="0"/>
        <w:shd w:val="clear" w:color="auto" w:fill="FFFFFF"/>
        <w:autoSpaceDE w:val="0"/>
        <w:autoSpaceDN w:val="0"/>
        <w:adjustRightInd w:val="0"/>
        <w:spacing w:before="278" w:after="0" w:line="274" w:lineRule="exact"/>
        <w:ind w:left="816" w:right="883"/>
        <w:jc w:val="both"/>
        <w:rPr>
          <w:rFonts w:ascii="Times New Roman" w:eastAsia="Times New Roman" w:hAnsi="Times New Roman" w:cs="Times New Roman"/>
          <w:color w:val="000000"/>
          <w:spacing w:val="-3"/>
          <w:sz w:val="24"/>
          <w:szCs w:val="24"/>
          <w:lang w:eastAsia="hr-HR"/>
        </w:rPr>
      </w:pPr>
      <w:r w:rsidRPr="00C244E3">
        <w:rPr>
          <w:rFonts w:ascii="Times New Roman" w:eastAsia="Times New Roman" w:hAnsi="Times New Roman" w:cs="Times New Roman"/>
          <w:color w:val="000000"/>
          <w:spacing w:val="-1"/>
          <w:sz w:val="24"/>
          <w:szCs w:val="24"/>
          <w:lang w:eastAsia="hr-HR"/>
        </w:rPr>
        <w:t>Budući da danas postoji otprilike 160 javnih isporučitelja vodnih usluga, očito je da je sektor javnih isporučitelja vodnih usluga  uvelike fragmentiran, a kvaliteta usluga je različita. Oko 70 % njih su mala poduzeća s godišnjom distribucijom od manje od 1 mil. m</w:t>
      </w:r>
      <w:r w:rsidRPr="00C244E3">
        <w:rPr>
          <w:rFonts w:ascii="Times New Roman" w:eastAsia="Times New Roman" w:hAnsi="Times New Roman" w:cs="Times New Roman"/>
          <w:color w:val="000000"/>
          <w:spacing w:val="-1"/>
          <w:sz w:val="24"/>
          <w:szCs w:val="24"/>
          <w:vertAlign w:val="superscript"/>
          <w:lang w:eastAsia="hr-HR"/>
        </w:rPr>
        <w:t>3</w:t>
      </w:r>
      <w:r w:rsidRPr="00C244E3">
        <w:rPr>
          <w:rFonts w:ascii="Times New Roman" w:eastAsia="Times New Roman" w:hAnsi="Times New Roman" w:cs="Times New Roman"/>
          <w:color w:val="000000"/>
          <w:spacing w:val="-1"/>
          <w:sz w:val="24"/>
          <w:szCs w:val="24"/>
          <w:lang w:eastAsia="hr-HR"/>
        </w:rPr>
        <w:t xml:space="preserve"> vode (u usporedbi s prosjekom Europske od 45 mil. m</w:t>
      </w:r>
      <w:r w:rsidRPr="00C244E3">
        <w:rPr>
          <w:rFonts w:ascii="Times New Roman" w:eastAsia="Times New Roman" w:hAnsi="Times New Roman" w:cs="Times New Roman"/>
          <w:color w:val="000000"/>
          <w:spacing w:val="-1"/>
          <w:sz w:val="24"/>
          <w:szCs w:val="24"/>
          <w:vertAlign w:val="superscript"/>
          <w:lang w:eastAsia="hr-HR"/>
        </w:rPr>
        <w:t>3</w:t>
      </w:r>
      <w:r w:rsidRPr="00C244E3">
        <w:rPr>
          <w:rFonts w:ascii="Times New Roman" w:eastAsia="Times New Roman" w:hAnsi="Times New Roman" w:cs="Times New Roman"/>
          <w:color w:val="000000"/>
          <w:spacing w:val="-1"/>
          <w:sz w:val="24"/>
          <w:szCs w:val="24"/>
          <w:lang w:eastAsia="hr-HR"/>
        </w:rPr>
        <w:t xml:space="preserve"> vode godišnje). Kapaciteti malih poduzeća u smislu ljudskih resursa i tehničke sposobnosti pripreme i provedbe projekata u razdoblju 2014. - 2020. očigledno nisu dovoljni</w:t>
      </w:r>
      <w:r w:rsidRPr="00C244E3">
        <w:rPr>
          <w:rFonts w:ascii="Times New Roman" w:eastAsia="Times New Roman" w:hAnsi="Times New Roman" w:cs="Times New Roman"/>
          <w:color w:val="000000"/>
          <w:spacing w:val="-3"/>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74" w:lineRule="exact"/>
        <w:ind w:left="81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u w:val="single"/>
          <w:lang w:eastAsia="hr-HR"/>
        </w:rPr>
        <w:t>Na koncu valja napomenuti da su sektori gospodarenja otpadom i vodama poglavito bazirani na usklađivanju s pravnom stečevinom te kao takvi predstavljaju glavne prioritete za financiranje u okviru Prioritetne osi 6 ovog Operativnog programa</w:t>
      </w:r>
      <w:r w:rsidRPr="00C244E3">
        <w:rPr>
          <w:rFonts w:ascii="Times New Roman" w:eastAsia="Times New Roman" w:hAnsi="Times New Roman" w:cs="Times New Roman"/>
          <w:color w:val="000000"/>
          <w:spacing w:val="-3"/>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74" w:lineRule="exact"/>
        <w:ind w:left="811" w:right="883"/>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U pogledu </w:t>
      </w:r>
      <w:r w:rsidRPr="00C244E3">
        <w:rPr>
          <w:rFonts w:ascii="Times New Roman" w:eastAsia="Times New Roman" w:hAnsi="Times New Roman" w:cs="Times New Roman"/>
          <w:b/>
          <w:color w:val="000000"/>
          <w:sz w:val="24"/>
          <w:szCs w:val="24"/>
          <w:lang w:eastAsia="hr-HR"/>
        </w:rPr>
        <w:t>bioraznolikosti</w:t>
      </w:r>
      <w:r w:rsidRPr="00C244E3">
        <w:rPr>
          <w:rFonts w:ascii="Times New Roman" w:eastAsia="Times New Roman" w:hAnsi="Times New Roman" w:cs="Times New Roman"/>
          <w:color w:val="000000"/>
          <w:sz w:val="24"/>
          <w:szCs w:val="24"/>
          <w:lang w:eastAsia="hr-HR"/>
        </w:rPr>
        <w:t xml:space="preserve">, zaštićena područja (ZP), posebice nacionalni parkovi i parkovi prirode, pokrivaju 8,56 % ukupne površine Hrvatske (uključujući 12,20 % kopnenog područja i 1,94 % unutarnjih morskih voda i teritorijalnog mora Republike Hrvatske). Nadalje, zbog svojeg posebnog bogatstva, određena područja su prepoznata od različitih međunarodnih mehanizama zaštite (UNESCO lokaliteti svjetske baštine, UNESCO-ov program Čovjek i biosfera, UNESCO-ovi geoparkovi, Ramsarski popis vlažnih područja od međunarodnog značaja). Međutim, uočava se stalni gubitak bioraznolikosti uzrokovan gubitkom staništa, unosom stranih vrsta u ekosustave, onečišćenjem okoliša, prostornom urbanizacijom, globalnim klimatskim promjenama i pritiscima gospodarskih aktivnosti i neodrživog korištenja prirodnih dobara. Hrvatska ekološka mreža Natura 2000 (www.natura2000.hr) obuhvaća 36,67 % kopnenih i 16,39 % morskih površina (ukupni postotak: 29,38 %), uključujući sve nacionalne parkove i parkove prirode. Međutim, uspostava područja važnih za očuvanje ugroženih i rijetkih vrsta i tipova staništa - EU Natura 2000 - te mehanizmi održivog upravljanja, predstavljaju najvažnije obveze zaštite prirode u Hrvatskoj koje zahtijevaju značajne aktivnosti i ulaganja. </w:t>
      </w:r>
    </w:p>
    <w:p w:rsidR="00C244E3" w:rsidRDefault="00C244E3" w:rsidP="009B2E82">
      <w:pPr>
        <w:widowControl w:val="0"/>
        <w:shd w:val="clear" w:color="auto" w:fill="FFFFFF"/>
        <w:autoSpaceDE w:val="0"/>
        <w:autoSpaceDN w:val="0"/>
        <w:adjustRightInd w:val="0"/>
        <w:spacing w:before="278" w:after="0" w:line="274" w:lineRule="exact"/>
        <w:ind w:left="811" w:right="883"/>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S obzirom na to, također treba riješiti i posebno pitanje s kojim je Hrvatska suočena kao posljedicom domovinskog rata iz ranih 1990-ih, a to je kontaminacija minama i drugim neeksplodiranim ubojitim sredstvima. Naime, ukupna površina područja za koja se sumnja da su kontaminirana minama, unutar zaštićenih područja prirode i područja Natura 2000, doseže 313 km</w:t>
      </w:r>
      <w:r w:rsidRPr="00C244E3">
        <w:rPr>
          <w:rFonts w:ascii="Times New Roman" w:eastAsia="Times New Roman" w:hAnsi="Times New Roman" w:cs="Times New Roman"/>
          <w:color w:val="000000"/>
          <w:sz w:val="24"/>
          <w:szCs w:val="24"/>
          <w:vertAlign w:val="superscript"/>
          <w:lang w:eastAsia="hr-HR"/>
        </w:rPr>
        <w:t>2</w:t>
      </w:r>
      <w:r w:rsidRPr="00C244E3">
        <w:rPr>
          <w:rFonts w:ascii="Times New Roman" w:eastAsia="Times New Roman" w:hAnsi="Times New Roman" w:cs="Times New Roman"/>
          <w:color w:val="000000"/>
          <w:sz w:val="24"/>
          <w:szCs w:val="24"/>
          <w:lang w:eastAsia="hr-HR"/>
        </w:rPr>
        <w:t>, što je preko 50 % ukupnog hrvatskog teritorija za koji se sumnja da je kontaminiran minama. Posebice, problem mina neproporcionalno je prisutan u šumama; od ukupnog područja kontaminiranog minama, oko 80 % su šume i šumska zemljišta, dok je taj postotak čak i veći (90 %) ako se broje područja unutar ekološke mreže Natura 2000.</w:t>
      </w:r>
      <w:r>
        <w:rPr>
          <w:rFonts w:ascii="Times New Roman" w:eastAsia="Times New Roman" w:hAnsi="Times New Roman" w:cs="Times New Roman"/>
          <w:color w:val="000000"/>
          <w:sz w:val="24"/>
          <w:szCs w:val="24"/>
          <w:lang w:eastAsia="hr-HR"/>
        </w:rPr>
        <w:t xml:space="preserve"> </w:t>
      </w:r>
      <w:r w:rsidRPr="00C244E3">
        <w:rPr>
          <w:rFonts w:ascii="Times New Roman" w:eastAsia="Times New Roman" w:hAnsi="Times New Roman" w:cs="Times New Roman"/>
          <w:color w:val="000000"/>
          <w:sz w:val="24"/>
          <w:szCs w:val="24"/>
          <w:lang w:eastAsia="hr-HR"/>
        </w:rPr>
        <w:t xml:space="preserve">Takva situacija ugrožava učinkovito upravljanje šumama, sputavajući njihovo očuvanje dovodeći do njihove </w:t>
      </w:r>
      <w:r w:rsidRPr="00C244E3">
        <w:rPr>
          <w:rFonts w:ascii="Times New Roman" w:eastAsia="Times New Roman" w:hAnsi="Times New Roman" w:cs="Times New Roman"/>
          <w:color w:val="000000"/>
          <w:sz w:val="24"/>
          <w:szCs w:val="24"/>
          <w:lang w:eastAsia="hr-HR"/>
        </w:rPr>
        <w:lastRenderedPageBreak/>
        <w:t>daljnje degradacije, smanjujući tako vrijednost općekorisnih funkcija suma i k</w:t>
      </w:r>
      <w:r>
        <w:rPr>
          <w:rFonts w:ascii="Times New Roman" w:eastAsia="Times New Roman" w:hAnsi="Times New Roman" w:cs="Times New Roman"/>
          <w:color w:val="000000"/>
          <w:sz w:val="24"/>
          <w:szCs w:val="24"/>
          <w:lang w:eastAsia="hr-HR"/>
        </w:rPr>
        <w:t xml:space="preserve">orištenje zelene infrastrukture. </w:t>
      </w:r>
    </w:p>
    <w:p w:rsidR="00C244E3" w:rsidRDefault="00C244E3" w:rsidP="009B2E82">
      <w:pPr>
        <w:widowControl w:val="0"/>
        <w:shd w:val="clear" w:color="auto" w:fill="FFFFFF"/>
        <w:autoSpaceDE w:val="0"/>
        <w:autoSpaceDN w:val="0"/>
        <w:adjustRightInd w:val="0"/>
        <w:spacing w:before="278" w:after="0" w:line="274" w:lineRule="exact"/>
        <w:ind w:left="811" w:right="883"/>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Uz to, takva prirodna baština pruža prilike za gospodarski i društveni razvoj prvenstveno na lokalnoj razini i vezano uz aktivnosti održivog turizma. Kao zemlja s dugom obalom i velikim morskim područjem, Hrvatska treba zaštititi i očuvati svoj morski okoliš, spriječiti njegovo propadanje, obnoviti morske ekosustave u područjima nepovoljnog utjecaja te smanjiti unos onečišćivača u morski okoliš. U skladu sa Zakonom o zaštiti okoliša (NN 80/13), koncept i načela ratificirane Barcelonske konvencije - protokol Integralnog upravljanja obalnim područjem - trebali bi biti uvršteni u nacionalnu morsku strategiju (koju je potrebno razviti u skladu s Okvirnom direktivom o morskoj strategiji 2008/56/EC ODMS). Buduće planirane aktivnosti temeljit će se na Strategiji upravljanja morskim okolišem i obalnim područjem (u planu za pripremu do kraja 2016. godine) i uključit će niz prioritetnih mjera i radnji (tzv. "program mjera namijenjenih postizanju i održavanju dobrog stanja  morskog okoliša</w:t>
      </w:r>
      <w:r>
        <w:rPr>
          <w:rFonts w:ascii="Times New Roman" w:eastAsia="Times New Roman" w:hAnsi="Times New Roman" w:cs="Times New Roman"/>
          <w:color w:val="000000"/>
          <w:sz w:val="24"/>
          <w:szCs w:val="24"/>
          <w:lang w:eastAsia="hr-HR"/>
        </w:rPr>
        <w:t xml:space="preserve"> do 2020.</w:t>
      </w:r>
    </w:p>
    <w:p w:rsidR="00C244E3" w:rsidRDefault="00C244E3" w:rsidP="009B2E82">
      <w:pPr>
        <w:widowControl w:val="0"/>
        <w:shd w:val="clear" w:color="auto" w:fill="FFFFFF"/>
        <w:autoSpaceDE w:val="0"/>
        <w:autoSpaceDN w:val="0"/>
        <w:adjustRightInd w:val="0"/>
        <w:spacing w:before="278" w:after="0" w:line="274" w:lineRule="exact"/>
        <w:ind w:left="811" w:right="883"/>
        <w:jc w:val="both"/>
        <w:rPr>
          <w:rFonts w:ascii="Times New Roman" w:eastAsia="Times New Roman" w:hAnsi="Times New Roman" w:cs="Times New Roman"/>
          <w:color w:val="000000"/>
          <w:sz w:val="24"/>
          <w:szCs w:val="24"/>
          <w:lang w:eastAsia="hr-HR"/>
        </w:rPr>
      </w:pPr>
    </w:p>
    <w:p w:rsidR="00C244E3" w:rsidRDefault="00C244E3" w:rsidP="009B2E82">
      <w:pPr>
        <w:widowControl w:val="0"/>
        <w:shd w:val="clear" w:color="auto" w:fill="FFFFFF"/>
        <w:autoSpaceDE w:val="0"/>
        <w:autoSpaceDN w:val="0"/>
        <w:adjustRightInd w:val="0"/>
        <w:spacing w:before="278" w:after="0" w:line="274" w:lineRule="exact"/>
        <w:ind w:left="811" w:right="883"/>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b/>
          <w:color w:val="000000"/>
          <w:sz w:val="24"/>
          <w:szCs w:val="24"/>
          <w:lang w:eastAsia="hr-HR"/>
        </w:rPr>
        <w:t>Kulturna baština</w:t>
      </w:r>
      <w:r w:rsidRPr="00C244E3">
        <w:rPr>
          <w:rFonts w:ascii="Times New Roman" w:eastAsia="Times New Roman" w:hAnsi="Times New Roman" w:cs="Times New Roman"/>
          <w:color w:val="000000"/>
          <w:sz w:val="24"/>
          <w:szCs w:val="24"/>
          <w:lang w:eastAsia="hr-HR"/>
        </w:rPr>
        <w:t xml:space="preserve">, slično kao i </w:t>
      </w:r>
      <w:r w:rsidRPr="00C244E3">
        <w:rPr>
          <w:rFonts w:ascii="Times New Roman" w:eastAsia="Times New Roman" w:hAnsi="Times New Roman" w:cs="Times New Roman"/>
          <w:b/>
          <w:color w:val="000000"/>
          <w:sz w:val="24"/>
          <w:szCs w:val="24"/>
          <w:lang w:eastAsia="hr-HR"/>
        </w:rPr>
        <w:t>prirodna baština</w:t>
      </w:r>
      <w:r w:rsidRPr="00C244E3">
        <w:rPr>
          <w:rFonts w:ascii="Times New Roman" w:eastAsia="Times New Roman" w:hAnsi="Times New Roman" w:cs="Times New Roman"/>
          <w:color w:val="000000"/>
          <w:sz w:val="24"/>
          <w:szCs w:val="24"/>
          <w:lang w:eastAsia="hr-HR"/>
        </w:rPr>
        <w:t>, predstavlja značajan gospodarski i razvojni potencijal. Hrvatska na popisu zaštićene kulturne baštine ima oko 8.000 dobara (materijalnih i nematerijalnih), uključujući 7 dobara na UNESCO-ovom popisu svjetske baštine i 14 nematerijalnih dobara na UNESCO-ovom popisu nematerijalne  baštine čovječanstva. Hrvatska također ima relativno dobro razvijene grane kreativnosti i proizvodnje povezane s kulturom. Međutim, cjelokupno upravljanje ovom vrstom baštine nije u skladu s gospodarskim ciljevima, prije svega s potencijalom zapošljavanja, iz razloga što je kulturna baština uvelike neiskorištena. Međutim, mora se spomenuti da se i suprotna situacija, tj. pretjerana/neadekvatna eksploatacija kulturne baštine u gospodarske svrhe, uglavnom za turizam, kao prijetnja njegovoj održivosti, također može uočiti u ograničenom broju područja. Osiguravanje valorizacije potencijala kulturne baštine na održiv način koji će donijeti ekonomsku korist u smislu omogućavanja kreiranja inovativnih usluga i proizvoda s obzirom na kulturnu baštinu, pridonijet će razvoju i zapošljavanju, ali i socijalnoj koheziji regije.</w:t>
      </w:r>
    </w:p>
    <w:p w:rsidR="00C244E3" w:rsidRDefault="00C244E3" w:rsidP="009B2E82">
      <w:pPr>
        <w:widowControl w:val="0"/>
        <w:shd w:val="clear" w:color="auto" w:fill="FFFFFF"/>
        <w:autoSpaceDE w:val="0"/>
        <w:autoSpaceDN w:val="0"/>
        <w:adjustRightInd w:val="0"/>
        <w:spacing w:before="278" w:after="0" w:line="274" w:lineRule="exact"/>
        <w:ind w:left="811" w:right="883"/>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Iako se opće stanje okoliša može ocijeniti dobrim, postoje određeni specifični problemi koji su većinom prostorno (zemljopisno) ograničeni na urbana područja, prvenstveno vezano uz kvalitetu zraka i učinkovitost (fizičkih) resursa. Stoga, kako bi se pridonijelo integriranom i održivom prostornom razvoju, ovaj tematski cilj fokusirat će se na sljedeće: a) osiguravanje provedbe mjera za unapređenje značajki urbanog okoliša, primarno kakvoće zraka, budući da se pitanja povezana s ostalim glavnim ekološkim obilježjima kao što su otpad i voda rješavaju u okviru drugih investicijskih prioriteta; s obzirom na kakvoću zraka, većina Hrvatske spada u I. kategoriju (čist ili neznatno onečišćen), međutim postoje određene iznimke isključivo u urbanim područjima, gdje je kakvoća zraka II. ili III. kategorije (umjereno ili prekomjerno onečišćen zrak); to su najveći gradovi, kod kojih onečišćenje ne uzrokuje samo industrija već i promet, te određena urbana područja srednje veličine, u kojima postoje veća industrijska postrojenja (Kutina, Sisak, Sl. Brod); i b) potporu iskorištavanju postojećih potencijala poput zapuštene infrastrukture i objekata s gospodarskom i društvenom namjenom, odnosno na rekonstrukciju tzv. "brownfield" lokacija, tj. bivših vojnih i industrijskih objekata.</w:t>
      </w:r>
    </w:p>
    <w:p w:rsidR="00C244E3" w:rsidRPr="00C244E3" w:rsidRDefault="00C244E3" w:rsidP="009B2E82">
      <w:pPr>
        <w:widowControl w:val="0"/>
        <w:shd w:val="clear" w:color="auto" w:fill="FFFFFF"/>
        <w:autoSpaceDE w:val="0"/>
        <w:autoSpaceDN w:val="0"/>
        <w:adjustRightInd w:val="0"/>
        <w:spacing w:before="278" w:after="0" w:line="274" w:lineRule="exact"/>
        <w:ind w:left="81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xml:space="preserve">Naposljetku, pitanje </w:t>
      </w:r>
      <w:r w:rsidRPr="00C244E3">
        <w:rPr>
          <w:rFonts w:ascii="Times New Roman" w:eastAsia="Times New Roman" w:hAnsi="Times New Roman" w:cs="Times New Roman"/>
          <w:b/>
          <w:color w:val="000000"/>
          <w:sz w:val="24"/>
          <w:szCs w:val="24"/>
          <w:lang w:eastAsia="hr-HR"/>
        </w:rPr>
        <w:t>administrativnih kapaciteta</w:t>
      </w:r>
      <w:r w:rsidRPr="00C244E3">
        <w:rPr>
          <w:rFonts w:ascii="Times New Roman" w:eastAsia="Times New Roman" w:hAnsi="Times New Roman" w:cs="Times New Roman"/>
          <w:color w:val="000000"/>
          <w:sz w:val="24"/>
          <w:szCs w:val="24"/>
          <w:lang w:eastAsia="hr-HR"/>
        </w:rPr>
        <w:t xml:space="preserve"> (neučinkoviti organizacijski sustav, manjak djelatnika i opreme, potreba za obrazovanjem i izobrazbom itd.) na svim razinama u energetskom sektoru i sektoru zaštite okoliša rješavat će se kao horizontalni prioritet, tj. u okviru sektorskih aktivnosti i rezultata.</w:t>
      </w:r>
    </w:p>
    <w:p w:rsidR="00C244E3" w:rsidRDefault="00C244E3" w:rsidP="009B2E82">
      <w:pPr>
        <w:widowControl w:val="0"/>
        <w:shd w:val="clear" w:color="auto" w:fill="FFFFFF"/>
        <w:autoSpaceDE w:val="0"/>
        <w:autoSpaceDN w:val="0"/>
        <w:adjustRightInd w:val="0"/>
        <w:spacing w:before="274" w:after="0" w:line="240" w:lineRule="auto"/>
        <w:ind w:left="826"/>
        <w:jc w:val="both"/>
        <w:rPr>
          <w:rFonts w:ascii="Times New Roman" w:eastAsia="Times New Roman" w:hAnsi="Times New Roman" w:cs="Times New Roman"/>
          <w:b/>
          <w:bCs/>
          <w:color w:val="000000"/>
          <w:spacing w:val="-1"/>
          <w:sz w:val="24"/>
          <w:szCs w:val="24"/>
          <w:lang w:eastAsia="hr-HR"/>
        </w:rPr>
      </w:pPr>
    </w:p>
    <w:p w:rsidR="00C244E3" w:rsidRDefault="00C244E3" w:rsidP="00C244E3">
      <w:pPr>
        <w:widowControl w:val="0"/>
        <w:shd w:val="clear" w:color="auto" w:fill="FFFFFF"/>
        <w:autoSpaceDE w:val="0"/>
        <w:autoSpaceDN w:val="0"/>
        <w:adjustRightInd w:val="0"/>
        <w:spacing w:before="274" w:after="0" w:line="240" w:lineRule="auto"/>
        <w:ind w:left="826"/>
        <w:rPr>
          <w:rFonts w:ascii="Times New Roman" w:eastAsia="Times New Roman" w:hAnsi="Times New Roman" w:cs="Times New Roman"/>
          <w:b/>
          <w:bCs/>
          <w:color w:val="000000"/>
          <w:spacing w:val="-1"/>
          <w:sz w:val="24"/>
          <w:szCs w:val="24"/>
          <w:lang w:eastAsia="hr-HR"/>
        </w:rPr>
      </w:pPr>
    </w:p>
    <w:p w:rsidR="00C244E3" w:rsidRPr="00C244E3" w:rsidRDefault="00C244E3" w:rsidP="009B2E82">
      <w:pPr>
        <w:widowControl w:val="0"/>
        <w:shd w:val="clear" w:color="auto" w:fill="FFFFFF"/>
        <w:autoSpaceDE w:val="0"/>
        <w:autoSpaceDN w:val="0"/>
        <w:adjustRightInd w:val="0"/>
        <w:spacing w:before="274" w:after="0" w:line="240" w:lineRule="auto"/>
        <w:ind w:left="826"/>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Povezanost i mobilnost</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Na konkurentnost hrvatskog gospodarstva također negativno utječe loša kvaliteta i održavanje </w:t>
      </w:r>
      <w:r w:rsidRPr="00C244E3">
        <w:rPr>
          <w:rFonts w:ascii="Times New Roman" w:eastAsia="Times New Roman" w:hAnsi="Times New Roman" w:cs="Times New Roman"/>
          <w:b/>
          <w:color w:val="000000"/>
          <w:sz w:val="24"/>
          <w:szCs w:val="24"/>
          <w:lang w:eastAsia="hr-HR"/>
        </w:rPr>
        <w:t>javnog prijevoza</w:t>
      </w:r>
      <w:r w:rsidRPr="00C244E3">
        <w:rPr>
          <w:rFonts w:ascii="Times New Roman" w:eastAsia="Times New Roman" w:hAnsi="Times New Roman" w:cs="Times New Roman"/>
          <w:color w:val="000000"/>
          <w:sz w:val="24"/>
          <w:szCs w:val="24"/>
          <w:lang w:eastAsia="hr-HR"/>
        </w:rPr>
        <w:t>, manjak udobnih načina prijevoza i pouzdanih prometnih veza između i unutar regija, kao i odsustvo mogućnosti multimodalnog prijevoza te, prema tome, ekološki prihvatljivijih i sigurnijih prijevoznih sredstava. Ograničeni kapaciteti i nedostatak standardiziranih sustava upravljanja u hrvatskim unutarnjim vodnim putovima rezultiraju niskom razinom korištenja ovog načina prijevoza te niskom razinom sigurnosti, pri čemu međusobnu povezanost ometaju nedostaci u pomorskim lukama i kod pomorskih prijevoznika, posebno s obzirom na pristup otocima. Međutim, s obzirom na geografski položaj Hrvatske, program pruža mogućnost poboljšanja povezanosti između Jadrana i Mediterana te središnjeg dijela Europe kroz osuvremenjivanje i razvoj prometne infrastrukture unutar osnovne i sveobuhvatne TEN-T mreže i koridora EU-a. To će pomoći razvoju pojedinih regija promicanjem njihove integracije u unutarnje tržište EU-a i globalno gospodarstvo, pospješivanjem trgovine, dostupnosti i mobilnosti te stvaranjem blagostanja i novih radnih mjesta.</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Temeljna načela određena u nacrtu Nacionalne prometne strategije, koja su relevantna u širem kontekstu prometne i kohezijske politike EU-a, uključuju ekološku održivost, dostupnost i socijalnu uključenost, promjenu oblika prijevoza, povećanu interoperabilnost, a kao dodatne prioritete ističu povezanost sa susjednim zemljama i međupovezivanje unutar šire TEN-T mreže EU-a. Prioritetna os OPKK-a usmjerena na TC7 pridonijet će prvih pet od šest ključnih ciljeva nacrta Prometne strategije za Hrvatsku</w:t>
      </w:r>
      <w:r w:rsidRPr="00C244E3">
        <w:rPr>
          <w:rFonts w:ascii="Times New Roman" w:eastAsia="Times New Roman" w:hAnsi="Times New Roman" w:cs="Times New Roman"/>
          <w:color w:val="000000"/>
          <w:spacing w:val="-2"/>
          <w:sz w:val="24"/>
          <w:szCs w:val="24"/>
          <w:lang w:eastAsia="hr-HR"/>
        </w:rPr>
        <w:t>:</w:t>
      </w:r>
    </w:p>
    <w:p w:rsidR="00C244E3" w:rsidRPr="00C244E3" w:rsidRDefault="00C244E3" w:rsidP="009B2E82">
      <w:pPr>
        <w:widowControl w:val="0"/>
        <w:numPr>
          <w:ilvl w:val="0"/>
          <w:numId w:val="4"/>
        </w:numPr>
        <w:shd w:val="clear" w:color="auto" w:fill="FFFFFF"/>
        <w:tabs>
          <w:tab w:val="left" w:pos="1181"/>
        </w:tabs>
        <w:autoSpaceDE w:val="0"/>
        <w:autoSpaceDN w:val="0"/>
        <w:adjustRightInd w:val="0"/>
        <w:spacing w:before="269" w:after="0" w:line="278" w:lineRule="exact"/>
        <w:ind w:left="816" w:right="922"/>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poboljšanje prometne povezanosti i koordinacije sa susjednim zemljama</w:t>
      </w:r>
    </w:p>
    <w:p w:rsidR="00C244E3" w:rsidRPr="00C244E3" w:rsidRDefault="00C244E3" w:rsidP="009B2E82">
      <w:pPr>
        <w:widowControl w:val="0"/>
        <w:numPr>
          <w:ilvl w:val="0"/>
          <w:numId w:val="4"/>
        </w:numPr>
        <w:shd w:val="clear" w:color="auto" w:fill="FFFFFF"/>
        <w:tabs>
          <w:tab w:val="left" w:pos="1181"/>
        </w:tabs>
        <w:autoSpaceDE w:val="0"/>
        <w:autoSpaceDN w:val="0"/>
        <w:adjustRightInd w:val="0"/>
        <w:spacing w:before="269" w:after="0" w:line="278" w:lineRule="exact"/>
        <w:ind w:left="816" w:right="922"/>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poboljšanje dostupnosti prijevoza putnicima na dugim relacijama u Hrvatskoj</w:t>
      </w:r>
    </w:p>
    <w:p w:rsidR="00C244E3" w:rsidRPr="00C244E3" w:rsidRDefault="00C244E3" w:rsidP="009B2E82">
      <w:pPr>
        <w:widowControl w:val="0"/>
        <w:numPr>
          <w:ilvl w:val="0"/>
          <w:numId w:val="4"/>
        </w:numPr>
        <w:shd w:val="clear" w:color="auto" w:fill="FFFFFF"/>
        <w:tabs>
          <w:tab w:val="left" w:pos="1181"/>
        </w:tabs>
        <w:autoSpaceDE w:val="0"/>
        <w:autoSpaceDN w:val="0"/>
        <w:adjustRightInd w:val="0"/>
        <w:spacing w:before="269" w:after="0" w:line="278" w:lineRule="exact"/>
        <w:ind w:left="816" w:right="922"/>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poboljšanje regionalne povezanosti putnika u Hrvatskoj i promicanje teritorijalne povezanosti</w:t>
      </w:r>
    </w:p>
    <w:p w:rsidR="00C244E3" w:rsidRPr="00C244E3" w:rsidRDefault="00C244E3" w:rsidP="009B2E82">
      <w:pPr>
        <w:widowControl w:val="0"/>
        <w:numPr>
          <w:ilvl w:val="0"/>
          <w:numId w:val="4"/>
        </w:numPr>
        <w:shd w:val="clear" w:color="auto" w:fill="FFFFFF"/>
        <w:tabs>
          <w:tab w:val="left" w:pos="1181"/>
        </w:tabs>
        <w:autoSpaceDE w:val="0"/>
        <w:autoSpaceDN w:val="0"/>
        <w:adjustRightInd w:val="0"/>
        <w:spacing w:before="269" w:after="0" w:line="278" w:lineRule="exact"/>
        <w:ind w:left="816" w:right="922"/>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poboljšanje dostupnosti prijevoza putnicima do i unutar glavnih urbanih aglomeracija</w:t>
      </w:r>
    </w:p>
    <w:p w:rsidR="00C244E3" w:rsidRPr="00C244E3" w:rsidRDefault="00C244E3" w:rsidP="009B2E82">
      <w:pPr>
        <w:widowControl w:val="0"/>
        <w:numPr>
          <w:ilvl w:val="0"/>
          <w:numId w:val="4"/>
        </w:numPr>
        <w:shd w:val="clear" w:color="auto" w:fill="FFFFFF"/>
        <w:tabs>
          <w:tab w:val="left" w:pos="1181"/>
        </w:tabs>
        <w:autoSpaceDE w:val="0"/>
        <w:autoSpaceDN w:val="0"/>
        <w:adjustRightInd w:val="0"/>
        <w:spacing w:before="269" w:after="0" w:line="278" w:lineRule="exact"/>
        <w:ind w:left="816" w:right="922"/>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poboljšanje dostupnosti teretnog prijevoza u Hrvatskoj</w:t>
      </w:r>
    </w:p>
    <w:p w:rsidR="00C244E3" w:rsidRPr="00C244E3" w:rsidRDefault="00C244E3" w:rsidP="009B2E82">
      <w:pPr>
        <w:widowControl w:val="0"/>
        <w:numPr>
          <w:ilvl w:val="0"/>
          <w:numId w:val="4"/>
        </w:numPr>
        <w:shd w:val="clear" w:color="auto" w:fill="FFFFFF"/>
        <w:tabs>
          <w:tab w:val="left" w:pos="1181"/>
        </w:tabs>
        <w:autoSpaceDE w:val="0"/>
        <w:autoSpaceDN w:val="0"/>
        <w:adjustRightInd w:val="0"/>
        <w:spacing w:before="278" w:after="0" w:line="240" w:lineRule="auto"/>
        <w:ind w:left="82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pacing w:val="-1"/>
          <w:sz w:val="24"/>
          <w:szCs w:val="24"/>
          <w:lang w:eastAsia="hr-HR"/>
        </w:rPr>
        <w:t>unapređenje organizacijskog i operativnog ustroja prometnog sustava radi poboljšanja njegove učinkovitosti i održivosti.</w:t>
      </w:r>
      <w:r w:rsidRPr="00C244E3">
        <w:rPr>
          <w:rFonts w:ascii="Times New Roman" w:eastAsia="Times New Roman" w:hAnsi="Times New Roman" w:cs="Times New Roman"/>
          <w:color w:val="000000"/>
          <w:spacing w:val="-16"/>
          <w:sz w:val="24"/>
          <w:szCs w:val="24"/>
          <w:lang w:eastAsia="hr-HR"/>
        </w:rPr>
        <w:t xml:space="preserve"> </w:t>
      </w:r>
    </w:p>
    <w:p w:rsidR="00C244E3" w:rsidRPr="00C244E3" w:rsidRDefault="00C244E3" w:rsidP="009B2E82">
      <w:pPr>
        <w:widowControl w:val="0"/>
        <w:shd w:val="clear" w:color="auto" w:fill="FFFFFF"/>
        <w:tabs>
          <w:tab w:val="left" w:pos="1181"/>
        </w:tabs>
        <w:autoSpaceDE w:val="0"/>
        <w:autoSpaceDN w:val="0"/>
        <w:adjustRightInd w:val="0"/>
        <w:spacing w:before="278" w:after="0" w:line="240" w:lineRule="auto"/>
        <w:ind w:left="82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U fokusu ovog prioriteta bit će ulaganja u prometnu infrastrukturu potrebnu za suvremenu, konkurentnu i međusobno povezanu europsku ekonomiju, koja će olakšati kretanje robe i ljudi, ne samo diljem i unutar Hrvatske već i prema ostalim dijelovima Europe, te poboljšati dostupnost gradova i izoliranih područja funkcionalnim centrima i ojačati teritorijalnu koheziju.</w:t>
      </w:r>
    </w:p>
    <w:p w:rsidR="00C244E3" w:rsidRPr="00C244E3" w:rsidRDefault="00C244E3" w:rsidP="009B2E82">
      <w:pPr>
        <w:widowControl w:val="0"/>
        <w:shd w:val="clear" w:color="auto" w:fill="FFFFFF"/>
        <w:autoSpaceDE w:val="0"/>
        <w:autoSpaceDN w:val="0"/>
        <w:adjustRightInd w:val="0"/>
        <w:spacing w:before="278" w:after="0" w:line="240" w:lineRule="auto"/>
        <w:ind w:left="826"/>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Nadalje, utvrđivanje ciljeva prioriteta prometa u OPKK-u odražava prioritete politike EU-a i nacionalne politike za područje prometa. Prijedlog Europske komisije za pripremu i prioritete programskih dokumenata o prometu EU-a identificira kao cilj uspostavu Jedinstvenog europskog prometnog područja koje bi tvorilo podlogu europskom gospodarskom napretku, povećalo konkurentnost te omogućilo visokokvalitetne, efikasne i sigurne usluge suvremene infrastrukture uz </w:t>
      </w:r>
      <w:r w:rsidRPr="00C244E3">
        <w:rPr>
          <w:rFonts w:ascii="Times New Roman" w:eastAsia="Times New Roman" w:hAnsi="Times New Roman" w:cs="Times New Roman"/>
          <w:color w:val="000000"/>
          <w:sz w:val="24"/>
          <w:szCs w:val="24"/>
          <w:lang w:eastAsia="hr-HR"/>
        </w:rPr>
        <w:lastRenderedPageBreak/>
        <w:t>smanjenje njezinog utjecaja na okoliš. U njoj se ističe integracija modalnih mreža prijevoza, odnosno komodalnost, strukturalne promjene kojima se omogućuje učinkovita konkurentnost željeznice na tržištu prijevoza robe i putnika na srednjim i dugim relacijama, mobilizacija potencijala nedovoljno iskorištenih unutarnjih vodnih putova i ekološki prihvatljivog gradskog prometa. Stoga bi fokus trebao biti na 'osnovnoj' mreži koridora koji bi osigurali efikasno multimodalno povezivanje i dodatnu vrijednost na razini Europe.</w:t>
      </w:r>
    </w:p>
    <w:p w:rsidR="00C244E3" w:rsidRPr="00C244E3" w:rsidRDefault="00C244E3" w:rsidP="009B2E82">
      <w:pPr>
        <w:widowControl w:val="0"/>
        <w:shd w:val="clear" w:color="auto" w:fill="FFFFFF"/>
        <w:autoSpaceDE w:val="0"/>
        <w:autoSpaceDN w:val="0"/>
        <w:adjustRightInd w:val="0"/>
        <w:spacing w:before="278" w:after="0" w:line="240" w:lineRule="auto"/>
        <w:ind w:left="826"/>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Prijedlog Europske komisije za pripremu i prioritete programskih dokumenata ističe neujednačenu prirodu hrvatskog prometnog sustava koji je tijekom posljednjih 15 godina bio usmjeren na razvoj autocesta. Poboljšanje kvalitete potrebno je i u svim drugim načinima prijevoza, kao i napori za povećanje sigurnosti na cesti, poboljšanje sustava upravljanja željezničkim prometom te interoperabilnosti, multimodalnosti i plovnosti unutarnjih vodni putova.</w:t>
      </w:r>
    </w:p>
    <w:p w:rsidR="00C244E3" w:rsidRPr="00C244E3" w:rsidRDefault="00C244E3" w:rsidP="009B2E82">
      <w:pPr>
        <w:widowControl w:val="0"/>
        <w:shd w:val="clear" w:color="auto" w:fill="FFFFFF"/>
        <w:autoSpaceDE w:val="0"/>
        <w:autoSpaceDN w:val="0"/>
        <w:adjustRightInd w:val="0"/>
        <w:spacing w:before="278" w:after="0" w:line="240" w:lineRule="auto"/>
        <w:ind w:left="826"/>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Prioritetna os koja se odnosi na promet u OP-u za razdoblje 2014. - 2020. označit će nastavak provedbe strateških ciljeva određenih u OP-u "Promet" za razdoblje 2007. - 2013. (osuvremenjivanje željezničke infrastrukture i sustava unutarnjih plovnih putova), uz osiguravanje dosljednosti i usklađenosti s obzirom na dosadašnje financiranje iz fondova EU-a u sektoru prometa u Hrvatskoj</w:t>
      </w:r>
    </w:p>
    <w:p w:rsidR="00C244E3" w:rsidRPr="00C244E3" w:rsidRDefault="00C244E3" w:rsidP="009B2E82">
      <w:pPr>
        <w:widowControl w:val="0"/>
        <w:shd w:val="clear" w:color="auto" w:fill="FFFFFF"/>
        <w:autoSpaceDE w:val="0"/>
        <w:autoSpaceDN w:val="0"/>
        <w:adjustRightInd w:val="0"/>
        <w:spacing w:before="278" w:after="0" w:line="240" w:lineRule="auto"/>
        <w:ind w:left="826"/>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S obzirom na navedeno, glavni ciljevi ovih prioritetnih područja su sljedeći</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1766" w:hanging="3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poboljšana interoperabilnost i međusobna povezanost željezničkih pruga u sklopu glavnih europskih koridora te poboljšani kapaciteti i kvaliteta putničkog željezničkog voznog parka (KF); </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1766" w:hanging="3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jačanje regionalne mobilnosti i povezanosti kroz poboljšanje regionalnih cesta i eliminaciju glavnih cestovnih uskih grla (EFRR);</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1766" w:hanging="3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poboljšana sigurnost na cestama kroz ulaganja u povezanu infrastrukturu (EFRR);</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1766" w:hanging="3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poboljšana teritorijalna kohezija i povezanost te dostupnost fizički izoliranih područja tj. najjužnijih dijelova Hrvatske (Dubrovnik) i nastanjenih otoka (KF);</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1766" w:hanging="3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uspostava integriranih i ekološki prihvatljivih sustava javnog prijevoza u urbanim aglomeracijama (KF);</w:t>
      </w:r>
    </w:p>
    <w:p w:rsidR="00C244E3" w:rsidRPr="00C244E3" w:rsidRDefault="00C244E3"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1766" w:hanging="3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osuvremenjivanje unutarnjih vodnih putova, luka i IT sustava upravljanja prijevozom unutarnjim vodnim putovima (KF)</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40" w:lineRule="auto"/>
        <w:ind w:left="821" w:right="1766"/>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24"/>
          <w:szCs w:val="24"/>
          <w:lang w:eastAsia="hr-HR"/>
        </w:rPr>
        <w:t>Siromaštvo i socijalna isključenost</w:t>
      </w:r>
    </w:p>
    <w:p w:rsidR="00C244E3" w:rsidRDefault="00C244E3" w:rsidP="009B2E82">
      <w:pPr>
        <w:widowControl w:val="0"/>
        <w:shd w:val="clear" w:color="auto" w:fill="FFFFFF"/>
        <w:autoSpaceDE w:val="0"/>
        <w:autoSpaceDN w:val="0"/>
        <w:adjustRightInd w:val="0"/>
        <w:spacing w:before="278" w:after="0" w:line="240" w:lineRule="auto"/>
        <w:ind w:left="826" w:right="1766"/>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z w:val="24"/>
          <w:szCs w:val="24"/>
          <w:lang w:eastAsia="hr-HR"/>
        </w:rPr>
        <w:t xml:space="preserve">Hrvatska ima jednu od najviših stopa rizika od </w:t>
      </w:r>
      <w:r w:rsidRPr="00C244E3">
        <w:rPr>
          <w:rFonts w:ascii="Times New Roman" w:eastAsia="Times New Roman" w:hAnsi="Times New Roman" w:cs="Times New Roman"/>
          <w:b/>
          <w:color w:val="000000"/>
          <w:sz w:val="24"/>
          <w:szCs w:val="24"/>
          <w:lang w:eastAsia="hr-HR"/>
        </w:rPr>
        <w:t>siromaštva i socijalne isključenosti</w:t>
      </w:r>
      <w:r w:rsidRPr="00C244E3">
        <w:rPr>
          <w:rFonts w:ascii="Times New Roman" w:eastAsia="Times New Roman" w:hAnsi="Times New Roman" w:cs="Times New Roman"/>
          <w:color w:val="000000"/>
          <w:sz w:val="24"/>
          <w:szCs w:val="24"/>
          <w:lang w:eastAsia="hr-HR"/>
        </w:rPr>
        <w:t xml:space="preserve"> u EU. Broj osoba kojima prijeti siromaštvo ili socijalna isključenost bio je 1,370.000 u 2012., a cilj Hrvatske je smanjenje tog broja za 150.000 do 2020., u skladu s Nacionalnim programom reformi</w:t>
      </w:r>
      <w:r w:rsidRPr="00C244E3">
        <w:rPr>
          <w:rFonts w:ascii="Times New Roman" w:eastAsia="Times New Roman" w:hAnsi="Times New Roman" w:cs="Times New Roman"/>
          <w:color w:val="000000"/>
          <w:spacing w:val="-1"/>
          <w:sz w:val="24"/>
          <w:szCs w:val="24"/>
          <w:lang w:eastAsia="hr-HR"/>
        </w:rPr>
        <w:t xml:space="preserve">. </w:t>
      </w:r>
    </w:p>
    <w:p w:rsidR="00C244E3" w:rsidRPr="00C244E3" w:rsidRDefault="00C244E3" w:rsidP="009B2E82">
      <w:pPr>
        <w:widowControl w:val="0"/>
        <w:shd w:val="clear" w:color="auto" w:fill="FFFFFF"/>
        <w:autoSpaceDE w:val="0"/>
        <w:autoSpaceDN w:val="0"/>
        <w:adjustRightInd w:val="0"/>
        <w:spacing w:before="278" w:after="0" w:line="240" w:lineRule="auto"/>
        <w:ind w:left="826" w:right="1766"/>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Strategija borbe protiv siromaštva i socijalne isključenosti (2014. - 2020.) definira najugroženije skupine u društvu[15], tj. one s najvećim rizikom od siromaštva i socijalne isključenosti.</w:t>
      </w:r>
    </w:p>
    <w:p w:rsidR="00C244E3" w:rsidRPr="00C244E3" w:rsidRDefault="00C244E3" w:rsidP="009B2E82">
      <w:pPr>
        <w:widowControl w:val="0"/>
        <w:shd w:val="clear" w:color="auto" w:fill="FFFFFF"/>
        <w:autoSpaceDE w:val="0"/>
        <w:autoSpaceDN w:val="0"/>
        <w:adjustRightInd w:val="0"/>
        <w:spacing w:before="283" w:after="0" w:line="274"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 xml:space="preserve">Kao što pokazuje ocjena potreba u Sporazumu o partnerstvu, dostupnost </w:t>
      </w:r>
      <w:r w:rsidRPr="00C244E3">
        <w:rPr>
          <w:rFonts w:ascii="Times New Roman" w:eastAsia="Times New Roman" w:hAnsi="Times New Roman" w:cs="Times New Roman"/>
          <w:b/>
          <w:color w:val="000000"/>
          <w:spacing w:val="-1"/>
          <w:sz w:val="24"/>
          <w:szCs w:val="24"/>
          <w:lang w:eastAsia="hr-HR"/>
        </w:rPr>
        <w:t>zdravstvene skrbi</w:t>
      </w:r>
      <w:r w:rsidRPr="00C244E3">
        <w:rPr>
          <w:rFonts w:ascii="Times New Roman" w:eastAsia="Times New Roman" w:hAnsi="Times New Roman" w:cs="Times New Roman"/>
          <w:color w:val="000000"/>
          <w:spacing w:val="-1"/>
          <w:sz w:val="24"/>
          <w:szCs w:val="24"/>
          <w:lang w:eastAsia="hr-HR"/>
        </w:rPr>
        <w:t xml:space="preserve"> često je nejednaka diljem zemlje, prvenstveno zbog prepreka poput troškova i udaljenosti, ali i zbog nedovoljnog broja zdravstvenih djelatnika. U 2011. bio je 281 liječnik na 100.000 stanovnika. Broj se povećao u proteklih10 godina, no još uvijek je manji od prosjeka Europske unije (320/100.000). Neka područja u Hrvatskoj nemaju dovoljan broj timova </w:t>
      </w:r>
      <w:r w:rsidRPr="00C244E3">
        <w:rPr>
          <w:rFonts w:ascii="Times New Roman" w:eastAsia="Times New Roman" w:hAnsi="Times New Roman" w:cs="Times New Roman"/>
          <w:color w:val="000000"/>
          <w:spacing w:val="-1"/>
          <w:sz w:val="24"/>
          <w:szCs w:val="24"/>
          <w:lang w:eastAsia="hr-HR"/>
        </w:rPr>
        <w:lastRenderedPageBreak/>
        <w:t>primarne zdravstvene skrbi ili potrebnu infrastrukturu za pružanje odgovarajućih usluga stanovništvu. Nadalje, zastarjeli bolnički sustav ne može pružiti odgovarajuće usluge stanovništvu i zahtijeva promjenu u obliku pružanja zdravstvene skrbi. Trenutačno, bolnička skrb u Hrvatskoj prvenstveno se bazira na akutnoj bolničkoj skrbi, koja je najskuplji oblik skrbi. Potreban je prelazak na druge oblike bolničke skrbi, s dnevnom bolnicom/dnevnom kirurgijom i drugim oblicima skrbi koji zahtijevaju manje resursa i koji su navedeni u Nacionalnom planu za razvoj kliničkih bolničkih centara, kliničkih bolnica, klinika i općih bolnica u Republici Hrvatskoj (2014. - 2016.) i uključen je u NPR. Nadalje, ugrožene skupine pod velikim su utjecajem ograničenja pristupa bolničkoj skrbi, koji je posljedica neučinkovitih ili nerazvijenih bolničkih usluga.</w:t>
      </w:r>
    </w:p>
    <w:p w:rsidR="00C244E3" w:rsidRPr="00C244E3" w:rsidRDefault="00C244E3" w:rsidP="009B2E82">
      <w:pPr>
        <w:widowControl w:val="0"/>
        <w:shd w:val="clear" w:color="auto" w:fill="FFFFFF"/>
        <w:autoSpaceDE w:val="0"/>
        <w:autoSpaceDN w:val="0"/>
        <w:adjustRightInd w:val="0"/>
        <w:spacing w:before="283" w:after="0" w:line="274"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Da bi se povećale učinkovitost i djelotvornost bolničke hitne medicinske službe (HMS), uspostavljeni su zajednički medicinski odjeli za hitne slučajeve u većini hrvatskih bolnica za akutnu skrb, sa samo nekolicinom bolnica bez takvih odjela. Također, u zemljopisno izoliranim područjima kao što su otoci, gdje su druge zdravstvene usluge ograničene ili nepostojeće, učinkovita hitna medicinska služba od vitalne je važnosti. Trenutačno, hitna medicinska služba je nedovoljno opremljena za pružanje odgovarajuće skrbi kako lokalnom stanovništvu, tako i turistima.</w:t>
      </w:r>
    </w:p>
    <w:p w:rsidR="00C244E3" w:rsidRPr="00C244E3" w:rsidRDefault="00C244E3" w:rsidP="009B2E82">
      <w:pPr>
        <w:widowControl w:val="0"/>
        <w:shd w:val="clear" w:color="auto" w:fill="FFFFFF"/>
        <w:autoSpaceDE w:val="0"/>
        <w:autoSpaceDN w:val="0"/>
        <w:adjustRightInd w:val="0"/>
        <w:spacing w:before="283" w:after="0" w:line="274"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Strategija EU-a za razvoj jednakih mogućnosti za osobe s invaliditetom za razdoblje 2010. - 2020. pruža okvir za osnaživanje osoba s invaliditetom za njihovo potpuno sudjelovanje u društvu, dok Konvencija UN-a o pravima osoba s invaliditetom u članku 19. iznosi pravo na neovisno življenje.</w:t>
      </w:r>
    </w:p>
    <w:p w:rsidR="00C244E3" w:rsidRPr="00C244E3" w:rsidRDefault="00C244E3" w:rsidP="009B2E82">
      <w:pPr>
        <w:widowControl w:val="0"/>
        <w:shd w:val="clear" w:color="auto" w:fill="FFFFFF"/>
        <w:autoSpaceDE w:val="0"/>
        <w:autoSpaceDN w:val="0"/>
        <w:adjustRightInd w:val="0"/>
        <w:spacing w:before="283" w:after="0" w:line="274" w:lineRule="exact"/>
        <w:ind w:left="821"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b/>
          <w:color w:val="000000"/>
          <w:spacing w:val="-1"/>
          <w:sz w:val="24"/>
          <w:szCs w:val="24"/>
          <w:lang w:eastAsia="hr-HR"/>
        </w:rPr>
        <w:t>Pristup socijalnim uslugama</w:t>
      </w:r>
      <w:r w:rsidRPr="00C244E3">
        <w:rPr>
          <w:rFonts w:ascii="Times New Roman" w:eastAsia="Times New Roman" w:hAnsi="Times New Roman" w:cs="Times New Roman"/>
          <w:color w:val="000000"/>
          <w:spacing w:val="-1"/>
          <w:sz w:val="24"/>
          <w:szCs w:val="24"/>
          <w:lang w:eastAsia="hr-HR"/>
        </w:rPr>
        <w:t>, posebno onima u zajednici, ograničen je na cijelom području Republike Hrvatske. S ciljem intenziviranja postupka deinstitucionalizacije i sprečavanja institucionalizacije, usvojen je Plan deinstitucionalizacije i transformacije domova socijalne skrbi i drugih pravnih osoba koje obavljaju djelatnost socijalne skrbi u Republici Hrvatskoj 2011. - 2016. (2018.), u svrhu smanjenja broja korisnika koji ulaze u institucije i povećanja broja onih koji napuštaju institucije i prelaze u nove oblike skrbi. To treba biti u skladu s  prioritetima razvoja mreže usluga na lokalnoj razini. Podrška razvoju i širenju mreže socijalnih usluga u zajednici od strane svih pružatelja usluga (npr. javne ustanove, nevladine organizacije) također je preduvjet za održivost postupka deinstitucionalizacije, a ta dva postupka su međusobno povezana i utječu jedan na drugoga.</w:t>
      </w:r>
    </w:p>
    <w:p w:rsidR="00C244E3" w:rsidRPr="00C244E3" w:rsidRDefault="00C244E3" w:rsidP="009B2E82">
      <w:pPr>
        <w:widowControl w:val="0"/>
        <w:shd w:val="clear" w:color="auto" w:fill="FFFFFF"/>
        <w:autoSpaceDE w:val="0"/>
        <w:autoSpaceDN w:val="0"/>
        <w:adjustRightInd w:val="0"/>
        <w:spacing w:before="283" w:after="0" w:line="274" w:lineRule="exact"/>
        <w:ind w:left="821"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 xml:space="preserve">U 2012. bilo je 12.373 korisnika socijalnih usluga, a 62 % njih bili su u nekom obliku institucionalne skrbi. 68 % djece i mladih bez odgovarajuće roditeljske skrbi bili su korisnici institucionalne skrbi. </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Što se tiče djece i mladih s poremećajima u ponašanju, 35 % njih koristilo je usluge institucionalne skrbi, kao i 44 % osoba s intelektualnim, tjelesnim ili osjetilnim oštećenjima i 96 % osoba s mentalnim oštećenjima.</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Kako bi se osigurala maksimalna dostupnost socijalnih usluga u zajednici diljem zemlje te kako bi se pružila potpora postupku deinstitucionalizacije, provodi se paralelan kontinuirani proces socijalnog planiranja na županijskoj razini, uključujući pripremu županijskih socijalnih planova. Oni bi trebali poduprijeti razvoj usluga koje nedostaju u određenim područjima te osigurati održivost procesa deinstitucionalizacije, kao i podržati pravo svih osoba na podršku u svojim lokalnim zajednicama.</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 xml:space="preserve">Također, u skladu s Planom deinstitucionalizacije i županijskim lokalnim socijalnim planiranjem, usvojen je Operativni plan deinstitucionalizacije i transformacije domova socijalne skrbi i drugih pravnih osoba koje obavljaju djelatnost socijalne skrbi u Republici </w:t>
      </w:r>
      <w:r w:rsidRPr="00C244E3">
        <w:rPr>
          <w:rFonts w:ascii="Times New Roman" w:eastAsia="Times New Roman" w:hAnsi="Times New Roman" w:cs="Times New Roman"/>
          <w:color w:val="000000"/>
          <w:spacing w:val="-1"/>
          <w:sz w:val="24"/>
          <w:szCs w:val="24"/>
          <w:lang w:eastAsia="hr-HR"/>
        </w:rPr>
        <w:lastRenderedPageBreak/>
        <w:t>Hrvatskoj, u kojem je utvrđen oblik transformacije domova socijalne skrbi. Rezultati postupka deinstitucionalizacije i transformacije do kraja 2016. bit će temelj za planiranje deinstitucionalizacije i transformacije za razdoblje do 2020.</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Nadalje, centri za socijalnu skrb imaju važnu ulogu u pripremi korisnika i njihovih obitelji za povratak u obitelj ili u njihovom upućivanju u izvaninstitucionalne oblike smještaja, kao i u sprečavanju institucionalizacije, pružajući potporu postupku deinstitucionalizacije. Također povezuju korisnike socijalne skrbi s pružateljima socijalnih usluga u zajednici.</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Ulaganja u infrastrukturu u domovima za starije osobe potrebna su kako bi se osigurao standard kvalitete institucionalne skrbi, a posebice dostupnost socijalnih usluga u zajednici. Nadalje, beskućnici predstavljaju jednu od najranjivijih skupina suočenih s ekstremnim siromaštvom i socijalnom isključenošću. Iako nema točnih podataka, procjenjuje se da postoji gotovo 1.000 beskućnika, od kojih samo oko 430 može biti smješteno u 12 prihvatilišta koja se uglavnom nalaze u većim gradovima.</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 xml:space="preserve">Područja pogođena siromaštvom koreliraju s onima koja su identificirana kao potpomognuta područja, na temelju indeksa razvijenosti. Obilježena su višim stopama nezaposlenosti, nižim prihodima i stupnjem obrazovanja, depopulacijom, nižim životnim standardom i siromašnijim uvjetima stanovanja koji odražavaju sporiji gospodarski i društveni razvoj na tim područjima, slabije prilike zapošljavanja i obrazovanja, ograničenu dostupnost temeljne infrastrukture, što rezultira povećanom ranjivošću stanovništva s obzirom na siromaštvo u usporedbi s drugim područjima. </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S druge strane, vezano uz probleme siromaštva i socijalne isključenosti koje trpe marginalne zajednice, npr. Romi, EU neprekidno naglašava međuodnos između problema obrazovanja, zapošljavanja, zdravlja i fizičkih uvjeta stanovanja, budući da se slični međuodnosi mogu zamijetiti i u Hrvatskoj.</w:t>
      </w:r>
    </w:p>
    <w:p w:rsidR="00C244E3" w:rsidRPr="00C244E3" w:rsidRDefault="00C244E3" w:rsidP="009B2E82">
      <w:pPr>
        <w:widowControl w:val="0"/>
        <w:shd w:val="clear" w:color="auto" w:fill="FFFFFF"/>
        <w:autoSpaceDE w:val="0"/>
        <w:autoSpaceDN w:val="0"/>
        <w:adjustRightInd w:val="0"/>
        <w:spacing w:before="274" w:after="0" w:line="274" w:lineRule="exact"/>
        <w:ind w:left="81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Također, za Hrvatsku je vrlo specifična činjenica nedavnog neposrednog iskustva rata (1991. - 1996.) te populacija u povećanom riziku</w:t>
      </w:r>
      <w:r>
        <w:rPr>
          <w:rFonts w:ascii="Times New Roman" w:eastAsia="Times New Roman" w:hAnsi="Times New Roman" w:cs="Times New Roman"/>
          <w:color w:val="000000"/>
          <w:spacing w:val="-1"/>
          <w:sz w:val="24"/>
          <w:szCs w:val="24"/>
          <w:lang w:eastAsia="hr-HR"/>
        </w:rPr>
        <w:t xml:space="preserve"> </w:t>
      </w:r>
      <w:r w:rsidRPr="00C244E3">
        <w:rPr>
          <w:rFonts w:ascii="Times New Roman" w:eastAsia="Times New Roman" w:hAnsi="Times New Roman" w:cs="Times New Roman"/>
          <w:color w:val="000000"/>
          <w:spacing w:val="-1"/>
          <w:sz w:val="24"/>
          <w:szCs w:val="24"/>
          <w:lang w:eastAsia="hr-HR"/>
        </w:rPr>
        <w:t>od socijalne isključenosti, kao što su hrvatski branitelji i stradalnici Domovinskog rata, izbjeglice, prognanici, povratnici itd. U Domovinskom ratu uništeno je više od 150.000 domova i imanja te preko 25 % hrvatskog gospodarstva, a izravna šteta u Hrvatskoj iznosila je 32 milijarde eura. Izgubljeno je više od 21.000 života, a 57.890 hrvatskih branitelja pretrpjelo je tjelesna oštećenja veća od 20 %.</w:t>
      </w:r>
    </w:p>
    <w:p w:rsidR="00C244E3" w:rsidRPr="00C244E3" w:rsidRDefault="00C244E3" w:rsidP="009B2E82">
      <w:pPr>
        <w:widowControl w:val="0"/>
        <w:shd w:val="clear" w:color="auto" w:fill="FFFFFF"/>
        <w:autoSpaceDE w:val="0"/>
        <w:autoSpaceDN w:val="0"/>
        <w:adjustRightInd w:val="0"/>
        <w:spacing w:before="278" w:after="0" w:line="240" w:lineRule="auto"/>
        <w:ind w:left="821"/>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24"/>
          <w:szCs w:val="24"/>
          <w:lang w:eastAsia="hr-HR"/>
        </w:rPr>
        <w:t>Obrazovanje, vještine i cjeloživotno učenje</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Strukturne reforme u obrazovanju i osposobljavanju trebale bi biti usmjerene na modernizaciju kurikuluma temeljenih na ishodima učenja te na razvoj ključnih i transverzalnih kompetencija koje su preduvjet za sudjelovanje u cjeloživotnom učenju kao strateškim ciljevima Programa obrazovanja i osposobljavanja za 2020. Nova hrvatska Strategija obrazovanja, znanosti i tehnologije za razdoblje 2014. - 2020. (SOZT) posebno naglašava ove probleme, slijedeći preporuke Europske komisije o uvođenju ključnih kompetencija u razvoj i provedbu kurikuluma. Nacionalni okvirni kurikulum (NOK) definira područja i opće rezultate obrazovanja - humanističke znanosti i umjetnost, zdravlje, sigurnost i okoliš, učenje kako učiti, poduzetništvo i aktivno građanstvo.</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Vezano uz </w:t>
      </w:r>
      <w:r w:rsidRPr="00C244E3">
        <w:rPr>
          <w:rFonts w:ascii="Times New Roman" w:eastAsia="Times New Roman" w:hAnsi="Times New Roman" w:cs="Times New Roman"/>
          <w:b/>
          <w:color w:val="000000"/>
          <w:sz w:val="24"/>
          <w:szCs w:val="24"/>
          <w:lang w:eastAsia="hr-HR"/>
        </w:rPr>
        <w:t>IKT u obrazovanju</w:t>
      </w:r>
      <w:r w:rsidRPr="00C244E3">
        <w:rPr>
          <w:rFonts w:ascii="Times New Roman" w:eastAsia="Times New Roman" w:hAnsi="Times New Roman" w:cs="Times New Roman"/>
          <w:color w:val="000000"/>
          <w:sz w:val="24"/>
          <w:szCs w:val="24"/>
          <w:lang w:eastAsia="hr-HR"/>
        </w:rPr>
        <w:t xml:space="preserve">, škole su na različitim razinama digitalne zrelosti, raspoloživosti i brzine Interneta, digitalne zrelosti nastavnika, pružanja podrške nastavnicima, uvođenja IKT-a u poslovne procese. Potrebna su značajna ulaganja u infrastrukturu i opremu s obzirom da je samo 17 % svih škola povezano brzom internetskom vezom. Čak i one škole koje su povezane ne mogu potpuno iskoristiti potencijale koje nudi </w:t>
      </w:r>
      <w:r w:rsidRPr="00C244E3">
        <w:rPr>
          <w:rFonts w:ascii="Times New Roman" w:eastAsia="Times New Roman" w:hAnsi="Times New Roman" w:cs="Times New Roman"/>
          <w:color w:val="000000"/>
          <w:sz w:val="24"/>
          <w:szCs w:val="24"/>
          <w:lang w:eastAsia="hr-HR"/>
        </w:rPr>
        <w:lastRenderedPageBreak/>
        <w:t>Internet. To je zbog zastarjelosti IKT opreme, kao i neadekvatnog broja računala po učeniku.</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Iako se, u manjim razmjerima, opremanje provodilo i u pretpristupnom razdoblju, uglavnom u školama za </w:t>
      </w:r>
      <w:r w:rsidRPr="00C244E3">
        <w:rPr>
          <w:rFonts w:ascii="Times New Roman" w:eastAsia="Times New Roman" w:hAnsi="Times New Roman" w:cs="Times New Roman"/>
          <w:b/>
          <w:color w:val="000000"/>
          <w:sz w:val="24"/>
          <w:szCs w:val="24"/>
          <w:lang w:eastAsia="hr-HR"/>
        </w:rPr>
        <w:t>strukovno obrazovanje i osposobljavanje</w:t>
      </w:r>
      <w:r w:rsidRPr="00C244E3">
        <w:rPr>
          <w:rFonts w:ascii="Times New Roman" w:eastAsia="Times New Roman" w:hAnsi="Times New Roman" w:cs="Times New Roman"/>
          <w:color w:val="000000"/>
          <w:sz w:val="24"/>
          <w:szCs w:val="24"/>
          <w:lang w:eastAsia="hr-HR"/>
        </w:rPr>
        <w:t xml:space="preserve"> (SOO) i ustanovama za obrazovanje odraslih, škole na pred-tercijarnoj razini još uvijek nisu opremljene najnovijom tehnologijom te didaktičkom i ostalom specijaliziranom opremom potrebnom za pružanje visokokvalitetnog, relevantnog, suvremenog i atraktivnog obrazovanja i osposobljavanja. Stoga su neophodna daljnja ulaganja u obrazovnu infrastrukturu. 70,7% redovnih učenika srednjih škola (ISCED 3 i 4) u 2011. bilo je upisano u neki od programa SOO-a. Konkretno, 43% bilo ih je upisano u 4-godišnje programe SOO-a (zasnovane na jednakom udjelu općih i stručnih kompetencija, više teoretskih i zasnovanih na nastavi u školi, koji učenicima omogućuju napredovanje do visokoškolskog obrazovanja), a 26% ih je bilo upisano u 3-godišnje programe (zasnovane više na stručnim i praktičnim kompetencijama koje se u većini programa SOO-a usvajaju kroz programe naukovanja). Stoga je veći dio SOO-a u Hrvatskoj usmjeren na osiguravanje uključivanja u tržište rada i omogućavanje pristupa visokoškolskom obrazovanju. Najveći udjel nezaposlenih čine osobe sa srednjoškolskom razinom obrazovanja, njih oko 62 %. Podaci o obrazovanju pokazuju da se broj učenika upisanih u osnovnu školu te očekivani broj učenika srednjih škola značajno smanjuje, što će dovesti do smanjenja broja škola. Stavovi poslodavaca, pribavljeni putem analize provedene u sklopu jednog od provedenih IPA projekata (</w:t>
      </w:r>
      <w:r w:rsidRPr="00C244E3">
        <w:rPr>
          <w:rFonts w:ascii="Times New Roman" w:eastAsia="Times New Roman" w:hAnsi="Times New Roman" w:cs="Times New Roman"/>
          <w:i/>
          <w:color w:val="000000"/>
          <w:sz w:val="24"/>
          <w:szCs w:val="24"/>
          <w:lang w:eastAsia="hr-HR"/>
        </w:rPr>
        <w:t>Jačanje institucionalnog okvira za razvoj strukovnih standarda zanimanja, kvalifikacija i kurikuluma</w:t>
      </w:r>
      <w:r w:rsidRPr="00C244E3">
        <w:rPr>
          <w:rFonts w:ascii="Times New Roman" w:eastAsia="Times New Roman" w:hAnsi="Times New Roman" w:cs="Times New Roman"/>
          <w:color w:val="000000"/>
          <w:sz w:val="24"/>
          <w:szCs w:val="24"/>
          <w:lang w:eastAsia="hr-HR"/>
        </w:rPr>
        <w:t xml:space="preserve">) otkrivaju da je samo 1/3 poslodavaca uključenih u istraživanje zadovoljna razinom kompetencija mladih te da je glavni problem manjak praktičnih znanja potrebnih za određene poslove. Provedba tih projekata pokazala je da je gotovo 60 % ukupnih ulaganja u području uvođenja novih i inovativnih sadržaja u strukovne škole uloženo u strukovne programe u sljedećim sektorima: </w:t>
      </w:r>
      <w:r w:rsidRPr="00C244E3">
        <w:rPr>
          <w:rFonts w:ascii="Times New Roman" w:eastAsia="Times New Roman" w:hAnsi="Times New Roman" w:cs="Times New Roman"/>
          <w:i/>
          <w:color w:val="000000"/>
          <w:sz w:val="24"/>
          <w:szCs w:val="24"/>
          <w:lang w:eastAsia="hr-HR"/>
        </w:rPr>
        <w:t>poljoprivreda, strojarstvo, turizam i ugostiteljstvo, elektrotehnika i informacijska tehnologija te zdravstvena zaštita</w:t>
      </w:r>
      <w:r w:rsidRPr="00C244E3">
        <w:rPr>
          <w:rFonts w:ascii="Times New Roman" w:eastAsia="Times New Roman" w:hAnsi="Times New Roman" w:cs="Times New Roman"/>
          <w:i/>
          <w:iCs/>
          <w:color w:val="000000"/>
          <w:sz w:val="24"/>
          <w:szCs w:val="24"/>
          <w:lang w:eastAsia="hr-HR"/>
        </w:rPr>
        <w:t>.</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Imajući u vidu da je jedan od kriterija usklađivanje s lokalno-regionalnim razvojem, ovi sektori su prepoznati kao napredni u kontekstu doprinosa daljnjem razvoju određene regije. Područja prioriteta i tematska područja identificirana u Strategiji pametne specijalizacije i prioritetna područja ulaganja u SOO prepoznata u novoj Strategiji obrazovanja, znanosti i tehnologije (koja treba biti usvojena u 2014.) usmjerena su na osnivanje centara kompetencija u određenim strukovnim sektorima. Uspostava mreže dovoljno opremljenih strukovnih škola, s visokom razinom stručnosti među nastavnicima/mentorima u strukovnim školama, olakšat će daljnji razvoj i usklađenost obrazovnog sustava s tržištem rada na regionalnoj razini.</w:t>
      </w:r>
    </w:p>
    <w:p w:rsidR="00C244E3" w:rsidRPr="00C244E3" w:rsidRDefault="00C244E3" w:rsidP="009B2E82">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 xml:space="preserve">Vezano uz </w:t>
      </w:r>
      <w:r w:rsidRPr="00C244E3">
        <w:rPr>
          <w:rFonts w:ascii="Times New Roman" w:eastAsia="Times New Roman" w:hAnsi="Times New Roman" w:cs="Times New Roman"/>
          <w:b/>
          <w:color w:val="000000"/>
          <w:sz w:val="24"/>
          <w:szCs w:val="24"/>
          <w:lang w:eastAsia="hr-HR"/>
        </w:rPr>
        <w:t>tercijarno obrazovanje</w:t>
      </w:r>
      <w:r w:rsidRPr="00C244E3">
        <w:rPr>
          <w:rFonts w:ascii="Times New Roman" w:eastAsia="Times New Roman" w:hAnsi="Times New Roman" w:cs="Times New Roman"/>
          <w:color w:val="000000"/>
          <w:sz w:val="24"/>
          <w:szCs w:val="24"/>
          <w:lang w:eastAsia="hr-HR"/>
        </w:rPr>
        <w:t xml:space="preserve">, budući da životni troškovi predstavljaju najveću stavku u ukupnim troškovima studiranja, nedovoljan broj studentskih domova prepreka je pristupu visokom obrazovanju (VO). Godišnji životni troškovi studenata koji žive u privatnom smještaju 80 % su veći od troškova studenata koji žive u studentskim domovima. Postotak stanovništva u dobi od 30 do 34 godine s tercijarnom razinom obrazovanja iznosi 23,7 % (2012.), što je ispod prosjeka Europske unije gdje je taj prosjek 35,8 % (2012.). Nacionalni cilj strategije EU 2020. vezan uz postotak stanovništva u dobi od 30 do 34 godine s tercijarnim obrazovanjem je 35 %. Stoga je potrebno poduzeti mjere vezane uz poboljšanje pristupa visokom obrazovanju i povećanje broja studenata koji završe upisani fakultet. U akademskoj godini 2010/11, 520 učenika gimnazija i 3.604 učenika 4-godišnjih strukovnih škola uspješno je položilo ispite državne mature i ispunilo kriterije za upis na instituciju visokog obrazovanja, no nisu se upisali vrlo vjerojatno zbog visokih životnih troškova studiranja izvan mjesta prebivališta. Postojeći kapaciteti studentskog smještaja u Hrvatskoj iznose 10.722 kreveta. U akademskoj godini 2013/14, 4.625 studenata koji su podnijeli zahtjev za studentski smještaj i ispunili kriterije, nisu ga mogli koristiti zbog nedovoljnih </w:t>
      </w:r>
      <w:r w:rsidRPr="00C244E3">
        <w:rPr>
          <w:rFonts w:ascii="Times New Roman" w:eastAsia="Times New Roman" w:hAnsi="Times New Roman" w:cs="Times New Roman"/>
          <w:color w:val="000000"/>
          <w:sz w:val="24"/>
          <w:szCs w:val="24"/>
          <w:lang w:eastAsia="hr-HR"/>
        </w:rPr>
        <w:lastRenderedPageBreak/>
        <w:t>kapaciteta. Studentski smještajni kapacitet trebao bi biti barem 10 % ukupnog broja studentske populacije. 17 % studenata u Europskoj uniji živi u studentskim domovima, a u Hrvatskoj samo 6,69 %. Nekoliko studija ukazuje da samo 59 % svih studenata upisanih na institucije visokog obrazovanja u Hrvatskoj uspješno završi svoj studij, dok 41 % studenata prekine studij, uglavnom u ranim fazama studiranja. Preliminarna analiza pokazuje da je jedan od temeljnih razloga za prekid studija nedostatak sredstava za studiranje.</w:t>
      </w:r>
    </w:p>
    <w:p w:rsidR="00C244E3" w:rsidRPr="00C244E3" w:rsidRDefault="00C244E3" w:rsidP="00C244E3">
      <w:pPr>
        <w:widowControl w:val="0"/>
        <w:shd w:val="clear" w:color="auto" w:fill="FFFFFF"/>
        <w:autoSpaceDE w:val="0"/>
        <w:autoSpaceDN w:val="0"/>
        <w:adjustRightInd w:val="0"/>
        <w:spacing w:before="278" w:after="0" w:line="274" w:lineRule="exact"/>
        <w:ind w:left="816" w:right="922"/>
        <w:rPr>
          <w:rFonts w:ascii="Times New Roman" w:eastAsia="Times New Roman" w:hAnsi="Times New Roman" w:cs="Times New Roman"/>
          <w:color w:val="000000"/>
          <w:sz w:val="24"/>
          <w:szCs w:val="24"/>
          <w:lang w:eastAsia="hr-HR"/>
        </w:rPr>
      </w:pPr>
    </w:p>
    <w:p w:rsidR="00C244E3" w:rsidRPr="00C244E3" w:rsidRDefault="00C244E3" w:rsidP="00C244E3">
      <w:pPr>
        <w:widowControl w:val="0"/>
        <w:shd w:val="clear" w:color="auto" w:fill="FFFFFF"/>
        <w:tabs>
          <w:tab w:val="left" w:pos="5261"/>
          <w:tab w:val="left" w:pos="10099"/>
        </w:tabs>
        <w:autoSpaceDE w:val="0"/>
        <w:autoSpaceDN w:val="0"/>
        <w:adjustRightInd w:val="0"/>
        <w:spacing w:before="446" w:after="0" w:line="466" w:lineRule="exact"/>
        <w:rPr>
          <w:rFonts w:ascii="Arial" w:eastAsia="Times New Roman" w:hAnsi="Arial" w:cs="Arial"/>
          <w:sz w:val="20"/>
          <w:szCs w:val="20"/>
          <w:lang w:eastAsia="hr-HR"/>
        </w:rPr>
        <w:sectPr w:rsidR="00C244E3" w:rsidRPr="00C244E3">
          <w:pgSz w:w="11909" w:h="16834"/>
          <w:pgMar w:top="1193" w:right="435" w:bottom="360" w:left="770" w:header="720" w:footer="720" w:gutter="0"/>
          <w:cols w:space="60"/>
          <w:noEndnote/>
        </w:sectPr>
      </w:pPr>
    </w:p>
    <w:p w:rsidR="00C244E3" w:rsidRPr="00C244E3" w:rsidRDefault="00C244E3" w:rsidP="009B2E82">
      <w:pPr>
        <w:widowControl w:val="0"/>
        <w:shd w:val="clear" w:color="auto" w:fill="FFFFFF"/>
        <w:autoSpaceDE w:val="0"/>
        <w:autoSpaceDN w:val="0"/>
        <w:adjustRightInd w:val="0"/>
        <w:spacing w:before="274" w:after="0" w:line="240" w:lineRule="auto"/>
        <w:ind w:left="826"/>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lastRenderedPageBreak/>
        <w:t>Tehnička pomoć za OPKK</w:t>
      </w:r>
    </w:p>
    <w:p w:rsidR="00C244E3" w:rsidRPr="00C244E3" w:rsidRDefault="00C244E3" w:rsidP="009B2E82">
      <w:pPr>
        <w:widowControl w:val="0"/>
        <w:shd w:val="clear" w:color="auto" w:fill="FFFFFF"/>
        <w:tabs>
          <w:tab w:val="left" w:pos="9214"/>
        </w:tabs>
        <w:autoSpaceDE w:val="0"/>
        <w:autoSpaceDN w:val="0"/>
        <w:adjustRightInd w:val="0"/>
        <w:spacing w:before="283" w:after="0" w:line="274" w:lineRule="exact"/>
        <w:ind w:left="816" w:right="160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Postojeća razina korištenja instrumenata pretpristupne pomoći i strukturalnih i kohezijskih fondova u Hrvatskoj mogla bi se povećati jačanjem administrativnih sposobnosti. Treba osigurati kapacitete u smislu specijalizirane nadležne uprave, uključujući odgovarajuća kadrovska sredstva na državnoj, regionalnoj i lokalnoj razini, kako bi se povećala učinkovitost onih uprava koje su izravno uključene u provedbu i korištenje ESI fondova.</w:t>
      </w:r>
    </w:p>
    <w:p w:rsidR="00C244E3" w:rsidRDefault="00C244E3" w:rsidP="009B2E82">
      <w:pPr>
        <w:widowControl w:val="0"/>
        <w:shd w:val="clear" w:color="auto" w:fill="FFFFFF"/>
        <w:autoSpaceDE w:val="0"/>
        <w:autoSpaceDN w:val="0"/>
        <w:adjustRightInd w:val="0"/>
        <w:spacing w:before="283" w:after="0" w:line="274" w:lineRule="exact"/>
        <w:ind w:left="816" w:right="1605"/>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Odgovarajuća i učinkovita provedba programa sufinanciranih iz ESI fondova u Hrvatskoj zahtijeva golemi administrativni napor u sadašnjem i budućem razdoblju. Ministarstva i druga uključena tijela javne vlasti moraju biti potpuno spremna na izazove učinkovitog ostvarivanja ciljeva programa i pravovremenog korištenja fondova. Ključni čimbenik uspjeha je dobro funkcionirajući sustav upravljanja, nadzora i ocjenjivanja. Zapošljavanje dovoljnog broja osoblja, kao i korištenje administrativnih i tehničkih kapaciteta, temeljni su preduvjet stvarnog funkcioniranja sustava upravljanja i nadzora</w:t>
      </w:r>
      <w:r w:rsidRPr="00C244E3">
        <w:rPr>
          <w:rFonts w:ascii="Arial" w:eastAsia="Times New Roman" w:hAnsi="Arial" w:cs="Arial"/>
          <w:sz w:val="20"/>
          <w:szCs w:val="20"/>
          <w:lang w:eastAsia="hr-HR"/>
        </w:rPr>
        <w:t xml:space="preserve">. </w:t>
      </w:r>
    </w:p>
    <w:p w:rsidR="00C244E3" w:rsidRPr="00C244E3" w:rsidRDefault="00C244E3" w:rsidP="009B2E82">
      <w:pPr>
        <w:widowControl w:val="0"/>
        <w:shd w:val="clear" w:color="auto" w:fill="FFFFFF"/>
        <w:autoSpaceDE w:val="0"/>
        <w:autoSpaceDN w:val="0"/>
        <w:adjustRightInd w:val="0"/>
        <w:spacing w:before="283" w:after="0" w:line="274" w:lineRule="exact"/>
        <w:ind w:left="816" w:right="160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Upravljačko tijelo OPKK-a treba imati potpune ovlasti za osiguranje snažne koordinacije i vođenja posredničkih tijela (PT), omogućavanje koncentracije i sinergije i unapređenje koordinacije i strateške prirode programa te njihove učinkovite provedbe. Vlasništvo nad sektorima politika treba biti snažno uklopljeno u relevantna resorna ministarstva, zajedno s izgradnjom kapaciteta za kreiranje i provođenje politika.</w:t>
      </w:r>
    </w:p>
    <w:p w:rsidR="00C244E3" w:rsidRPr="00C244E3" w:rsidRDefault="00C244E3" w:rsidP="009B2E82">
      <w:pPr>
        <w:widowControl w:val="0"/>
        <w:shd w:val="clear" w:color="auto" w:fill="FFFFFF"/>
        <w:autoSpaceDE w:val="0"/>
        <w:autoSpaceDN w:val="0"/>
        <w:adjustRightInd w:val="0"/>
        <w:spacing w:before="278" w:after="0" w:line="274" w:lineRule="exact"/>
        <w:ind w:left="816" w:right="1608"/>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Postojeće slabosti u hrvatskoj administraciji, radi osiguranja odgovarajuće razine provedbe operativnih programa, bit će podržane kroz prioritetnu os tehničke pomoći. Rizik od nedovoljnih kapaciteta veći je u okviru sustava strukturnih fondova nego što je bio u instrumentima pretpristupne pomoći, s obzirom na manjak i fluktuaciju osoblja, potrebu prilagodbe novim upravljačkim postupcima u sklopu sustava podijeljenog upravljanja, uključujući nova pravila nabave, širi tematski opseg projekata i očekivanu veću količinu posla vezanog uz povećanje sredstava.</w:t>
      </w:r>
    </w:p>
    <w:p w:rsidR="00C244E3" w:rsidRPr="00C244E3" w:rsidRDefault="00C244E3" w:rsidP="009B2E82">
      <w:pPr>
        <w:widowControl w:val="0"/>
        <w:shd w:val="clear" w:color="auto" w:fill="FFFFFF"/>
        <w:autoSpaceDE w:val="0"/>
        <w:autoSpaceDN w:val="0"/>
        <w:adjustRightInd w:val="0"/>
        <w:spacing w:before="278" w:after="0" w:line="274" w:lineRule="exact"/>
        <w:ind w:left="816" w:right="1608"/>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Iskustvo s instrumentima pretpristupne pomoći pokazalo je određene slabosti u administrativnim i tehničkim kapacitetima unutar nadležne uprave. Daljnji napori su neophodni za učinkovitu provedbu planova za povećanje administrativne sposobnosti za provedbu buduće kohezijske politike, bolji strateški pristup u razvoju projekata i zreliju bazu projekata. Učinkovita provedba zakonodavstva o javnoj nabavi ključna je, kako na državnoj, tako i na lokalnoj razini. Također se treba pozabaviti rješavanjem rizika od nepravilnosti, prijevara i korupcije.</w:t>
      </w:r>
    </w:p>
    <w:p w:rsidR="00C244E3" w:rsidRPr="00C244E3" w:rsidRDefault="00C244E3" w:rsidP="009B2E82">
      <w:pPr>
        <w:widowControl w:val="0"/>
        <w:shd w:val="clear" w:color="auto" w:fill="FFFFFF"/>
        <w:autoSpaceDE w:val="0"/>
        <w:autoSpaceDN w:val="0"/>
        <w:adjustRightInd w:val="0"/>
        <w:spacing w:before="278" w:after="0" w:line="274" w:lineRule="exact"/>
        <w:ind w:left="816" w:right="1608"/>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Administrativni troškovi i opterećenje sustava upravljanja i nadzora, kao i korisnika, smanjit će se primjenom rješenja e-kohezije. Zahtjevi EU-a vezani uz nadzor usmjeren na rezultate i izvješćivanje zahtijeva uvođenje adekvatnih nadzornih vještina u upravljačkom tijelu i ostalim tijelima u sustavu upravljanja i nadzora. Potrebno je ojačati kulturu evaluacije u budućem razdoblju.</w:t>
      </w:r>
    </w:p>
    <w:p w:rsidR="00C244E3" w:rsidRPr="00C244E3" w:rsidRDefault="00C244E3" w:rsidP="009B2E82">
      <w:pPr>
        <w:widowControl w:val="0"/>
        <w:shd w:val="clear" w:color="auto" w:fill="FFFFFF"/>
        <w:autoSpaceDE w:val="0"/>
        <w:autoSpaceDN w:val="0"/>
        <w:adjustRightInd w:val="0"/>
        <w:spacing w:before="278" w:after="0" w:line="274" w:lineRule="exact"/>
        <w:ind w:left="816" w:right="1608"/>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Također treba koristiti dodjelu tehničke pomoći EFRR-a OPKK-u kako bi se pružila potpora kapacitetima korisnika projekta u smislu informiranja i savjetovanja o financiranju iz EU-a, ali i u smislu pripreme, natječajnih postupaka i provedbe projekata.</w:t>
      </w:r>
    </w:p>
    <w:p w:rsidR="00C244E3" w:rsidRPr="00C244E3" w:rsidRDefault="00C244E3" w:rsidP="009B2E82">
      <w:pPr>
        <w:widowControl w:val="0"/>
        <w:shd w:val="clear" w:color="auto" w:fill="FFFFFF"/>
        <w:autoSpaceDE w:val="0"/>
        <w:autoSpaceDN w:val="0"/>
        <w:adjustRightInd w:val="0"/>
        <w:spacing w:before="1949" w:after="0" w:line="274" w:lineRule="exact"/>
        <w:ind w:left="821" w:right="1325"/>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lastRenderedPageBreak/>
        <w:t>1.1.2 Opravdavanje za izbor tematskih ciljeva i pripadajućih investicijskih prioriteta vezanih uz sporazum o partnerstvu, na temelju utvrđivanja regionalnih i, po potrebi, nacionalnih potreba, uključujući potrebu rješavanja izazova u relevantnim i za zemlju specifičnim preporukama usvojenim u skladu s člankom 121. stavkom 2. TFEU-a i relevantnim preporukama Vijeća, usvojenim u skladu s člankom 148. stavkom 4. TFEU-a, uzimajući u obzir ex-ante evaluaciju</w:t>
      </w:r>
      <w:r w:rsidRPr="00C244E3">
        <w:rPr>
          <w:rFonts w:ascii="Times New Roman" w:eastAsia="Times New Roman" w:hAnsi="Times New Roman" w:cs="Times New Roman"/>
          <w:color w:val="000000"/>
          <w:spacing w:val="-3"/>
          <w:sz w:val="24"/>
          <w:szCs w:val="24"/>
          <w:lang w:eastAsia="hr-HR"/>
        </w:rPr>
        <w:t>.</w:t>
      </w:r>
      <w:r w:rsidRPr="00C244E3">
        <w:rPr>
          <w:rFonts w:ascii="Arial" w:eastAsia="Times New Roman" w:hAnsi="Arial" w:cs="Arial"/>
          <w:sz w:val="20"/>
          <w:szCs w:val="20"/>
          <w:lang w:eastAsia="hr-HR"/>
        </w:rPr>
        <w:t xml:space="preserve"> </w:t>
      </w:r>
    </w:p>
    <w:p w:rsidR="0032151E" w:rsidRDefault="0032151E" w:rsidP="00C244E3">
      <w:pPr>
        <w:widowControl w:val="0"/>
        <w:shd w:val="clear" w:color="auto" w:fill="FFFFFF"/>
        <w:autoSpaceDE w:val="0"/>
        <w:autoSpaceDN w:val="0"/>
        <w:adjustRightInd w:val="0"/>
        <w:spacing w:after="0" w:line="240" w:lineRule="auto"/>
        <w:ind w:left="682"/>
        <w:rPr>
          <w:rFonts w:ascii="Times New Roman" w:eastAsia="Times New Roman" w:hAnsi="Times New Roman" w:cs="Times New Roman"/>
          <w:b/>
          <w:bCs/>
          <w:color w:val="000000"/>
          <w:spacing w:val="-1"/>
          <w:lang w:eastAsia="hr-HR"/>
        </w:rPr>
      </w:pPr>
    </w:p>
    <w:p w:rsidR="009B2E82" w:rsidRDefault="009B2E82" w:rsidP="00C244E3">
      <w:pPr>
        <w:widowControl w:val="0"/>
        <w:shd w:val="clear" w:color="auto" w:fill="FFFFFF"/>
        <w:autoSpaceDE w:val="0"/>
        <w:autoSpaceDN w:val="0"/>
        <w:adjustRightInd w:val="0"/>
        <w:spacing w:after="0" w:line="240" w:lineRule="auto"/>
        <w:ind w:left="682"/>
        <w:rPr>
          <w:rFonts w:ascii="Times New Roman" w:eastAsia="Times New Roman" w:hAnsi="Times New Roman" w:cs="Times New Roman"/>
          <w:b/>
          <w:bCs/>
          <w:color w:val="000000"/>
          <w:spacing w:val="-1"/>
          <w:lang w:eastAsia="hr-HR"/>
        </w:rPr>
      </w:pPr>
    </w:p>
    <w:p w:rsidR="00C244E3" w:rsidRPr="00C244E3" w:rsidRDefault="00C244E3" w:rsidP="00C244E3">
      <w:pPr>
        <w:widowControl w:val="0"/>
        <w:shd w:val="clear" w:color="auto" w:fill="FFFFFF"/>
        <w:autoSpaceDE w:val="0"/>
        <w:autoSpaceDN w:val="0"/>
        <w:adjustRightInd w:val="0"/>
        <w:spacing w:after="0" w:line="240" w:lineRule="auto"/>
        <w:ind w:left="68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lang w:eastAsia="hr-HR"/>
        </w:rPr>
        <w:t>Tablica 1: Opravdavanje za odabir tematskih ciljeva i investicijskih prioriteta</w:t>
      </w:r>
    </w:p>
    <w:p w:rsidR="00C244E3" w:rsidRPr="00C244E3" w:rsidRDefault="00C244E3" w:rsidP="00C244E3">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b/>
                <w:sz w:val="20"/>
                <w:szCs w:val="20"/>
                <w:lang w:eastAsia="hr-HR"/>
              </w:rPr>
            </w:pPr>
            <w:r w:rsidRPr="00C244E3">
              <w:rPr>
                <w:rFonts w:ascii="Times New Roman" w:eastAsia="Times New Roman" w:hAnsi="Times New Roman" w:cs="Times New Roman"/>
                <w:b/>
                <w:color w:val="000000"/>
                <w:spacing w:val="-6"/>
                <w:sz w:val="20"/>
                <w:szCs w:val="20"/>
                <w:lang w:eastAsia="hr-HR"/>
              </w:rPr>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b/>
                <w:sz w:val="20"/>
                <w:szCs w:val="20"/>
                <w:lang w:eastAsia="hr-HR"/>
              </w:rPr>
            </w:pPr>
            <w:r w:rsidRPr="00C244E3">
              <w:rPr>
                <w:rFonts w:ascii="Times New Roman" w:eastAsia="Times New Roman" w:hAnsi="Times New Roman" w:cs="Times New Roman"/>
                <w:b/>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b/>
                <w:sz w:val="20"/>
                <w:szCs w:val="20"/>
                <w:lang w:eastAsia="hr-HR"/>
              </w:rPr>
            </w:pPr>
            <w:r w:rsidRPr="00C244E3">
              <w:rPr>
                <w:rFonts w:ascii="Times New Roman" w:eastAsia="Times New Roman" w:hAnsi="Times New Roman" w:cs="Times New Roman"/>
                <w:b/>
                <w:color w:val="000000"/>
                <w:spacing w:val="-5"/>
                <w:sz w:val="20"/>
                <w:szCs w:val="20"/>
                <w:lang w:eastAsia="hr-HR"/>
              </w:rPr>
              <w:t>Opravdavanje odabira</w:t>
            </w:r>
          </w:p>
        </w:tc>
      </w:tr>
      <w:tr w:rsidR="00C244E3" w:rsidRPr="00C244E3" w:rsidTr="00C244E3">
        <w:trPr>
          <w:trHeight w:hRule="exact" w:val="3398"/>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10" w:right="67"/>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01 - Jačanje istraživanja, tehnološkog razvoja i inovacija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14" w:firstLine="19"/>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1a - Poboljšanje infrastrukture i kapaciteta za istraživanje i inovacije, s ciljem razvijanja uspješnosti istraživanja i inovacija te promoviranje centara za kompetencije, posebice onih od europskog interesa</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211"/>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xml:space="preserve">Radi doprinosa glavnom cilju strategije </w:t>
            </w:r>
            <w:r w:rsidRPr="00C244E3">
              <w:rPr>
                <w:rFonts w:ascii="Times New Roman" w:eastAsia="Times New Roman" w:hAnsi="Times New Roman" w:cs="Times New Roman"/>
                <w:b/>
                <w:color w:val="000000"/>
                <w:sz w:val="24"/>
                <w:szCs w:val="24"/>
                <w:lang w:eastAsia="hr-HR"/>
              </w:rPr>
              <w:t>Europa 2020.</w:t>
            </w:r>
            <w:r w:rsidRPr="00C244E3">
              <w:rPr>
                <w:rFonts w:ascii="Times New Roman" w:eastAsia="Times New Roman" w:hAnsi="Times New Roman" w:cs="Times New Roman"/>
                <w:color w:val="000000"/>
                <w:sz w:val="24"/>
                <w:szCs w:val="24"/>
                <w:lang w:eastAsia="hr-HR"/>
              </w:rPr>
              <w:t xml:space="preserve"> te ostvarenja povećanja ukupnih domaćih izdataka za razvoj i istraživanje na 1,4% BDP-a do 2020., što je utvrđeno kao cilj u </w:t>
            </w:r>
            <w:r w:rsidRPr="00C244E3">
              <w:rPr>
                <w:rFonts w:ascii="Times New Roman" w:eastAsia="Times New Roman" w:hAnsi="Times New Roman" w:cs="Times New Roman"/>
                <w:b/>
                <w:color w:val="000000"/>
                <w:sz w:val="24"/>
                <w:szCs w:val="24"/>
                <w:lang w:eastAsia="hr-HR"/>
              </w:rPr>
              <w:t>Partnerskom sporazumu</w:t>
            </w:r>
            <w:r w:rsidRPr="00C244E3">
              <w:rPr>
                <w:rFonts w:ascii="Times New Roman" w:eastAsia="Times New Roman" w:hAnsi="Times New Roman" w:cs="Times New Roman"/>
                <w:color w:val="000000"/>
                <w:sz w:val="24"/>
                <w:szCs w:val="24"/>
                <w:lang w:eastAsia="hr-HR"/>
              </w:rPr>
              <w:t xml:space="preserve"> Republike Hrvatske, potrebno je ulagati u infrastrukturu za istraživanje i razvoj, kapacitete za provedbu istraživanja na visokoškolskim ustanovama/u znanstvenim organizacijama te u znanstvenu izvrsnost</w:t>
            </w:r>
            <w:r w:rsidRPr="00C244E3">
              <w:rPr>
                <w:rFonts w:ascii="Times New Roman" w:eastAsia="Times New Roman" w:hAnsi="Times New Roman" w:cs="Times New Roman"/>
                <w:color w:val="000000"/>
                <w:spacing w:val="-3"/>
                <w:sz w:val="24"/>
                <w:szCs w:val="24"/>
                <w:lang w:eastAsia="hr-HR"/>
              </w:rPr>
              <w:t>.</w:t>
            </w:r>
          </w:p>
        </w:tc>
      </w:tr>
      <w:tr w:rsidR="00C244E3" w:rsidRPr="00C244E3" w:rsidTr="00C244E3">
        <w:trPr>
          <w:trHeight w:hRule="exact" w:val="7814"/>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10" w:right="67"/>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01 - Jačanje istraživanja, tehnološkog razvoja i inovacija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26" w:lineRule="exact"/>
              <w:ind w:right="34" w:firstLine="19"/>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1b - Promicanje poslovnih ulaganja u inovacijama i istraživanjima te razvoj veza i sinergija između poduzeća, centara za istraživanje i inovacije i visokog obrazovanja, osobito promicanje ulaganja u razvoj proizvoda i usluga, transfer tehnologija, socijalne inovacije, ekološke inovacije, usluge javnog servisa, zahtjeva za poticanjima, umrežavanje, klastere i otvorene inovacije, kroz pametnu specijalizaciju i podržavanje tehnoloških i primijenjenih istraživanja, pilot linija, predproizvodna provjera valjanosti, naprednih proizvodnih mogućnosti i početne proizvodnje, osobito u ključnim tehnologijama koje potiču razvoj i inovacije te širenje tehnologija za opću namjenu</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24" w:firstLine="5"/>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24"/>
                <w:szCs w:val="24"/>
                <w:lang w:eastAsia="hr-HR"/>
              </w:rPr>
              <w:t>Bijela knjiga Komisije</w:t>
            </w:r>
            <w:r w:rsidRPr="00C244E3">
              <w:rPr>
                <w:rFonts w:ascii="Times New Roman" w:eastAsia="Times New Roman" w:hAnsi="Times New Roman" w:cs="Times New Roman"/>
                <w:bCs/>
                <w:color w:val="000000"/>
                <w:sz w:val="24"/>
                <w:szCs w:val="24"/>
                <w:lang w:eastAsia="hr-HR"/>
              </w:rPr>
              <w:t xml:space="preserve"> stavlja naglasak na stvaranje dobrih uvjeta za povećanje privatnih izdataka za istraživanje i razvoj putem jačanja kapaciteta za istraživanje, razvoj i inovacije poduzeća, pospješivanje suradnje s institucijama za istraživanje i razvoj te kreiranje institucionalnog sustava podrške aktivnostima istraživanja, razvoja i inovacija u poslovnom sektoru. Kao što pokazuje ocjena potreba i potencijala u </w:t>
            </w:r>
            <w:r w:rsidRPr="00C244E3">
              <w:rPr>
                <w:rFonts w:ascii="Times New Roman" w:eastAsia="Times New Roman" w:hAnsi="Times New Roman" w:cs="Times New Roman"/>
                <w:b/>
                <w:bCs/>
                <w:color w:val="000000"/>
                <w:sz w:val="24"/>
                <w:szCs w:val="24"/>
                <w:lang w:eastAsia="hr-HR"/>
              </w:rPr>
              <w:t>Partnerskom sporazumu</w:t>
            </w:r>
            <w:r w:rsidRPr="00C244E3">
              <w:rPr>
                <w:rFonts w:ascii="Times New Roman" w:eastAsia="Times New Roman" w:hAnsi="Times New Roman" w:cs="Times New Roman"/>
                <w:bCs/>
                <w:color w:val="000000"/>
                <w:sz w:val="24"/>
                <w:szCs w:val="24"/>
                <w:lang w:eastAsia="hr-HR"/>
              </w:rPr>
              <w:t xml:space="preserve"> RH, glavna prepreka povećanju privatne potrošnje u sektoru istraživanja i razvoja slab je inovacijski kapacitet tvrtki i potencijal za istraživanje i razvoj, ograničen interes za suradnju industrije i institucija za istraživanje i razvoj i nedovoljni institucionalni sustav potpore za poticanje inovacija. Prema </w:t>
            </w:r>
            <w:r w:rsidRPr="00C244E3">
              <w:rPr>
                <w:rFonts w:ascii="Times New Roman" w:eastAsia="Times New Roman" w:hAnsi="Times New Roman" w:cs="Times New Roman"/>
                <w:b/>
                <w:bCs/>
                <w:color w:val="000000"/>
                <w:sz w:val="24"/>
                <w:szCs w:val="24"/>
                <w:lang w:eastAsia="hr-HR"/>
              </w:rPr>
              <w:t>Specifičnim preporukama</w:t>
            </w:r>
            <w:r w:rsidRPr="00C244E3">
              <w:rPr>
                <w:rFonts w:ascii="Times New Roman" w:eastAsia="Times New Roman" w:hAnsi="Times New Roman" w:cs="Times New Roman"/>
                <w:bCs/>
                <w:color w:val="000000"/>
                <w:sz w:val="24"/>
                <w:szCs w:val="24"/>
                <w:lang w:eastAsia="hr-HR"/>
              </w:rPr>
              <w:t xml:space="preserve"> o Nacionalnom programu reformi u Hrvatskoj za 2014. i Programa konvergencije u Hrvatskoj za 2014., udjel Vladinog sufinanciranja u poslovnim izdacima za istraživanje i razvoj iznosio je gotovo nula u 2012. Korištenje ESI fondova za istraživanje i razvoj priznato je kao jedina stvarna šansa za porast ulaganja Hrvatske u kapacitete razvoja, istraživanja i</w:t>
            </w:r>
            <w:r w:rsidRPr="00C244E3">
              <w:rPr>
                <w:rFonts w:ascii="Times New Roman" w:eastAsia="Times New Roman" w:hAnsi="Times New Roman" w:cs="Times New Roman"/>
                <w:b/>
                <w:bCs/>
                <w:color w:val="000000"/>
                <w:sz w:val="24"/>
                <w:szCs w:val="24"/>
                <w:lang w:eastAsia="hr-HR"/>
              </w:rPr>
              <w:t xml:space="preserve"> </w:t>
            </w:r>
            <w:r w:rsidRPr="00C244E3">
              <w:rPr>
                <w:rFonts w:ascii="Times New Roman" w:eastAsia="Times New Roman" w:hAnsi="Times New Roman" w:cs="Times New Roman"/>
                <w:bCs/>
                <w:color w:val="000000"/>
                <w:sz w:val="24"/>
                <w:szCs w:val="24"/>
                <w:lang w:eastAsia="hr-HR"/>
              </w:rPr>
              <w:t>inovacija u narednim godinama</w:t>
            </w:r>
            <w:r w:rsidRPr="00C244E3">
              <w:rPr>
                <w:rFonts w:ascii="Times New Roman" w:eastAsia="Times New Roman" w:hAnsi="Times New Roman" w:cs="Times New Roman"/>
                <w:color w:val="000000"/>
                <w:spacing w:val="-4"/>
                <w:sz w:val="24"/>
                <w:szCs w:val="24"/>
                <w:lang w:eastAsia="hr-HR"/>
              </w:rPr>
              <w:t>.</w:t>
            </w:r>
          </w:p>
        </w:tc>
      </w:tr>
      <w:tr w:rsidR="00CD7D77" w:rsidRPr="00C244E3" w:rsidTr="00A825B2">
        <w:trPr>
          <w:trHeight w:val="8235"/>
        </w:trPr>
        <w:tc>
          <w:tcPr>
            <w:tcW w:w="2141" w:type="dxa"/>
            <w:tcBorders>
              <w:top w:val="single" w:sz="6" w:space="0" w:color="auto"/>
              <w:left w:val="single" w:sz="6" w:space="0" w:color="auto"/>
              <w:right w:val="single" w:sz="6" w:space="0" w:color="auto"/>
            </w:tcBorders>
            <w:shd w:val="clear" w:color="auto" w:fill="FFFFFF"/>
          </w:tcPr>
          <w:p w:rsidR="00CD7D77" w:rsidRPr="00C244E3" w:rsidRDefault="00CD7D77" w:rsidP="00C244E3">
            <w:pPr>
              <w:widowControl w:val="0"/>
              <w:shd w:val="clear" w:color="auto" w:fill="FFFFFF"/>
              <w:autoSpaceDE w:val="0"/>
              <w:autoSpaceDN w:val="0"/>
              <w:adjustRightInd w:val="0"/>
              <w:spacing w:after="0" w:line="226" w:lineRule="exact"/>
              <w:ind w:left="5" w:right="1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0"/>
                <w:szCs w:val="20"/>
                <w:lang w:eastAsia="hr-HR"/>
              </w:rPr>
              <w:lastRenderedPageBreak/>
              <w:t>02 - Poboljšanje dostupnosti, korištenja i kvalitete informacijskih i komunikacijskih tehnologija</w:t>
            </w:r>
          </w:p>
        </w:tc>
        <w:tc>
          <w:tcPr>
            <w:tcW w:w="2266" w:type="dxa"/>
            <w:tcBorders>
              <w:top w:val="single" w:sz="6" w:space="0" w:color="auto"/>
              <w:left w:val="single" w:sz="6" w:space="0" w:color="auto"/>
              <w:right w:val="single" w:sz="6" w:space="0" w:color="auto"/>
            </w:tcBorders>
            <w:shd w:val="clear" w:color="auto" w:fill="FFFFFF"/>
          </w:tcPr>
          <w:p w:rsidR="00CD7D77" w:rsidRPr="00C244E3" w:rsidRDefault="00CD7D77" w:rsidP="00C244E3">
            <w:pPr>
              <w:widowControl w:val="0"/>
              <w:shd w:val="clear" w:color="auto" w:fill="FFFFFF"/>
              <w:autoSpaceDE w:val="0"/>
              <w:autoSpaceDN w:val="0"/>
              <w:adjustRightInd w:val="0"/>
              <w:spacing w:after="0" w:line="226" w:lineRule="exact"/>
              <w:ind w:right="130"/>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2a – Daljnji razvoj širokopojasnog pristupa i iskorak prema mrežama velikih brzina i podrška prihvaćanju novih tehnologija i mreža za digitalno gospodarstvo</w:t>
            </w:r>
            <w:r w:rsidRPr="00C244E3" w:rsidDel="00C5750C">
              <w:rPr>
                <w:rFonts w:ascii="Times New Roman" w:eastAsia="Times New Roman" w:hAnsi="Times New Roman" w:cs="Times New Roman"/>
                <w:color w:val="000000"/>
                <w:sz w:val="20"/>
                <w:szCs w:val="20"/>
                <w:lang w:eastAsia="hr-HR"/>
              </w:rPr>
              <w:t xml:space="preserve"> </w:t>
            </w:r>
          </w:p>
        </w:tc>
        <w:tc>
          <w:tcPr>
            <w:tcW w:w="4493" w:type="dxa"/>
            <w:tcBorders>
              <w:top w:val="single" w:sz="6" w:space="0" w:color="auto"/>
              <w:left w:val="single" w:sz="6" w:space="0" w:color="auto"/>
              <w:right w:val="single" w:sz="6" w:space="0" w:color="auto"/>
            </w:tcBorders>
            <w:shd w:val="clear" w:color="auto" w:fill="FFFFFF"/>
          </w:tcPr>
          <w:p w:rsidR="00CD7D77" w:rsidRPr="00C244E3" w:rsidRDefault="00CD7D77" w:rsidP="00C244E3">
            <w:pPr>
              <w:widowControl w:val="0"/>
              <w:shd w:val="clear" w:color="auto" w:fill="FFFFFF"/>
              <w:autoSpaceDE w:val="0"/>
              <w:autoSpaceDN w:val="0"/>
              <w:adjustRightInd w:val="0"/>
              <w:spacing w:after="0" w:line="274" w:lineRule="exact"/>
              <w:ind w:right="77"/>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 xml:space="preserve">Strategija Europa 2020. </w:t>
            </w:r>
            <w:r w:rsidRPr="00C244E3">
              <w:rPr>
                <w:rFonts w:ascii="Times New Roman" w:eastAsia="Times New Roman" w:hAnsi="Times New Roman" w:cs="Times New Roman"/>
                <w:bCs/>
                <w:color w:val="000000"/>
                <w:spacing w:val="-1"/>
                <w:sz w:val="24"/>
                <w:szCs w:val="24"/>
                <w:lang w:eastAsia="hr-HR"/>
              </w:rPr>
              <w:t>ističe važnost korištenja širokopojasnog pristupa u svrhu promicanja socijalne uključenosti i konkurentnosti u EU</w:t>
            </w:r>
            <w:r w:rsidRPr="00C244E3">
              <w:rPr>
                <w:rFonts w:ascii="Times New Roman" w:eastAsia="Times New Roman" w:hAnsi="Times New Roman" w:cs="Times New Roman"/>
                <w:color w:val="000000"/>
                <w:spacing w:val="-1"/>
                <w:sz w:val="24"/>
                <w:szCs w:val="24"/>
                <w:lang w:eastAsia="hr-HR"/>
              </w:rPr>
              <w:t xml:space="preserve">. </w:t>
            </w:r>
          </w:p>
          <w:p w:rsidR="00CD7D77" w:rsidRPr="00C244E3" w:rsidRDefault="00CD7D77" w:rsidP="00C244E3">
            <w:pPr>
              <w:widowControl w:val="0"/>
              <w:shd w:val="clear" w:color="auto" w:fill="FFFFFF"/>
              <w:autoSpaceDE w:val="0"/>
              <w:autoSpaceDN w:val="0"/>
              <w:adjustRightInd w:val="0"/>
              <w:spacing w:after="0" w:line="274" w:lineRule="exact"/>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lang w:eastAsia="hr-HR"/>
              </w:rPr>
              <w:t xml:space="preserve">Jedan od glavnih prioriteta koji promiče </w:t>
            </w:r>
            <w:r w:rsidRPr="00C244E3">
              <w:rPr>
                <w:rFonts w:ascii="Times New Roman" w:eastAsia="Times New Roman" w:hAnsi="Times New Roman" w:cs="Times New Roman"/>
                <w:b/>
                <w:color w:val="000000"/>
                <w:spacing w:val="-1"/>
                <w:lang w:eastAsia="hr-HR"/>
              </w:rPr>
              <w:t>Digitalna agenda za Europu</w:t>
            </w:r>
            <w:r w:rsidRPr="00C244E3">
              <w:rPr>
                <w:rFonts w:ascii="Times New Roman" w:eastAsia="Times New Roman" w:hAnsi="Times New Roman" w:cs="Times New Roman"/>
                <w:color w:val="000000"/>
                <w:spacing w:val="-1"/>
                <w:lang w:eastAsia="hr-HR"/>
              </w:rPr>
              <w:t xml:space="preserve"> je smanjenje digitalnog jaza. Kako je navedeno u Prijedlogu Europske komisije za pripremu i prioritete programskih dokumenata, Hrvatska zaostaje za prosjekom Europske unije s obzirom na razinu širokopojasnog pristupa, a hrvatsko gospodarstvo imalo bi korist od poboljšanog pristupa mrežama sljedeće generacije. Glavni rezultat koji Hrvatska želi postići za ESI fond putem ovog investicijskog prioriteta, kako je prikazano u Sporazumu o partnerstvu koji odražava specifične izazove svake pojedine zemlje koje treba podržati, jest unapređenje širokopojasne komunikacijske infrastrukture mreža sljedeće generacije i pristupa nedovoljno povezanim područjima. </w:t>
            </w:r>
            <w:r w:rsidRPr="00C244E3">
              <w:rPr>
                <w:rFonts w:ascii="Times New Roman" w:eastAsia="Times New Roman" w:hAnsi="Times New Roman" w:cs="Times New Roman"/>
                <w:b/>
                <w:color w:val="000000"/>
                <w:spacing w:val="-1"/>
                <w:lang w:eastAsia="hr-HR"/>
              </w:rPr>
              <w:t>Ekonomski program Republike Hrvatske za 2013.</w:t>
            </w:r>
            <w:r w:rsidRPr="00C244E3">
              <w:rPr>
                <w:rFonts w:ascii="Times New Roman" w:eastAsia="Times New Roman" w:hAnsi="Times New Roman" w:cs="Times New Roman"/>
                <w:color w:val="000000"/>
                <w:spacing w:val="-1"/>
                <w:lang w:eastAsia="hr-HR"/>
              </w:rPr>
              <w:t xml:space="preserve"> uključuje mjere razvoja širokopojasne pristupne infrastrukture radi osiguranja učinkovite konkurencije, dostupnosti širokopojasnih usluga i povećanje potražnje za širokopojasnim uslugama i korištenjem širokopojasnog pristupa kod građana i</w:t>
            </w:r>
            <w:r w:rsidRPr="00C244E3">
              <w:rPr>
                <w:rFonts w:ascii="Times New Roman" w:eastAsia="Times New Roman" w:hAnsi="Times New Roman" w:cs="Times New Roman"/>
                <w:color w:val="000000"/>
                <w:spacing w:val="-1"/>
                <w:sz w:val="24"/>
                <w:szCs w:val="24"/>
                <w:lang w:eastAsia="hr-HR"/>
              </w:rPr>
              <w:t xml:space="preserve"> </w:t>
            </w:r>
            <w:r w:rsidRPr="00C244E3">
              <w:rPr>
                <w:rFonts w:ascii="Times New Roman" w:eastAsia="Times New Roman" w:hAnsi="Times New Roman" w:cs="Times New Roman"/>
                <w:color w:val="000000"/>
                <w:spacing w:val="-1"/>
                <w:lang w:eastAsia="hr-HR"/>
              </w:rPr>
              <w:t>gospodarskih subjekata</w:t>
            </w:r>
            <w:r w:rsidRPr="00C244E3">
              <w:rPr>
                <w:rFonts w:ascii="Times New Roman" w:eastAsia="Times New Roman" w:hAnsi="Times New Roman" w:cs="Times New Roman"/>
                <w:color w:val="000000"/>
                <w:spacing w:val="-2"/>
                <w:lang w:eastAsia="hr-HR"/>
              </w:rPr>
              <w:t>.</w:t>
            </w:r>
          </w:p>
        </w:tc>
      </w:tr>
      <w:tr w:rsidR="00C244E3" w:rsidRPr="00C244E3" w:rsidTr="00C244E3">
        <w:trPr>
          <w:trHeight w:hRule="exact" w:val="6211"/>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11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0"/>
                <w:szCs w:val="20"/>
                <w:lang w:eastAsia="hr-HR"/>
              </w:rPr>
              <w:t>02 - Poboljšanje dostupnosti, korištenja i kvalitete informacijskih i komunikacijskih tehnologija</w:t>
            </w:r>
            <w:r w:rsidRPr="00C244E3">
              <w:rPr>
                <w:rFonts w:ascii="Times New Roman" w:eastAsia="Times New Roman" w:hAnsi="Times New Roman" w:cs="Times New Roman"/>
                <w:color w:val="000000"/>
                <w:sz w:val="20"/>
                <w:szCs w:val="20"/>
                <w:lang w:eastAsia="hr-HR"/>
              </w:rPr>
              <w:t xml:space="preserve"> </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26" w:lineRule="exact"/>
              <w:ind w:right="10"/>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 xml:space="preserve">2c - </w:t>
            </w:r>
            <w:r w:rsidRPr="00C244E3">
              <w:rPr>
                <w:rFonts w:ascii="Times New Roman" w:eastAsia="Times New Roman" w:hAnsi="Times New Roman" w:cs="Times New Roman"/>
                <w:bCs/>
                <w:sz w:val="20"/>
                <w:szCs w:val="20"/>
                <w:lang w:eastAsia="lt-LT"/>
              </w:rPr>
              <w:t>Jačanje aplikacija informacijskih i komunikacijskih tehnologija za e-vladu, e-učenje, e-uključenost, e-kulturu i e-zdravlje</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24"/>
              <w:rPr>
                <w:rFonts w:ascii="Arial" w:eastAsia="Times New Roman" w:hAnsi="Arial" w:cs="Arial"/>
                <w:lang w:eastAsia="hr-HR"/>
              </w:rPr>
            </w:pPr>
            <w:r w:rsidRPr="00C244E3">
              <w:rPr>
                <w:rFonts w:ascii="Times New Roman" w:eastAsia="Times New Roman" w:hAnsi="Times New Roman" w:cs="Times New Roman"/>
                <w:b/>
                <w:bCs/>
                <w:color w:val="000000"/>
                <w:spacing w:val="-1"/>
                <w:lang w:eastAsia="hr-HR"/>
              </w:rPr>
              <w:t>Strategija Europa 2020.</w:t>
            </w:r>
            <w:r w:rsidRPr="00C244E3">
              <w:rPr>
                <w:rFonts w:ascii="Times New Roman" w:eastAsia="Times New Roman" w:hAnsi="Times New Roman" w:cs="Times New Roman"/>
                <w:bCs/>
                <w:color w:val="000000"/>
                <w:spacing w:val="-1"/>
                <w:lang w:eastAsia="hr-HR"/>
              </w:rPr>
              <w:t xml:space="preserve"> ističe uvođenje i korištenje suvremenih dostupnih internetskih usluga (npr. e-vlada, online zdravlje, pametni dom, digitalne vještine, sigurnost itd.). Prijedlog Europske komisije za pripremu i prioritete programskih dokumenata navodi razvoj aplikacija IKT-a i e-vlade (uključujući usluge e-zdravlja) kao odgovor na gospodarske i društvene izazove, kao i unapređenje inovacija, modernizaciju državne uprave i pristup uslugama za građane i poduzeća. Hrvatski Sporazum o partnerstvu potvrđuje da je razina ponude i korištenja javnih e-usluga relativno niska. Javne e-usluge u Hrvatskoj u većoj su mjeri ponuđene tvrtkama nego građanima. Istovremeno, korištenje informacijskih i komunikacijskih tehnologija ključni su element za bolju provedbu ciljeva Strategije. Nacionalni program reformi za 2014. navodi potrebu za uvođenjem informacijsko-komunikacijskih aplikacija kao alata za ostvarenje politike i isporuku usluga u svim područjima reforme</w:t>
            </w:r>
            <w:r w:rsidRPr="00C244E3">
              <w:rPr>
                <w:rFonts w:ascii="Times New Roman" w:eastAsia="Times New Roman" w:hAnsi="Times New Roman" w:cs="Times New Roman"/>
                <w:color w:val="000000"/>
                <w:spacing w:val="-2"/>
                <w:lang w:eastAsia="hr-HR"/>
              </w:rPr>
              <w:t>.</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4"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4" w:right="360" w:bottom="360" w:left="730" w:header="720" w:footer="720" w:gutter="0"/>
          <w:cols w:num="3" w:space="720" w:equalWidth="0">
            <w:col w:w="720" w:space="4517"/>
            <w:col w:w="720" w:space="414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D7D77">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D7D77">
        <w:trPr>
          <w:trHeight w:hRule="exact" w:val="5059"/>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30" w:lineRule="exact"/>
              <w:ind w:left="5" w:right="91"/>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03 - Poboljšanje konkurentnosti malih i srednjih poduzeća, poljoprivrednog sektora (za EPFRR) i sektora za ribarstvo i akvakulturu (za EFPR)</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30" w:lineRule="exact"/>
              <w:ind w:right="5" w:firstLine="5"/>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3a - Promicanje poduzetništva, posebno olakšavajući ekonomsko iskorištavanje novih ideja i poticanje stvaranja novih poduzeća, uključujući putem poslovnih inkubatora</w:t>
            </w:r>
            <w:r w:rsidRPr="00C244E3" w:rsidDel="009F0ED0">
              <w:rPr>
                <w:rFonts w:ascii="Times New Roman" w:eastAsia="Times New Roman" w:hAnsi="Times New Roman" w:cs="Times New Roman"/>
                <w:color w:val="000000"/>
                <w:spacing w:val="-1"/>
                <w:sz w:val="20"/>
                <w:szCs w:val="20"/>
                <w:lang w:eastAsia="hr-HR"/>
              </w:rPr>
              <w:t xml:space="preserve"> </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74" w:lineRule="exact"/>
              <w:ind w:right="24"/>
              <w:rPr>
                <w:rFonts w:ascii="Times New Roman" w:eastAsia="Times New Roman" w:hAnsi="Times New Roman" w:cs="Times New Roman"/>
                <w:bCs/>
                <w:color w:val="000000"/>
                <w:spacing w:val="-2"/>
                <w:sz w:val="24"/>
                <w:szCs w:val="24"/>
                <w:lang w:eastAsia="hr-HR"/>
              </w:rPr>
            </w:pPr>
            <w:r w:rsidRPr="00C244E3">
              <w:rPr>
                <w:rFonts w:ascii="Times New Roman" w:eastAsia="Times New Roman" w:hAnsi="Times New Roman" w:cs="Times New Roman"/>
                <w:bCs/>
                <w:color w:val="000000"/>
                <w:spacing w:val="-2"/>
                <w:sz w:val="24"/>
                <w:szCs w:val="24"/>
                <w:lang w:eastAsia="hr-HR"/>
              </w:rPr>
              <w:t xml:space="preserve">U sklopu </w:t>
            </w:r>
            <w:r w:rsidRPr="00C244E3">
              <w:rPr>
                <w:rFonts w:ascii="Times New Roman" w:eastAsia="Times New Roman" w:hAnsi="Times New Roman" w:cs="Times New Roman"/>
                <w:b/>
                <w:bCs/>
                <w:color w:val="000000"/>
                <w:spacing w:val="-2"/>
                <w:sz w:val="24"/>
                <w:szCs w:val="24"/>
                <w:lang w:eastAsia="hr-HR"/>
              </w:rPr>
              <w:t>detaljnog preispitivanja Europske komisije, Makroekonomske neravnoteže - Hrvatska 2014.</w:t>
            </w:r>
            <w:r w:rsidRPr="00C244E3">
              <w:rPr>
                <w:rFonts w:ascii="Times New Roman" w:eastAsia="Times New Roman" w:hAnsi="Times New Roman" w:cs="Times New Roman"/>
                <w:bCs/>
                <w:color w:val="000000"/>
                <w:spacing w:val="-2"/>
                <w:sz w:val="24"/>
                <w:szCs w:val="24"/>
                <w:lang w:eastAsia="hr-HR"/>
              </w:rPr>
              <w:t>, ističe se da Europska Komisija i EIB također predlažu inicijativu za poticanje kreditiranja MSP-ova te stoga prepoznaju potrebu za takvim intervencijama.</w:t>
            </w:r>
          </w:p>
          <w:p w:rsidR="00C244E3" w:rsidRPr="00C244E3" w:rsidRDefault="00C244E3" w:rsidP="00CD7D77">
            <w:pPr>
              <w:widowControl w:val="0"/>
              <w:shd w:val="clear" w:color="auto" w:fill="FFFFFF"/>
              <w:autoSpaceDE w:val="0"/>
              <w:autoSpaceDN w:val="0"/>
              <w:adjustRightInd w:val="0"/>
              <w:spacing w:after="0" w:line="274" w:lineRule="exact"/>
              <w:ind w:right="24" w:firstLine="14"/>
              <w:rPr>
                <w:rFonts w:ascii="Times New Roman" w:eastAsia="Times New Roman" w:hAnsi="Times New Roman" w:cs="Times New Roman"/>
                <w:bCs/>
                <w:color w:val="000000"/>
                <w:spacing w:val="-2"/>
                <w:sz w:val="24"/>
                <w:szCs w:val="24"/>
                <w:lang w:eastAsia="hr-HR"/>
              </w:rPr>
            </w:pPr>
          </w:p>
          <w:p w:rsidR="00C244E3" w:rsidRPr="00C244E3" w:rsidRDefault="00C244E3" w:rsidP="00CD7D77">
            <w:pPr>
              <w:widowControl w:val="0"/>
              <w:shd w:val="clear" w:color="auto" w:fill="FFFFFF"/>
              <w:autoSpaceDE w:val="0"/>
              <w:autoSpaceDN w:val="0"/>
              <w:adjustRightInd w:val="0"/>
              <w:spacing w:after="0" w:line="274" w:lineRule="exact"/>
              <w:ind w:right="24" w:firstLine="14"/>
              <w:rPr>
                <w:rFonts w:ascii="Arial" w:eastAsia="Times New Roman" w:hAnsi="Arial" w:cs="Arial"/>
                <w:sz w:val="20"/>
                <w:szCs w:val="20"/>
                <w:lang w:eastAsia="hr-HR"/>
              </w:rPr>
            </w:pPr>
            <w:r w:rsidRPr="00C244E3">
              <w:rPr>
                <w:rFonts w:ascii="Times New Roman" w:eastAsia="Times New Roman" w:hAnsi="Times New Roman" w:cs="Times New Roman"/>
                <w:bCs/>
                <w:color w:val="000000"/>
                <w:spacing w:val="-2"/>
                <w:sz w:val="24"/>
                <w:szCs w:val="24"/>
                <w:lang w:eastAsia="hr-HR"/>
              </w:rPr>
              <w:t xml:space="preserve">Podrška konkurentnosti među poduzećima navedena je kao prioritet financiranja u </w:t>
            </w:r>
            <w:r w:rsidRPr="00C244E3">
              <w:rPr>
                <w:rFonts w:ascii="Times New Roman" w:eastAsia="Times New Roman" w:hAnsi="Times New Roman" w:cs="Times New Roman"/>
                <w:b/>
                <w:bCs/>
                <w:color w:val="000000"/>
                <w:spacing w:val="-2"/>
                <w:sz w:val="24"/>
                <w:szCs w:val="24"/>
                <w:lang w:eastAsia="hr-HR"/>
              </w:rPr>
              <w:t>Prijedlogu Europske komisije za pripremu i prioritete programskih dokumenata</w:t>
            </w:r>
            <w:r w:rsidRPr="00C244E3">
              <w:rPr>
                <w:rFonts w:ascii="Times New Roman" w:eastAsia="Times New Roman" w:hAnsi="Times New Roman" w:cs="Times New Roman"/>
                <w:bCs/>
                <w:color w:val="000000"/>
                <w:spacing w:val="-2"/>
                <w:sz w:val="24"/>
                <w:szCs w:val="24"/>
                <w:lang w:eastAsia="hr-HR"/>
              </w:rPr>
              <w:t>, kao i pristup financiranju za MSP-ove i daljnji razvoj usluga poslovne podrške s većom dodanom vrijednošću. Poduzeća bi trebala biti podržana tijekom svog životnog ciklusa, s ciljem povećanja proizvodnosti i sveukupne konkurentnosti.</w:t>
            </w:r>
          </w:p>
        </w:tc>
      </w:tr>
      <w:tr w:rsidR="00C244E3" w:rsidRPr="00C244E3" w:rsidTr="00CD7D77">
        <w:trPr>
          <w:trHeight w:hRule="exact" w:val="450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30" w:lineRule="exact"/>
              <w:ind w:left="5" w:right="91"/>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03 - Poboljšanje konkurentnosti malih i srednjih poduzeća, poljoprivrednog sektora (za EPFRR) i sektora za ribarstvo i akvakulturu (za EFPR)</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30" w:lineRule="exact"/>
              <w:ind w:firstLine="5"/>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3d - Podupiranje kapaciteta MSP-ova za rast i inovacijske procese</w:t>
            </w:r>
            <w:r w:rsidRPr="00C244E3" w:rsidDel="009F0ED0">
              <w:rPr>
                <w:rFonts w:ascii="Times New Roman" w:eastAsia="Times New Roman" w:hAnsi="Times New Roman" w:cs="Times New Roman"/>
                <w:color w:val="000000"/>
                <w:spacing w:val="-1"/>
                <w:sz w:val="20"/>
                <w:szCs w:val="20"/>
                <w:lang w:eastAsia="hr-HR"/>
              </w:rPr>
              <w:t xml:space="preserve"> </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74" w:lineRule="exact"/>
              <w:ind w:right="110" w:firstLine="14"/>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 xml:space="preserve">Podržavanje modernizacije i konkurentnosti poduzeća prioritet je financiranja u </w:t>
            </w:r>
            <w:r w:rsidRPr="00C244E3">
              <w:rPr>
                <w:rFonts w:ascii="Times New Roman" w:eastAsia="Times New Roman" w:hAnsi="Times New Roman" w:cs="Times New Roman"/>
                <w:b/>
                <w:color w:val="000000"/>
                <w:spacing w:val="-1"/>
                <w:sz w:val="24"/>
                <w:szCs w:val="24"/>
                <w:lang w:eastAsia="hr-HR"/>
              </w:rPr>
              <w:t>Prijedlogu Europske komisije za pripremu i prioritete programskih dokumenata</w:t>
            </w:r>
            <w:r w:rsidRPr="00C244E3">
              <w:rPr>
                <w:rFonts w:ascii="Times New Roman" w:eastAsia="Times New Roman" w:hAnsi="Times New Roman" w:cs="Times New Roman"/>
                <w:color w:val="000000"/>
                <w:spacing w:val="-1"/>
                <w:sz w:val="24"/>
                <w:szCs w:val="24"/>
                <w:lang w:eastAsia="hr-HR"/>
              </w:rPr>
              <w:t xml:space="preserve">. U okviru </w:t>
            </w:r>
            <w:r w:rsidRPr="00C244E3">
              <w:rPr>
                <w:rFonts w:ascii="Times New Roman" w:eastAsia="Times New Roman" w:hAnsi="Times New Roman" w:cs="Times New Roman"/>
                <w:b/>
                <w:color w:val="000000"/>
                <w:spacing w:val="-1"/>
                <w:sz w:val="24"/>
                <w:szCs w:val="24"/>
                <w:lang w:eastAsia="hr-HR"/>
              </w:rPr>
              <w:t>Strategije Europa 2020.</w:t>
            </w:r>
            <w:r w:rsidRPr="00C244E3">
              <w:rPr>
                <w:rFonts w:ascii="Times New Roman" w:eastAsia="Times New Roman" w:hAnsi="Times New Roman" w:cs="Times New Roman"/>
                <w:color w:val="000000"/>
                <w:spacing w:val="-1"/>
                <w:sz w:val="24"/>
                <w:szCs w:val="24"/>
                <w:lang w:eastAsia="hr-HR"/>
              </w:rPr>
              <w:t xml:space="preserve"> i vodeće inicijative pod nazivom </w:t>
            </w:r>
            <w:r w:rsidRPr="00C244E3">
              <w:rPr>
                <w:rFonts w:ascii="Times New Roman" w:eastAsia="Times New Roman" w:hAnsi="Times New Roman" w:cs="Times New Roman"/>
                <w:b/>
                <w:color w:val="000000"/>
                <w:spacing w:val="-1"/>
                <w:sz w:val="24"/>
                <w:szCs w:val="24"/>
                <w:lang w:eastAsia="hr-HR"/>
              </w:rPr>
              <w:t>Industrijska politika za doba globalizacije</w:t>
            </w:r>
            <w:r w:rsidRPr="00C244E3">
              <w:rPr>
                <w:rFonts w:ascii="Times New Roman" w:eastAsia="Times New Roman" w:hAnsi="Times New Roman" w:cs="Times New Roman"/>
                <w:color w:val="000000"/>
                <w:spacing w:val="-1"/>
                <w:sz w:val="24"/>
                <w:szCs w:val="24"/>
                <w:lang w:eastAsia="hr-HR"/>
              </w:rPr>
              <w:t xml:space="preserve">, ističe se važnost stvaranja </w:t>
            </w:r>
          </w:p>
          <w:p w:rsidR="00C244E3" w:rsidRPr="00C244E3" w:rsidRDefault="00C244E3" w:rsidP="00CD7D77">
            <w:pPr>
              <w:widowControl w:val="0"/>
              <w:shd w:val="clear" w:color="auto" w:fill="FFFFFF"/>
              <w:autoSpaceDE w:val="0"/>
              <w:autoSpaceDN w:val="0"/>
              <w:adjustRightInd w:val="0"/>
              <w:spacing w:after="0" w:line="274" w:lineRule="exact"/>
              <w:ind w:right="110" w:firstLine="14"/>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 xml:space="preserve">ekosustava koji dovodi do inovacija. Hrvatska </w:t>
            </w:r>
            <w:r w:rsidRPr="00C244E3">
              <w:rPr>
                <w:rFonts w:ascii="Times New Roman" w:eastAsia="Times New Roman" w:hAnsi="Times New Roman" w:cs="Times New Roman"/>
                <w:b/>
                <w:color w:val="000000"/>
                <w:spacing w:val="-1"/>
                <w:sz w:val="24"/>
                <w:szCs w:val="24"/>
                <w:lang w:eastAsia="hr-HR"/>
              </w:rPr>
              <w:t>Strategija razvoja MSP-ova za razdoblje 2013. - 2020.</w:t>
            </w:r>
            <w:r w:rsidRPr="00C244E3">
              <w:rPr>
                <w:rFonts w:ascii="Times New Roman" w:eastAsia="Times New Roman" w:hAnsi="Times New Roman" w:cs="Times New Roman"/>
                <w:color w:val="000000"/>
                <w:spacing w:val="-1"/>
                <w:sz w:val="24"/>
                <w:szCs w:val="24"/>
                <w:lang w:eastAsia="hr-HR"/>
              </w:rPr>
              <w:t xml:space="preserve"> usklađuje nacionalne strateške ciljeve s relevantnim dokumentima Unije, a ulaganja sukladna hrvatskoj </w:t>
            </w:r>
            <w:r w:rsidRPr="00C244E3">
              <w:rPr>
                <w:rFonts w:ascii="Times New Roman" w:eastAsia="Times New Roman" w:hAnsi="Times New Roman" w:cs="Times New Roman"/>
                <w:b/>
                <w:color w:val="000000"/>
                <w:spacing w:val="-1"/>
                <w:sz w:val="24"/>
                <w:szCs w:val="24"/>
                <w:lang w:eastAsia="hr-HR"/>
              </w:rPr>
              <w:t>Strategiji pametne specijalizacije (S3)</w:t>
            </w:r>
            <w:r w:rsidRPr="00C244E3">
              <w:rPr>
                <w:rFonts w:ascii="Times New Roman" w:eastAsia="Times New Roman" w:hAnsi="Times New Roman" w:cs="Times New Roman"/>
                <w:color w:val="000000"/>
                <w:spacing w:val="-1"/>
                <w:sz w:val="24"/>
                <w:szCs w:val="24"/>
                <w:lang w:eastAsia="hr-HR"/>
              </w:rPr>
              <w:t xml:space="preserve"> usmjeravaju se u sektore s najvišim potencijalom rasta</w:t>
            </w:r>
            <w:r w:rsidRPr="00C244E3">
              <w:rPr>
                <w:rFonts w:ascii="Times New Roman" w:eastAsia="Times New Roman" w:hAnsi="Times New Roman" w:cs="Times New Roman"/>
                <w:color w:val="000000"/>
                <w:spacing w:val="-2"/>
                <w:sz w:val="24"/>
                <w:szCs w:val="24"/>
                <w:lang w:eastAsia="hr-HR"/>
              </w:rPr>
              <w:t>.</w:t>
            </w:r>
          </w:p>
        </w:tc>
      </w:tr>
      <w:tr w:rsidR="00C244E3" w:rsidRPr="00C244E3" w:rsidTr="00CD7D77">
        <w:trPr>
          <w:trHeight w:hRule="exact" w:val="2352"/>
        </w:trPr>
        <w:tc>
          <w:tcPr>
            <w:tcW w:w="2141" w:type="dxa"/>
            <w:tcBorders>
              <w:top w:val="single" w:sz="6" w:space="0" w:color="auto"/>
              <w:left w:val="single" w:sz="6" w:space="0" w:color="auto"/>
              <w:bottom w:val="single" w:sz="4"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30" w:lineRule="exact"/>
              <w:ind w:left="10" w:right="130"/>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04 - Podržavanje prelaska na niskougljično gospodarstvo u svim sektorima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30" w:lineRule="exact"/>
              <w:ind w:right="43"/>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4b - Promicanje energetske učinkovitosti i korištenja obnovljivih izvora energije u poduzećima</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74" w:lineRule="exact"/>
              <w:ind w:right="91" w:hanging="10"/>
              <w:rPr>
                <w:rFonts w:ascii="Arial" w:eastAsia="Times New Roman" w:hAnsi="Arial" w:cs="Arial"/>
                <w:lang w:eastAsia="hr-HR"/>
              </w:rPr>
            </w:pPr>
            <w:r w:rsidRPr="00C244E3">
              <w:rPr>
                <w:rFonts w:ascii="Times New Roman" w:eastAsia="Times New Roman" w:hAnsi="Times New Roman" w:cs="Times New Roman"/>
                <w:color w:val="000000"/>
                <w:spacing w:val="-1"/>
                <w:lang w:eastAsia="hr-HR"/>
              </w:rPr>
              <w:t xml:space="preserve">Potrebno je postići cilj EU-a i nacionalni cilj utvrđen u </w:t>
            </w:r>
            <w:r w:rsidRPr="00C244E3">
              <w:rPr>
                <w:rFonts w:ascii="Times New Roman" w:eastAsia="Times New Roman" w:hAnsi="Times New Roman" w:cs="Times New Roman"/>
                <w:b/>
                <w:color w:val="000000"/>
                <w:spacing w:val="-1"/>
                <w:lang w:eastAsia="hr-HR"/>
              </w:rPr>
              <w:t>Strategiji Europa 2020.</w:t>
            </w:r>
            <w:r w:rsidRPr="00C244E3">
              <w:rPr>
                <w:rFonts w:ascii="Times New Roman" w:eastAsia="Times New Roman" w:hAnsi="Times New Roman" w:cs="Times New Roman"/>
                <w:color w:val="000000"/>
                <w:spacing w:val="-1"/>
                <w:lang w:eastAsia="hr-HR"/>
              </w:rPr>
              <w:t xml:space="preserve"> i </w:t>
            </w:r>
            <w:r w:rsidRPr="00C244E3">
              <w:rPr>
                <w:rFonts w:ascii="Times New Roman" w:eastAsia="Times New Roman" w:hAnsi="Times New Roman" w:cs="Times New Roman"/>
                <w:b/>
                <w:color w:val="000000"/>
                <w:spacing w:val="-1"/>
                <w:lang w:eastAsia="hr-HR"/>
              </w:rPr>
              <w:t>hrvatskoj nacionalnoj Strategiji energetskog razvoja</w:t>
            </w:r>
            <w:r w:rsidRPr="00C244E3">
              <w:rPr>
                <w:rFonts w:ascii="Times New Roman" w:eastAsia="Times New Roman" w:hAnsi="Times New Roman" w:cs="Times New Roman"/>
                <w:color w:val="000000"/>
                <w:spacing w:val="-1"/>
                <w:lang w:eastAsia="hr-HR"/>
              </w:rPr>
              <w:t>, koji se odnosi na postizanje 20-postotnog udjela obnovljive energije u bruto konačnoj potrošnji energije te na 20-postotno smanjenje primarne potrošnje energije (i 20-postotno smanjenje emisije stakleničkih plinova</w:t>
            </w:r>
            <w:r w:rsidRPr="00C244E3">
              <w:rPr>
                <w:rFonts w:ascii="Times New Roman" w:eastAsia="Times New Roman" w:hAnsi="Times New Roman" w:cs="Times New Roman"/>
                <w:color w:val="000000"/>
                <w:spacing w:val="-3"/>
                <w:lang w:eastAsia="hr-HR"/>
              </w:rPr>
              <w:t xml:space="preserve">). </w:t>
            </w:r>
          </w:p>
        </w:tc>
      </w:tr>
      <w:tr w:rsidR="00CD7D77" w:rsidTr="00CD7D77">
        <w:tblPrEx>
          <w:tblBorders>
            <w:top w:val="single" w:sz="4" w:space="0" w:color="auto"/>
          </w:tblBorders>
          <w:tblCellMar>
            <w:left w:w="108" w:type="dxa"/>
            <w:right w:w="108" w:type="dxa"/>
          </w:tblCellMar>
        </w:tblPrEx>
        <w:trPr>
          <w:gridAfter w:val="2"/>
          <w:wAfter w:w="6759" w:type="dxa"/>
          <w:trHeight w:val="100"/>
        </w:trPr>
        <w:tc>
          <w:tcPr>
            <w:tcW w:w="2141" w:type="dxa"/>
          </w:tcPr>
          <w:p w:rsidR="00CD7D77" w:rsidRDefault="00CD7D77" w:rsidP="00CD7D77">
            <w:pPr>
              <w:widowControl w:val="0"/>
              <w:autoSpaceDE w:val="0"/>
              <w:autoSpaceDN w:val="0"/>
              <w:adjustRightInd w:val="0"/>
              <w:spacing w:after="0" w:line="240" w:lineRule="auto"/>
              <w:rPr>
                <w:rFonts w:ascii="Arial" w:eastAsia="Times New Roman" w:hAnsi="Arial" w:cs="Arial"/>
                <w:sz w:val="20"/>
                <w:szCs w:val="20"/>
                <w:lang w:eastAsia="hr-HR"/>
              </w:rPr>
            </w:pP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4"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4" w:right="360" w:bottom="360" w:left="730" w:header="720" w:footer="720" w:gutter="0"/>
          <w:cols w:num="3" w:space="720" w:equalWidth="0">
            <w:col w:w="720" w:space="4517"/>
            <w:col w:w="720" w:space="414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244E3">
        <w:trPr>
          <w:trHeight w:hRule="exact" w:val="5213"/>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24" w:firstLine="5"/>
              <w:rPr>
                <w:rFonts w:ascii="Arial" w:eastAsia="Times New Roman" w:hAnsi="Arial" w:cs="Arial"/>
                <w:lang w:eastAsia="hr-HR"/>
              </w:rPr>
            </w:pPr>
            <w:r w:rsidRPr="00C244E3">
              <w:rPr>
                <w:rFonts w:ascii="Times New Roman" w:eastAsia="Times New Roman" w:hAnsi="Times New Roman" w:cs="Times New Roman"/>
                <w:color w:val="000000"/>
                <w:spacing w:val="-3"/>
                <w:lang w:eastAsia="hr-HR"/>
              </w:rPr>
              <w:t>Budući da se utrošak energije u gospodarskim aktivnostima uvelike odnosio na energiju na bazi ugljika, a bio je intenzivan i u industrijskom i u uslužnom sektoru, što ima negativne učinke na energetske/klimatske politike i ciljeve, ali i smanjenje konkurentnosti poduzeća, potrebno je osigurati da poduzeća pridonose postignuću ciljeva koji se odnose na obnovljive izvore energije (primarno njihovog 20-postotnog udjela u hlađenju/grijanju) i energetsku učinkovitost (19% u uslugama), u svrhu usklađivanja s ciljevima Strategije Europa 2020., čime će se također smanjiti njihovi troškovi i posljedično povećati konkurentnost. I Prijedlog Europske komisije za pripremu i prioritete programskih dokumenata i Partnerski sporazum RH propisuju promicanje energetske učinkovitosti i korištenje obnovljive energije u gospodarskom sektoru kao prioriteta koje treba podržati sredstvima iz ESI fondova</w:t>
            </w:r>
            <w:r w:rsidRPr="00C244E3">
              <w:rPr>
                <w:rFonts w:ascii="Times New Roman" w:eastAsia="Times New Roman" w:hAnsi="Times New Roman" w:cs="Times New Roman"/>
                <w:color w:val="000000"/>
                <w:spacing w:val="-2"/>
                <w:lang w:eastAsia="hr-HR"/>
              </w:rPr>
              <w:t>.</w:t>
            </w:r>
          </w:p>
        </w:tc>
      </w:tr>
      <w:tr w:rsidR="00C244E3" w:rsidRPr="00C244E3" w:rsidTr="00C244E3">
        <w:trPr>
          <w:trHeight w:hRule="exact" w:val="7258"/>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10" w:right="130"/>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04 - Podržavanje prelaska na niskougljično gospodarstvo u svim sektorima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30" w:lineRule="exact"/>
              <w:ind w:right="101"/>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 xml:space="preserve">4c - Podupiranje energetske učinkovitosti, pametnog </w:t>
            </w:r>
            <w:r w:rsidR="00CD7D77">
              <w:rPr>
                <w:rFonts w:ascii="Times New Roman" w:eastAsia="Times New Roman" w:hAnsi="Times New Roman" w:cs="Times New Roman"/>
                <w:color w:val="000000"/>
                <w:spacing w:val="-1"/>
                <w:sz w:val="20"/>
                <w:szCs w:val="20"/>
                <w:lang w:eastAsia="hr-HR"/>
              </w:rPr>
              <w:t xml:space="preserve">upravljanja </w:t>
            </w:r>
            <w:r w:rsidRPr="00C244E3">
              <w:rPr>
                <w:rFonts w:ascii="Times New Roman" w:eastAsia="Times New Roman" w:hAnsi="Times New Roman" w:cs="Times New Roman"/>
                <w:color w:val="000000"/>
                <w:spacing w:val="-1"/>
                <w:sz w:val="20"/>
                <w:szCs w:val="20"/>
                <w:lang w:eastAsia="hr-HR"/>
              </w:rPr>
              <w:t>energijom i korištenje obnovljivih izvora energije u javnoj infrastrukturi, uključujući javne zgrade te u stambenom sektoru</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29" w:hanging="5"/>
              <w:rPr>
                <w:rFonts w:ascii="Arial" w:eastAsia="Times New Roman" w:hAnsi="Arial" w:cs="Arial"/>
                <w:lang w:eastAsia="hr-HR"/>
              </w:rPr>
            </w:pPr>
            <w:r w:rsidRPr="00C244E3">
              <w:rPr>
                <w:rFonts w:ascii="Times New Roman" w:eastAsia="Times New Roman" w:hAnsi="Times New Roman" w:cs="Times New Roman"/>
                <w:color w:val="000000"/>
                <w:lang w:eastAsia="hr-HR"/>
              </w:rPr>
              <w:t xml:space="preserve">Budući da su zgrade najveći potrošač energije, ovaj investicijski prioritet najviše će pridonijeti cilju </w:t>
            </w:r>
            <w:r w:rsidRPr="00C244E3">
              <w:rPr>
                <w:rFonts w:ascii="Times New Roman" w:eastAsia="Times New Roman" w:hAnsi="Times New Roman" w:cs="Times New Roman"/>
                <w:b/>
                <w:color w:val="000000"/>
                <w:lang w:eastAsia="hr-HR"/>
              </w:rPr>
              <w:t>Strategije Europa 2020.</w:t>
            </w:r>
            <w:r w:rsidRPr="00C244E3">
              <w:rPr>
                <w:rFonts w:ascii="Times New Roman" w:eastAsia="Times New Roman" w:hAnsi="Times New Roman" w:cs="Times New Roman"/>
                <w:color w:val="000000"/>
                <w:lang w:eastAsia="hr-HR"/>
              </w:rPr>
              <w:t xml:space="preserve"> i </w:t>
            </w:r>
            <w:r w:rsidRPr="00C244E3">
              <w:rPr>
                <w:rFonts w:ascii="Times New Roman" w:eastAsia="Times New Roman" w:hAnsi="Times New Roman" w:cs="Times New Roman"/>
                <w:b/>
                <w:color w:val="000000"/>
                <w:lang w:eastAsia="hr-HR"/>
              </w:rPr>
              <w:t>hrvatske Strategije energetskog razvoja</w:t>
            </w:r>
            <w:r w:rsidRPr="00C244E3">
              <w:rPr>
                <w:rFonts w:ascii="Times New Roman" w:eastAsia="Times New Roman" w:hAnsi="Times New Roman" w:cs="Times New Roman"/>
                <w:color w:val="000000"/>
                <w:lang w:eastAsia="hr-HR"/>
              </w:rPr>
              <w:t>, koji se odnosi na 20-postotno povećanje energetske učinkovitosti do 2020., s obzirom na to da je ustanovljeno da će se najveća ušteda (34%) ostvariti u stambenom sektoru (uključujući stambene zgrade). Također će se ostvariti cilj povećavanja udjela obnovljivih izvora energije u potrošnji energije, s posebnim naglaskom na pružanje neovisnih rješenja za opskrbu energijom, čime će se pridonijeti ostvarivanju nacionalnih ciljeva koji se odnose na proizvodnju električne energije, a posebice na proizvodnju energije za hlađenje/grijanje, ali i sigurnosti opskrbe, što je jedan od glavnih ciljeva na razini EU-a i Hrvatske. Na sličan način, ulaganja u odgovarajuća poboljšanja javne energetske infrastrukture (sustav centraliziranog grijanja i javna rasvjeta) doprinijet će efikasnijem korištenju izvora energije i smanjenju emisije stakleničkih plinova</w:t>
            </w:r>
            <w:r w:rsidRPr="00C244E3">
              <w:rPr>
                <w:rFonts w:ascii="Times New Roman" w:eastAsia="Times New Roman" w:hAnsi="Times New Roman" w:cs="Times New Roman"/>
                <w:color w:val="000000"/>
                <w:spacing w:val="-2"/>
                <w:lang w:eastAsia="hr-HR"/>
              </w:rPr>
              <w:t>.</w:t>
            </w:r>
          </w:p>
        </w:tc>
      </w:tr>
      <w:tr w:rsidR="00C244E3" w:rsidRPr="00C244E3" w:rsidTr="00CD7D77">
        <w:trPr>
          <w:trHeight w:hRule="exact" w:val="95"/>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4"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4" w:right="360" w:bottom="360" w:left="730" w:header="720" w:footer="720" w:gutter="0"/>
          <w:cols w:num="3" w:space="720" w:equalWidth="0">
            <w:col w:w="720" w:space="4517"/>
            <w:col w:w="720" w:space="414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244E3">
        <w:trPr>
          <w:trHeight w:hRule="exact" w:val="6864"/>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10" w:right="130" w:firstLine="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0"/>
                <w:szCs w:val="20"/>
                <w:lang w:eastAsia="hr-HR"/>
              </w:rPr>
              <w:t>04 - Podržavanje prelaska na niskougljično gospodarstvo u svim sektorima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91"/>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4d - Razvoj i provedba pametnih sustava distribucije koji djeluju pri niskim i srednjim razinama napona</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19"/>
              <w:rPr>
                <w:rFonts w:ascii="Arial" w:eastAsia="Times New Roman" w:hAnsi="Arial" w:cs="Arial"/>
                <w:lang w:eastAsia="hr-HR"/>
              </w:rPr>
            </w:pPr>
            <w:r w:rsidRPr="00C244E3">
              <w:rPr>
                <w:rFonts w:ascii="Times New Roman" w:eastAsia="Times New Roman" w:hAnsi="Times New Roman" w:cs="Times New Roman"/>
                <w:color w:val="000000"/>
                <w:spacing w:val="-2"/>
                <w:lang w:eastAsia="hr-HR"/>
              </w:rPr>
              <w:t xml:space="preserve">Postojeći razvodni sustav na niskom i srednjem stupnju napona uvelike je zastario te ga karakterizira nedostatna primjena novih tehnologija (uključujući i vrlo ograničenu pokrivenost naprednim/pametnim mrežama). Stoga bi poboljšanja u sklopu sustava trebala pridonijeti povećanju razine sigurnosti opskrbe (što je jedan od tri glavna prioriteta </w:t>
            </w:r>
            <w:r w:rsidRPr="00C244E3">
              <w:rPr>
                <w:rFonts w:ascii="Times New Roman" w:eastAsia="Times New Roman" w:hAnsi="Times New Roman" w:cs="Times New Roman"/>
                <w:b/>
                <w:color w:val="000000"/>
                <w:spacing w:val="-2"/>
                <w:lang w:eastAsia="hr-HR"/>
              </w:rPr>
              <w:t>hrvatske Strategije energetskog razvoja</w:t>
            </w:r>
            <w:r w:rsidRPr="00C244E3">
              <w:rPr>
                <w:rFonts w:ascii="Times New Roman" w:eastAsia="Times New Roman" w:hAnsi="Times New Roman" w:cs="Times New Roman"/>
                <w:color w:val="000000"/>
                <w:spacing w:val="-2"/>
                <w:lang w:eastAsia="hr-HR"/>
              </w:rPr>
              <w:t xml:space="preserve"> i </w:t>
            </w:r>
            <w:r w:rsidRPr="00C244E3">
              <w:rPr>
                <w:rFonts w:ascii="Times New Roman" w:eastAsia="Times New Roman" w:hAnsi="Times New Roman" w:cs="Times New Roman"/>
                <w:b/>
                <w:color w:val="000000"/>
                <w:spacing w:val="-2"/>
                <w:lang w:eastAsia="hr-HR"/>
              </w:rPr>
              <w:t>Ekonomskog programa</w:t>
            </w:r>
            <w:r w:rsidRPr="00C244E3">
              <w:rPr>
                <w:rFonts w:ascii="Times New Roman" w:eastAsia="Times New Roman" w:hAnsi="Times New Roman" w:cs="Times New Roman"/>
                <w:color w:val="000000"/>
                <w:spacing w:val="-2"/>
                <w:lang w:eastAsia="hr-HR"/>
              </w:rPr>
              <w:t>), no i efikasnijem upravljanju (energetskim) resursima i time smanjenju troškova i emisije stakleničkih plinova, čime će se pridonijeti ostvarenju ciljeva određenih u sklopu glavne inicijative "Energetski učinkovita Europa". Kao posebna značajka, poboljšanje mreže će omogućiti uvođenje dodatne proizvodnje energije iz obnovljivih izvora te poboljšanje efikasnosti energetskog sustava učinkovitijom distribucijom i korištenjem energije, čime će se doprinijeti ciljevima Strategije Europa 2020. koji se odnose na sektor energetike. Ti ciljevi su potpuno usklađeni s Prijedlogom Europske komisije za pripremu i prioritete programskih dokumenata, koji propisuje, između ostalog, ulaganje u pristup mreži kao prioritet.</w:t>
            </w:r>
          </w:p>
        </w:tc>
      </w:tr>
      <w:tr w:rsidR="00C244E3" w:rsidRPr="00C244E3" w:rsidTr="00C244E3">
        <w:trPr>
          <w:trHeight w:hRule="exact" w:val="595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58"/>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0"/>
                <w:szCs w:val="20"/>
                <w:lang w:eastAsia="hr-HR"/>
              </w:rPr>
              <w:t>05 - Promicanje prilagodbe na klimatske promjene, prevencija i upravljanje rizicima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firstLine="5"/>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5a - Podup</w:t>
            </w:r>
            <w:r w:rsidR="00CD7D77">
              <w:rPr>
                <w:rFonts w:ascii="Times New Roman" w:eastAsia="Times New Roman" w:hAnsi="Times New Roman" w:cs="Times New Roman"/>
                <w:color w:val="000000"/>
                <w:spacing w:val="-1"/>
                <w:sz w:val="20"/>
                <w:szCs w:val="20"/>
                <w:lang w:eastAsia="hr-HR"/>
              </w:rPr>
              <w:t>iranje ulaganja za prilagodbu  klimatskim promjenama</w:t>
            </w:r>
            <w:r w:rsidRPr="00C244E3">
              <w:rPr>
                <w:rFonts w:ascii="Times New Roman" w:eastAsia="Times New Roman" w:hAnsi="Times New Roman" w:cs="Times New Roman"/>
                <w:color w:val="000000"/>
                <w:spacing w:val="-1"/>
                <w:sz w:val="20"/>
                <w:szCs w:val="20"/>
                <w:lang w:eastAsia="hr-HR"/>
              </w:rPr>
              <w:t>, uključujući pristupe temeljene na ekosustavu</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43" w:hanging="5"/>
              <w:rPr>
                <w:rFonts w:ascii="Arial" w:eastAsia="Times New Roman" w:hAnsi="Arial" w:cs="Arial"/>
                <w:lang w:eastAsia="hr-HR"/>
              </w:rPr>
            </w:pPr>
            <w:r w:rsidRPr="00C244E3">
              <w:rPr>
                <w:rFonts w:ascii="Times New Roman" w:eastAsia="Times New Roman" w:hAnsi="Times New Roman" w:cs="Times New Roman"/>
                <w:color w:val="000000"/>
                <w:lang w:eastAsia="hr-HR"/>
              </w:rPr>
              <w:t xml:space="preserve">Zbog osjetljivosti njezinoga prirodnog i gospodarskog sustava, Hrvatska mora poduzeti aktivne mjere u smislu prilagodbe klimatskim promjenama, što je jedna od mjera utvrđenih unutar glavne („flagship“) inicijative Učinkovitost  Resursa strategije </w:t>
            </w:r>
            <w:r w:rsidRPr="00C244E3">
              <w:rPr>
                <w:rFonts w:ascii="Times New Roman" w:eastAsia="Times New Roman" w:hAnsi="Times New Roman" w:cs="Times New Roman"/>
                <w:b/>
                <w:color w:val="000000"/>
                <w:lang w:eastAsia="hr-HR"/>
              </w:rPr>
              <w:t>Europa 2020</w:t>
            </w:r>
            <w:r w:rsidRPr="00C244E3">
              <w:rPr>
                <w:rFonts w:ascii="Times New Roman" w:eastAsia="Times New Roman" w:hAnsi="Times New Roman" w:cs="Times New Roman"/>
                <w:color w:val="000000"/>
                <w:lang w:eastAsia="hr-HR"/>
              </w:rPr>
              <w:t>. Ovo je također u skladu s Prijedlogom Europske komisije za pripremu i prioritete programskih dokumenta koji propisuje, s jedne strane, potporu pripremi i provedbi mjera prilagodbe i, s druge strane, podizanje svijesti i aktivnosti izgradnje kapaciteta kao prioriteta koji će biti podržani ESI fondovima. Stoga, Hrvatska se za početak treba fokusirati na jačanje kapaciteta za mjere prilagodbe klimatskim promjenama, daljnje istraživanje i razumijevanje posljedica klimatskih promjena i, slijedom toga, na provedbu ulaganja koja se odnose na najhitnije potrebe prilagodbe</w:t>
            </w:r>
            <w:r w:rsidRPr="00C244E3">
              <w:rPr>
                <w:rFonts w:ascii="Times New Roman" w:eastAsia="Times New Roman" w:hAnsi="Times New Roman" w:cs="Times New Roman"/>
                <w:color w:val="000000"/>
                <w:spacing w:val="-2"/>
                <w:lang w:eastAsia="hr-HR"/>
              </w:rPr>
              <w:t>.</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2"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2" w:right="360" w:bottom="360" w:left="730" w:header="720" w:footer="720" w:gutter="0"/>
          <w:cols w:num="3" w:space="720" w:equalWidth="0">
            <w:col w:w="720" w:space="4517"/>
            <w:col w:w="720" w:space="414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244E3">
        <w:trPr>
          <w:trHeight w:hRule="exact" w:val="5059"/>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58"/>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0"/>
                <w:szCs w:val="20"/>
                <w:lang w:eastAsia="hr-HR"/>
              </w:rPr>
              <w:t>05 - Promicanje prilagodbe na klimatske promjene, prevencije i upravljanja rizicima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D7D77">
            <w:pPr>
              <w:widowControl w:val="0"/>
              <w:shd w:val="clear" w:color="auto" w:fill="FFFFFF"/>
              <w:autoSpaceDE w:val="0"/>
              <w:autoSpaceDN w:val="0"/>
              <w:adjustRightInd w:val="0"/>
              <w:spacing w:after="0" w:line="230" w:lineRule="exact"/>
              <w:ind w:right="206" w:firstLine="5"/>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5b - Promicanje ulaganja</w:t>
            </w:r>
            <w:r w:rsidR="00CD7D77">
              <w:rPr>
                <w:rFonts w:ascii="Times New Roman" w:eastAsia="Times New Roman" w:hAnsi="Times New Roman" w:cs="Times New Roman"/>
                <w:color w:val="000000"/>
                <w:spacing w:val="-1"/>
                <w:sz w:val="20"/>
                <w:szCs w:val="20"/>
                <w:lang w:eastAsia="hr-HR"/>
              </w:rPr>
              <w:t xml:space="preserve"> za rješavanje specifičnih rizika, osiguravanje </w:t>
            </w:r>
            <w:r w:rsidRPr="00C244E3">
              <w:rPr>
                <w:rFonts w:ascii="Times New Roman" w:eastAsia="Times New Roman" w:hAnsi="Times New Roman" w:cs="Times New Roman"/>
                <w:color w:val="000000"/>
                <w:spacing w:val="-1"/>
                <w:sz w:val="20"/>
                <w:szCs w:val="20"/>
                <w:lang w:eastAsia="hr-HR"/>
              </w:rPr>
              <w:t>otpornosti na katastrofe</w:t>
            </w:r>
            <w:r w:rsidR="00CD7D77">
              <w:rPr>
                <w:rFonts w:ascii="Times New Roman" w:eastAsia="Times New Roman" w:hAnsi="Times New Roman" w:cs="Times New Roman"/>
                <w:color w:val="000000"/>
                <w:spacing w:val="-1"/>
                <w:sz w:val="20"/>
                <w:szCs w:val="20"/>
                <w:lang w:eastAsia="hr-HR"/>
              </w:rPr>
              <w:t xml:space="preserve"> i razvoj sustava upravljanja</w:t>
            </w:r>
            <w:r w:rsidRPr="00C244E3">
              <w:rPr>
                <w:rFonts w:ascii="Times New Roman" w:eastAsia="Times New Roman" w:hAnsi="Times New Roman" w:cs="Times New Roman"/>
                <w:color w:val="000000"/>
                <w:spacing w:val="-1"/>
                <w:sz w:val="20"/>
                <w:szCs w:val="20"/>
                <w:lang w:eastAsia="hr-HR"/>
              </w:rPr>
              <w:t xml:space="preserve"> u  </w:t>
            </w:r>
            <w:r w:rsidR="00CD7D77">
              <w:rPr>
                <w:rFonts w:ascii="Times New Roman" w:eastAsia="Times New Roman" w:hAnsi="Times New Roman" w:cs="Times New Roman"/>
                <w:color w:val="000000"/>
                <w:spacing w:val="-1"/>
                <w:sz w:val="20"/>
                <w:szCs w:val="20"/>
                <w:lang w:eastAsia="hr-HR"/>
              </w:rPr>
              <w:t>slučaju katastrofa</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67"/>
              <w:rPr>
                <w:rFonts w:ascii="Arial" w:eastAsia="Times New Roman" w:hAnsi="Arial" w:cs="Arial"/>
                <w:lang w:eastAsia="hr-HR"/>
              </w:rPr>
            </w:pPr>
            <w:r w:rsidRPr="00C244E3">
              <w:rPr>
                <w:rFonts w:ascii="Times New Roman" w:eastAsia="Times New Roman" w:hAnsi="Times New Roman" w:cs="Times New Roman"/>
                <w:b/>
                <w:bCs/>
                <w:color w:val="000000"/>
                <w:lang w:eastAsia="hr-HR"/>
              </w:rPr>
              <w:t>Strategija Europa 2020</w:t>
            </w:r>
            <w:r w:rsidRPr="00C244E3">
              <w:rPr>
                <w:rFonts w:ascii="Times New Roman" w:eastAsia="Times New Roman" w:hAnsi="Times New Roman" w:cs="Times New Roman"/>
                <w:bCs/>
                <w:color w:val="000000"/>
                <w:lang w:eastAsia="hr-HR"/>
              </w:rPr>
              <w:t>. propisuje potrebu za povećanjem otpornosti gospodarstava na klimatske rizike i kapaciteta za smanjenje rizika od katastrofa. Relevantne sektorske strategije (državni Plan zaštite i spašavanja, državni Plan navodnjavanja, Strategija gospodarenja vodama, Prethodna procjena rizika od poplava) određuju mjere i ciljeve koji su u skladu s prethodno spomenutim ciljem na razini EU-a. Ti ciljevi su potpuno usklađeni s Prijedlogom Europske komisije za pripremu i prioritete programskih dokumenata, koji propisuje upravljanje sustavom navodnjavanja, sušama, požarima i vodama (poplavama) te drugim utvrđenim glavnim rizicima kao prioritetima koje treba podržati sredstvima iz ESI fondova, uključujući i borbu protiv obalnog poplavljivanja</w:t>
            </w:r>
            <w:r w:rsidRPr="00C244E3">
              <w:rPr>
                <w:rFonts w:ascii="Times New Roman" w:eastAsia="Times New Roman" w:hAnsi="Times New Roman" w:cs="Times New Roman"/>
                <w:color w:val="000000"/>
                <w:spacing w:val="-3"/>
                <w:lang w:eastAsia="hr-HR"/>
              </w:rPr>
              <w:t>.</w:t>
            </w:r>
          </w:p>
        </w:tc>
      </w:tr>
      <w:tr w:rsidR="00C244E3" w:rsidRPr="00C244E3" w:rsidTr="00C244E3">
        <w:trPr>
          <w:trHeight w:hRule="exact" w:val="5050"/>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346"/>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06 - Očuvanje i zaštita okoliša i promocija učinkovitosti resursa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216"/>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6c - Očuvanje, zaštita, promicanje i razvoj prirodne i kulturne baštine</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48" w:hanging="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 xml:space="preserve">Promicanje održivog razvoja, tj. gospodarski rast vezan uz efikasniju uporabu resursa jasan je prioritet strategije </w:t>
            </w:r>
            <w:r w:rsidRPr="00C244E3">
              <w:rPr>
                <w:rFonts w:ascii="Times New Roman" w:eastAsia="Times New Roman" w:hAnsi="Times New Roman" w:cs="Times New Roman"/>
                <w:b/>
                <w:color w:val="000000"/>
                <w:spacing w:val="-2"/>
                <w:sz w:val="24"/>
                <w:szCs w:val="24"/>
                <w:lang w:eastAsia="hr-HR"/>
              </w:rPr>
              <w:t>Europa 2020</w:t>
            </w:r>
            <w:r w:rsidRPr="00C244E3">
              <w:rPr>
                <w:rFonts w:ascii="Times New Roman" w:eastAsia="Times New Roman" w:hAnsi="Times New Roman" w:cs="Times New Roman"/>
                <w:color w:val="000000"/>
                <w:spacing w:val="-2"/>
                <w:sz w:val="24"/>
                <w:szCs w:val="24"/>
                <w:lang w:eastAsia="hr-HR"/>
              </w:rPr>
              <w:t xml:space="preserve">. Na državnoj razini, </w:t>
            </w:r>
            <w:r w:rsidRPr="00C244E3">
              <w:rPr>
                <w:rFonts w:ascii="Times New Roman" w:eastAsia="Times New Roman" w:hAnsi="Times New Roman" w:cs="Times New Roman"/>
                <w:b/>
                <w:color w:val="000000"/>
                <w:spacing w:val="-2"/>
                <w:sz w:val="24"/>
                <w:szCs w:val="24"/>
                <w:lang w:eastAsia="hr-HR"/>
              </w:rPr>
              <w:t>Ekonomski program</w:t>
            </w:r>
            <w:r w:rsidRPr="00C244E3">
              <w:rPr>
                <w:rFonts w:ascii="Times New Roman" w:eastAsia="Times New Roman" w:hAnsi="Times New Roman" w:cs="Times New Roman"/>
                <w:color w:val="000000"/>
                <w:spacing w:val="-2"/>
                <w:sz w:val="24"/>
                <w:szCs w:val="24"/>
                <w:lang w:eastAsia="hr-HR"/>
              </w:rPr>
              <w:t xml:space="preserve"> postavlja prioritet u smislu razvoja poduzetništva u kulturi i kreativnim industrijama, kao i u smislu ulaganja u očuvanje kulturne baštine s obzirom na njezin značajan utjecaj na razvoj turističkih aktivnosti, poduzetništva općenito i otvaranja novih radnih mjesta. Na sličan način Prijedlog Komisije ističe potrebu za unapređenjem zaštite, valorizacije i upravljanja (prirodnom) kulturnom baštinom, uzimajući u obzir njezin turistički/poduzetnički potencijal</w:t>
            </w:r>
            <w:r w:rsidRPr="00C244E3">
              <w:rPr>
                <w:rFonts w:ascii="Times New Roman" w:eastAsia="Times New Roman" w:hAnsi="Times New Roman" w:cs="Times New Roman"/>
                <w:color w:val="000000"/>
                <w:spacing w:val="-1"/>
                <w:sz w:val="24"/>
                <w:szCs w:val="24"/>
                <w:lang w:eastAsia="hr-HR"/>
              </w:rPr>
              <w:t>.</w:t>
            </w:r>
          </w:p>
        </w:tc>
      </w:tr>
      <w:tr w:rsidR="00C244E3" w:rsidRPr="00C244E3" w:rsidTr="00055062">
        <w:trPr>
          <w:trHeight w:hRule="exact" w:val="2675"/>
        </w:trPr>
        <w:tc>
          <w:tcPr>
            <w:tcW w:w="2141" w:type="dxa"/>
            <w:tcBorders>
              <w:top w:val="single" w:sz="6" w:space="0" w:color="auto"/>
              <w:left w:val="single" w:sz="4" w:space="0" w:color="auto"/>
              <w:bottom w:val="single" w:sz="4"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346"/>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06 - Očuvanje i zaštita okoliša i promocija učinkovitosti resursa</w:t>
            </w:r>
          </w:p>
        </w:tc>
        <w:tc>
          <w:tcPr>
            <w:tcW w:w="2266" w:type="dxa"/>
            <w:tcBorders>
              <w:top w:val="single" w:sz="6" w:space="0" w:color="auto"/>
              <w:left w:val="single" w:sz="6" w:space="0" w:color="auto"/>
              <w:bottom w:val="single" w:sz="4"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26" w:lineRule="exact"/>
              <w:ind w:right="5"/>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6e - Aktivnosti kojima se poboljšava urbani okoliš, revitalizacija gradova, obnova i dekontaminacija nekadašnjeg industrijskog zemljišta (uključujući prenamijenjena područja), smanjenje zagađenja zraka i promicanje mjera za smanjenje buke</w:t>
            </w:r>
          </w:p>
        </w:tc>
        <w:tc>
          <w:tcPr>
            <w:tcW w:w="4493" w:type="dxa"/>
            <w:tcBorders>
              <w:top w:val="single" w:sz="6" w:space="0" w:color="auto"/>
              <w:left w:val="single" w:sz="6" w:space="0" w:color="auto"/>
              <w:bottom w:val="single" w:sz="4" w:space="0" w:color="auto"/>
              <w:right w:val="single" w:sz="4"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91" w:firstLine="14"/>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Održivi gradski razvoj i gradska obnova utvrđeni su kao mjere reforme unutar Ekonomskog programa Republike Hrvatske za 2013. Mjere su, između ostalog, povezane s djelotvornijim upravljanjem resursima (fizički prostor), ponovnim korištenjem napuštenih gradskih lokacija te poboljšanjem ekoloških uvjeta u urbanim područjima, prije svega kvalitete okolnog zraka</w:t>
            </w:r>
            <w:r w:rsidRPr="00C244E3">
              <w:rPr>
                <w:rFonts w:ascii="Times New Roman" w:eastAsia="Times New Roman" w:hAnsi="Times New Roman" w:cs="Times New Roman"/>
                <w:color w:val="000000"/>
                <w:spacing w:val="-2"/>
                <w:sz w:val="24"/>
                <w:szCs w:val="24"/>
                <w:lang w:eastAsia="hr-HR"/>
              </w:rPr>
              <w:t>.</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4"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4" w:right="360" w:bottom="360" w:left="730" w:header="720" w:footer="720" w:gutter="0"/>
          <w:cols w:num="3" w:space="720" w:equalWidth="0">
            <w:col w:w="720" w:space="4517"/>
            <w:col w:w="720" w:space="414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244E3">
        <w:trPr>
          <w:trHeight w:hRule="exact" w:val="5295"/>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346"/>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06 - Očuvanje i zaštita okoliša i promocija učinkovitosti resursa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134"/>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6i - Ulaganje u sektor otpada kako bi se ispunili zahtjevi pravne stečevine Unije u području okoliša i zadovoljile potrebe koje su utvrdile države članice za ulaganjem koje nadilazi te zahtjeve</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29" w:firstLine="5"/>
              <w:rPr>
                <w:rFonts w:ascii="Arial" w:eastAsia="Times New Roman" w:hAnsi="Arial" w:cs="Arial"/>
                <w:sz w:val="20"/>
                <w:szCs w:val="20"/>
                <w:lang w:eastAsia="hr-HR"/>
              </w:rPr>
            </w:pPr>
            <w:r w:rsidRPr="00C244E3">
              <w:rPr>
                <w:rFonts w:ascii="Times New Roman" w:eastAsia="Times New Roman" w:hAnsi="Times New Roman" w:cs="Times New Roman"/>
                <w:b/>
                <w:color w:val="000000"/>
                <w:spacing w:val="-1"/>
                <w:sz w:val="24"/>
                <w:szCs w:val="24"/>
                <w:lang w:eastAsia="hr-HR"/>
              </w:rPr>
              <w:t>Ugovorom o pristupanju</w:t>
            </w:r>
            <w:r w:rsidRPr="00C244E3">
              <w:rPr>
                <w:rFonts w:ascii="Times New Roman" w:eastAsia="Times New Roman" w:hAnsi="Times New Roman" w:cs="Times New Roman"/>
                <w:color w:val="000000"/>
                <w:spacing w:val="-1"/>
                <w:sz w:val="24"/>
                <w:szCs w:val="24"/>
                <w:lang w:eastAsia="hr-HR"/>
              </w:rPr>
              <w:t xml:space="preserve"> utvrđena su prijelazna razdoblja za sukladnost s </w:t>
            </w:r>
            <w:r w:rsidRPr="00C244E3">
              <w:rPr>
                <w:rFonts w:ascii="Times New Roman" w:eastAsia="Times New Roman" w:hAnsi="Times New Roman" w:cs="Times New Roman"/>
                <w:b/>
                <w:color w:val="000000"/>
                <w:spacing w:val="-1"/>
                <w:sz w:val="24"/>
                <w:szCs w:val="24"/>
                <w:lang w:eastAsia="hr-HR"/>
              </w:rPr>
              <w:t>europskim direktivama o otpadu</w:t>
            </w:r>
            <w:r w:rsidRPr="00C244E3">
              <w:rPr>
                <w:rFonts w:ascii="Times New Roman" w:eastAsia="Times New Roman" w:hAnsi="Times New Roman" w:cs="Times New Roman"/>
                <w:color w:val="000000"/>
                <w:spacing w:val="-1"/>
                <w:sz w:val="24"/>
                <w:szCs w:val="24"/>
                <w:lang w:eastAsia="hr-HR"/>
              </w:rPr>
              <w:t xml:space="preserve"> (Odlaganje otpada) u smislu postupnog smanjenja papirnatog, staklenog, metalnog, plastičnog, građevnog i biorazgradivog otpada na odlagalištima do 2020. te postupnog smanjenja otpada odloženog na postojećim nesukladnim odlagalištima do 2018. </w:t>
            </w:r>
            <w:r w:rsidRPr="00C244E3">
              <w:rPr>
                <w:rFonts w:ascii="Times New Roman" w:eastAsia="Times New Roman" w:hAnsi="Times New Roman" w:cs="Times New Roman"/>
                <w:b/>
                <w:color w:val="000000"/>
                <w:spacing w:val="-1"/>
                <w:sz w:val="24"/>
                <w:szCs w:val="24"/>
                <w:lang w:eastAsia="hr-HR"/>
              </w:rPr>
              <w:t>Ekonomski program</w:t>
            </w:r>
            <w:r w:rsidRPr="00C244E3">
              <w:rPr>
                <w:rFonts w:ascii="Times New Roman" w:eastAsia="Times New Roman" w:hAnsi="Times New Roman" w:cs="Times New Roman"/>
                <w:color w:val="000000"/>
                <w:spacing w:val="-1"/>
                <w:sz w:val="24"/>
                <w:szCs w:val="24"/>
                <w:lang w:eastAsia="hr-HR"/>
              </w:rPr>
              <w:t xml:space="preserve"> propisuje potrebu za značajnim povećanjem postojećeg sustava gospodarenja otpadom. Prijedlog Europske komisije za pripremu i prioritete programskih dokumenata</w:t>
            </w:r>
            <w:r w:rsidRPr="00C244E3" w:rsidDel="001D2308">
              <w:rPr>
                <w:rFonts w:ascii="Times New Roman" w:eastAsia="Times New Roman" w:hAnsi="Times New Roman" w:cs="Times New Roman"/>
                <w:color w:val="000000"/>
                <w:spacing w:val="-1"/>
                <w:sz w:val="24"/>
                <w:szCs w:val="24"/>
                <w:lang w:eastAsia="hr-HR"/>
              </w:rPr>
              <w:t xml:space="preserve"> </w:t>
            </w:r>
            <w:r w:rsidRPr="00C244E3">
              <w:rPr>
                <w:rFonts w:ascii="Times New Roman" w:eastAsia="Times New Roman" w:hAnsi="Times New Roman" w:cs="Times New Roman"/>
                <w:color w:val="000000"/>
                <w:spacing w:val="-1"/>
                <w:sz w:val="24"/>
                <w:szCs w:val="24"/>
                <w:lang w:eastAsia="hr-HR"/>
              </w:rPr>
              <w:t>također ističe potrebu za usklađenošću s direktivama, uz pripremu Plana gospodarenja otpadom i Programa oporabe otpada kao najviših prioriteta koji će biti podržani ESI fondovima.</w:t>
            </w:r>
          </w:p>
        </w:tc>
      </w:tr>
      <w:tr w:rsidR="00C244E3" w:rsidRPr="00C244E3" w:rsidTr="00055062">
        <w:trPr>
          <w:trHeight w:hRule="exact" w:val="5667"/>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346"/>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06 - Očuvanje i zaštita okoliša i promocija učinkovitosti resursa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144"/>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6ii - Ulaganje u sektor vodnoga gospodarstva kako bi se ispunili zahtjevi pravne stečevine Unije u području okoliša i zadovoljile potrebe koje su utvrdile države članice za ulaganjem koje nadilazi te zahtjeve</w:t>
            </w:r>
            <w:r w:rsidRPr="00C244E3" w:rsidDel="004576FF">
              <w:rPr>
                <w:rFonts w:ascii="Times New Roman" w:eastAsia="Times New Roman" w:hAnsi="Times New Roman" w:cs="Times New Roman"/>
                <w:color w:val="000000"/>
                <w:spacing w:val="-1"/>
                <w:sz w:val="20"/>
                <w:szCs w:val="20"/>
                <w:lang w:eastAsia="hr-HR"/>
              </w:rPr>
              <w:t xml:space="preserve"> </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77" w:firstLine="5"/>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Ugovorom o pristupanju utvrđena su prijelazna razdoblja za sukladnost s „vodnim“ direktivama EU-a (Direktiva o kakvoći vode za piće i Direktiva o pročišćavanju komunalnih otpadnih voda) u smislu postizanja ciljeva kakvoće vode za piće do kraja 2018. i uspostavljanja odgovarajućeg postupka prikupljanja i obrade otpadnih voda u aglomeracijama iznad 2000 ESdo kraja 2023. (s međurokovima 2018. i 2020., ovisno o veličini aglomeracije i osjetljivosti područja). Povrh spomenutih obveza, Prijedlog Komisije i Partnerski sporazum propisuju integriranu politiku upravljanja vodama kao najviše prioritete koji će biti podržani ESI fondovima, dok je održivo upravljanje vodama postavljeno kao jedna od mjera reforme u Ekonomskom programu Republike Hrvatske.</w:t>
            </w:r>
          </w:p>
        </w:tc>
      </w:tr>
      <w:tr w:rsidR="00C244E3" w:rsidRPr="00C244E3" w:rsidTr="00055062">
        <w:trPr>
          <w:trHeight w:hRule="exact" w:val="1836"/>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346"/>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06 - Očuvanje i zaštita okoliša i promocija učinkovitosti resursa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197"/>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6iii -  Zaštita i obnova bioraznolikosti i tla te promicanje usluga ekosustava, uključujući Natura 2000 mrežu i zelenu infrastrukturu</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hanging="5"/>
              <w:rPr>
                <w:rFonts w:ascii="Arial" w:eastAsia="Times New Roman" w:hAnsi="Arial" w:cs="Arial"/>
                <w:lang w:eastAsia="hr-HR"/>
              </w:rPr>
            </w:pPr>
            <w:r w:rsidRPr="00C244E3">
              <w:rPr>
                <w:rFonts w:ascii="Times New Roman" w:eastAsia="Times New Roman" w:hAnsi="Times New Roman" w:cs="Times New Roman"/>
                <w:color w:val="000000"/>
                <w:lang w:eastAsia="hr-HR"/>
              </w:rPr>
              <w:t>Europa 2020. utvrđuje potrebu za postizanjem ciljeva bioraznolikosti, koja je obuhvaćena Strategijom o bioraznolikosti EU 2020. i koja je sveukupno vezana uz preokretanje trenda gubitka bioraznolikosti i ubrzavanje prijelaza na resursno učinkovito gospodarstvo.</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4"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4" w:right="360" w:bottom="360" w:left="730" w:header="720" w:footer="720" w:gutter="0"/>
          <w:cols w:num="3" w:space="720" w:equalWidth="0">
            <w:col w:w="720" w:space="4517"/>
            <w:col w:w="720" w:space="414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055062">
        <w:trPr>
          <w:trHeight w:hRule="exact" w:val="6148"/>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24"/>
              <w:rPr>
                <w:rFonts w:ascii="Arial" w:eastAsia="Times New Roman" w:hAnsi="Arial" w:cs="Arial"/>
                <w:sz w:val="20"/>
                <w:szCs w:val="20"/>
                <w:lang w:eastAsia="hr-HR"/>
              </w:rPr>
            </w:pP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14"/>
              <w:rPr>
                <w:rFonts w:ascii="Arial" w:eastAsia="Times New Roman" w:hAnsi="Arial" w:cs="Arial"/>
                <w:lang w:eastAsia="hr-HR"/>
              </w:rPr>
            </w:pPr>
            <w:r w:rsidRPr="00C244E3">
              <w:rPr>
                <w:rFonts w:ascii="Times New Roman" w:eastAsia="Times New Roman" w:hAnsi="Times New Roman" w:cs="Times New Roman"/>
                <w:color w:val="000000"/>
                <w:lang w:eastAsia="hr-HR"/>
              </w:rPr>
              <w:t>Nadalje, definirani prioriteti i aktivnosti potječu od jasne obveze Hrvatske (kao nove članice EU-a) o usuglašavanju sa zakonskim zahtjevima za očuvanje bioraznolikosti (Direktive o pticama i Direktive o staništima) koji su povezani s određivanjem i odgovarajućim upravljanjem Natura 2000 područjima. Navedeni prioriteti nalaze se u Nacionalnoj strategiji i akcijskom planu zaštite biološke i krajobrazne raznolikosti Republike Hrvatske (NSAP, 2008.) kao i u Ekonomskom programu. Naposljetku, Prijedlogom Europske komisije za pripremu i prioritete programskih dokumenata utvrđene su mjere, kao prioriteti koji će biti podržani ESI fondovima, vezane uz utemeljenje i upravljanje Natura 2000 područjima (uključujući morska zaštićena područja pod ODMS-om), obnovu i očuvanje staništa, kao i kontaminaciju kopnenim minama</w:t>
            </w:r>
            <w:r w:rsidRPr="00C244E3">
              <w:rPr>
                <w:rFonts w:ascii="Times New Roman" w:eastAsia="Times New Roman" w:hAnsi="Times New Roman" w:cs="Times New Roman"/>
                <w:color w:val="000000"/>
                <w:spacing w:val="-2"/>
                <w:lang w:eastAsia="hr-HR"/>
              </w:rPr>
              <w:t>.</w:t>
            </w:r>
          </w:p>
        </w:tc>
      </w:tr>
      <w:tr w:rsidR="00C244E3" w:rsidRPr="00C244E3" w:rsidTr="00C244E3">
        <w:trPr>
          <w:trHeight w:hRule="exact" w:val="6481"/>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53"/>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07 - Promicanje održivog transporta i eliminacije uskih grla u ključnim mrežnim infrastrukturama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26" w:lineRule="exact"/>
              <w:ind w:right="115"/>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7b - Poboljšavanje regionalne mobilnosti povezivanjem sekundarnih i tercijarnih čvorišta s infrastrukturom TEN-T-a, uključujući multimodalna čvorišta</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19" w:firstLine="5"/>
              <w:rPr>
                <w:rFonts w:ascii="Arial" w:eastAsia="Times New Roman" w:hAnsi="Arial" w:cs="Arial"/>
                <w:lang w:eastAsia="hr-HR"/>
              </w:rPr>
            </w:pPr>
            <w:r w:rsidRPr="00C244E3">
              <w:rPr>
                <w:rFonts w:ascii="Times New Roman" w:eastAsia="Times New Roman" w:hAnsi="Times New Roman" w:cs="Times New Roman"/>
                <w:b/>
                <w:color w:val="000000"/>
                <w:spacing w:val="-1"/>
                <w:lang w:eastAsia="hr-HR"/>
              </w:rPr>
              <w:t>Integrirana osnovna načela</w:t>
            </w:r>
            <w:r w:rsidRPr="00C244E3">
              <w:rPr>
                <w:rFonts w:ascii="Times New Roman" w:eastAsia="Times New Roman" w:hAnsi="Times New Roman" w:cs="Times New Roman"/>
                <w:color w:val="000000"/>
                <w:spacing w:val="-1"/>
                <w:lang w:eastAsia="hr-HR"/>
              </w:rPr>
              <w:t xml:space="preserve"> potiču države članice na razvoj nužne fizičke infrastrukture kako bi se poboljšala poduzetnička i potrošačka okolina. </w:t>
            </w:r>
            <w:r w:rsidRPr="00C244E3">
              <w:rPr>
                <w:rFonts w:ascii="Times New Roman" w:eastAsia="Times New Roman" w:hAnsi="Times New Roman" w:cs="Times New Roman"/>
                <w:b/>
                <w:color w:val="000000"/>
                <w:spacing w:val="-1"/>
                <w:lang w:eastAsia="hr-HR"/>
              </w:rPr>
              <w:t>Zelena knjiga o teritorijalnoj koheziji</w:t>
            </w:r>
            <w:r w:rsidRPr="00C244E3">
              <w:rPr>
                <w:rFonts w:ascii="Times New Roman" w:eastAsia="Times New Roman" w:hAnsi="Times New Roman" w:cs="Times New Roman"/>
                <w:color w:val="000000"/>
                <w:spacing w:val="-1"/>
                <w:lang w:eastAsia="hr-HR"/>
              </w:rPr>
              <w:t xml:space="preserve"> prepoznaje ulogu prometne politike u poboljšanju teritorijalne kohezije kroz poboljšanje veza prema i unutar slabije razvijenih regija te kroz osiguravanje da gradska i ruralna područja imaju korist od prometne mreže. </w:t>
            </w:r>
            <w:r w:rsidRPr="00C244E3">
              <w:rPr>
                <w:rFonts w:ascii="Times New Roman" w:eastAsia="Times New Roman" w:hAnsi="Times New Roman" w:cs="Times New Roman"/>
                <w:b/>
                <w:color w:val="000000"/>
                <w:spacing w:val="-1"/>
                <w:lang w:eastAsia="hr-HR"/>
              </w:rPr>
              <w:t>Prijedlog Europske komisije za pripremu i prioritete programskih dokumenata</w:t>
            </w:r>
            <w:r w:rsidRPr="00C244E3">
              <w:rPr>
                <w:rFonts w:ascii="Times New Roman" w:eastAsia="Times New Roman" w:hAnsi="Times New Roman" w:cs="Times New Roman"/>
                <w:color w:val="000000"/>
                <w:spacing w:val="-1"/>
                <w:lang w:eastAsia="hr-HR"/>
              </w:rPr>
              <w:t xml:space="preserve"> podržava ulaganje u stvaranje integriranog prometnog sustava kroz gradnju cestovnih veza prema TEN-ovima kako bi se osigurala regionalna povezanost s glavnom mrežom i intermodalnim čvorovima i poboljšala sigurnost na cestama. Kvaliteta regionalnih cesta u Hrvatskoj i njihova razina povezanosti s glavnim prometnim mrežama mora biti poboljšana kako bi se osiguralo korištenje mreže TEM-ova u gradskim i ruralnim područjima i prema tome pridonijelo smanjenju regionalnih nerazmjera</w:t>
            </w:r>
            <w:r w:rsidRPr="00C244E3">
              <w:rPr>
                <w:rFonts w:ascii="Times New Roman" w:eastAsia="Times New Roman" w:hAnsi="Times New Roman" w:cs="Times New Roman"/>
                <w:color w:val="000000"/>
                <w:spacing w:val="-3"/>
                <w:lang w:eastAsia="hr-HR"/>
              </w:rPr>
              <w:t>.</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2"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2" w:right="360" w:bottom="360" w:left="730" w:header="720" w:footer="720" w:gutter="0"/>
          <w:cols w:num="3" w:space="720" w:equalWidth="0">
            <w:col w:w="720" w:space="4517"/>
            <w:col w:w="720" w:space="414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244E3">
        <w:trPr>
          <w:trHeight w:hRule="exact" w:val="7267"/>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53"/>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07 - Promicanje održivog transporta i eliminacija uskih grla u ključnim mrežnim infrastrukturama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10"/>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7i - Podupiranje multimodalnog jedinstvenog europskog prometnog prostora ulaganjem u TEN-T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43" w:firstLine="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24"/>
                <w:szCs w:val="24"/>
                <w:lang w:eastAsia="hr-HR"/>
              </w:rPr>
              <w:t xml:space="preserve">Politika TEN-T EU-a promiče rješenja o održivom prometu koja usmjeravaju proces prema postignuću ciljeva </w:t>
            </w:r>
            <w:r w:rsidRPr="00C244E3">
              <w:rPr>
                <w:rFonts w:ascii="Times New Roman" w:eastAsia="Times New Roman" w:hAnsi="Times New Roman" w:cs="Times New Roman"/>
                <w:b/>
                <w:color w:val="000000"/>
                <w:spacing w:val="-2"/>
                <w:sz w:val="24"/>
                <w:szCs w:val="24"/>
                <w:lang w:eastAsia="hr-HR"/>
              </w:rPr>
              <w:t>dugoročne prometne politike Europske unije</w:t>
            </w:r>
            <w:r w:rsidRPr="00C244E3">
              <w:rPr>
                <w:rFonts w:ascii="Times New Roman" w:eastAsia="Times New Roman" w:hAnsi="Times New Roman" w:cs="Times New Roman"/>
                <w:color w:val="000000"/>
                <w:spacing w:val="-2"/>
                <w:sz w:val="24"/>
                <w:szCs w:val="24"/>
                <w:lang w:eastAsia="hr-HR"/>
              </w:rPr>
              <w:t xml:space="preserve"> (ispunjavanjem budućih potreba mobilnosti, istovremeno osiguravajući resursnu učinkovitost i smanjujući emisije ugljika). </w:t>
            </w:r>
            <w:r w:rsidRPr="00C244E3">
              <w:rPr>
                <w:rFonts w:ascii="Times New Roman" w:eastAsia="Times New Roman" w:hAnsi="Times New Roman" w:cs="Times New Roman"/>
                <w:b/>
                <w:color w:val="000000"/>
                <w:spacing w:val="-2"/>
                <w:sz w:val="24"/>
                <w:szCs w:val="24"/>
                <w:lang w:eastAsia="hr-HR"/>
              </w:rPr>
              <w:t>Prijedlog Europske komisije za pripremu i prioritete programskih dokumenata</w:t>
            </w:r>
            <w:r w:rsidRPr="00C244E3">
              <w:rPr>
                <w:rFonts w:ascii="Times New Roman" w:eastAsia="Times New Roman" w:hAnsi="Times New Roman" w:cs="Times New Roman"/>
                <w:color w:val="000000"/>
                <w:spacing w:val="-2"/>
                <w:sz w:val="24"/>
                <w:szCs w:val="24"/>
                <w:lang w:eastAsia="hr-HR"/>
              </w:rPr>
              <w:t xml:space="preserve"> ističe potrebu za uklanjanjem uskih grla i dovršavanjem prometnih veza koje nedostaju. Razvoj intermodalnog prometnog sustava koji dobro funkcionira, uključujući vezu unutarnjih plovnih putova i luka s pomorskim lukama i zračnih luka s drugim prometnim načinima te uklanjanje uskih grla u unutarnjim plovnim putovima izazovi su specifični za pojedinu zemlju koji bi trebali biti obuhvaćeni ulaganjima iz ESI fondova. U </w:t>
            </w:r>
            <w:r w:rsidRPr="00C244E3">
              <w:rPr>
                <w:rFonts w:ascii="Times New Roman" w:eastAsia="Times New Roman" w:hAnsi="Times New Roman" w:cs="Times New Roman"/>
                <w:b/>
                <w:color w:val="000000"/>
                <w:spacing w:val="-2"/>
                <w:sz w:val="24"/>
                <w:szCs w:val="24"/>
                <w:lang w:eastAsia="hr-HR"/>
              </w:rPr>
              <w:t xml:space="preserve">nacrtu prometne strategije Hrvatske </w:t>
            </w:r>
            <w:r w:rsidRPr="00C244E3">
              <w:rPr>
                <w:rFonts w:ascii="Times New Roman" w:eastAsia="Times New Roman" w:hAnsi="Times New Roman" w:cs="Times New Roman"/>
                <w:color w:val="000000"/>
                <w:spacing w:val="-2"/>
                <w:sz w:val="24"/>
                <w:szCs w:val="24"/>
                <w:lang w:eastAsia="hr-HR"/>
              </w:rPr>
              <w:t>utvrđena je uloga koju bi mogli preuzeti trenutačno nedovoljno korišteni unutarnji plovni putovi u kretanju teretnog prometa kroz Hrvatsku i Europu, kao i u poboljšanju povezanosti unutar Jedinstvenog europskog prometnog područja.</w:t>
            </w:r>
          </w:p>
        </w:tc>
      </w:tr>
      <w:tr w:rsidR="00C244E3" w:rsidRPr="00C244E3" w:rsidTr="00055062">
        <w:trPr>
          <w:trHeight w:hRule="exact" w:val="453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53"/>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07 - Promicanje održivog transporta i eliminacija uskih grla u ključnim mrežnim infrastrukturama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5"/>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7ii - Razvoj i unapređenje prometnih sustava prihvatljivih za okoliš (uključujući nisku razinu buke), i prometni sustavi sa niskim emisijama CO</w:t>
            </w:r>
            <w:r w:rsidRPr="00C244E3">
              <w:rPr>
                <w:rFonts w:ascii="Times New Roman" w:eastAsia="Times New Roman" w:hAnsi="Times New Roman" w:cs="Times New Roman"/>
                <w:color w:val="000000"/>
                <w:sz w:val="20"/>
                <w:szCs w:val="20"/>
                <w:vertAlign w:val="subscript"/>
                <w:lang w:eastAsia="hr-HR"/>
              </w:rPr>
              <w:t>2</w:t>
            </w:r>
            <w:r w:rsidRPr="00C244E3">
              <w:rPr>
                <w:rFonts w:ascii="Times New Roman" w:eastAsia="Times New Roman" w:hAnsi="Times New Roman" w:cs="Times New Roman"/>
                <w:color w:val="000000"/>
                <w:sz w:val="20"/>
                <w:szCs w:val="20"/>
                <w:lang w:eastAsia="hr-HR"/>
              </w:rPr>
              <w:t>, uključujući unutarnje plovne putove i pomorski prijevoz, luke, multimodalne veze i aerodromsku infrastrukturu, radi promicanja održive regionalne i lokalne mobilnosti</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34" w:firstLine="5"/>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Bijela knjiga o prometu</w:t>
            </w:r>
            <w:r w:rsidRPr="00C244E3">
              <w:rPr>
                <w:rFonts w:ascii="Times New Roman" w:eastAsia="Times New Roman" w:hAnsi="Times New Roman" w:cs="Times New Roman"/>
                <w:bCs/>
                <w:color w:val="000000"/>
                <w:spacing w:val="-1"/>
                <w:sz w:val="24"/>
                <w:szCs w:val="24"/>
                <w:lang w:eastAsia="hr-HR"/>
              </w:rPr>
              <w:t xml:space="preserve"> utvrdila je da potpora kohezijske politike treba biti usredotočena na održive oblike prometa – sa 60-postotnim smanjenjem stakleničkih plinova koje je potrebno ostvariti u prometnom sektoru do 2050. </w:t>
            </w:r>
            <w:r w:rsidRPr="00C244E3">
              <w:rPr>
                <w:rFonts w:ascii="Times New Roman" w:eastAsia="Times New Roman" w:hAnsi="Times New Roman" w:cs="Times New Roman"/>
                <w:b/>
                <w:bCs/>
                <w:color w:val="000000"/>
                <w:spacing w:val="-1"/>
                <w:sz w:val="24"/>
                <w:szCs w:val="24"/>
                <w:lang w:eastAsia="hr-HR"/>
              </w:rPr>
              <w:t>Ekonomski program Republike Hrvatske za 2013.</w:t>
            </w:r>
            <w:r w:rsidRPr="00C244E3">
              <w:rPr>
                <w:rFonts w:ascii="Times New Roman" w:eastAsia="Times New Roman" w:hAnsi="Times New Roman" w:cs="Times New Roman"/>
                <w:bCs/>
                <w:color w:val="000000"/>
                <w:spacing w:val="-1"/>
                <w:sz w:val="24"/>
                <w:szCs w:val="24"/>
                <w:lang w:eastAsia="hr-HR"/>
              </w:rPr>
              <w:t xml:space="preserve"> propisuje razvoj prometne infrastrukture kao prioriteta s ciljem ublažavanja utjecaja na gospodarski rast. Područje Dubrovnika i otoka trpe posljedice razlika u prometnoj potražnji između kraja i vrhunca sezone. Sa sadašnjom infrastrukturom, veze ne mogu u dovoljnoj mjeri podnijeti maksimalne tokove i osigurati odgovarajući pristup uslugama.</w:t>
            </w:r>
            <w:r w:rsidRPr="00C244E3">
              <w:rPr>
                <w:rFonts w:ascii="Times New Roman" w:eastAsia="Times New Roman" w:hAnsi="Times New Roman" w:cs="Times New Roman"/>
                <w:color w:val="000000"/>
                <w:spacing w:val="-1"/>
                <w:sz w:val="24"/>
                <w:szCs w:val="24"/>
                <w:lang w:eastAsia="hr-HR"/>
              </w:rPr>
              <w:t xml:space="preserve"> </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4"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4" w:right="360" w:bottom="360" w:left="730" w:header="720" w:footer="720" w:gutter="0"/>
          <w:cols w:num="3" w:space="720" w:equalWidth="0">
            <w:col w:w="720" w:space="4522"/>
            <w:col w:w="720" w:space="4138"/>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244E3">
        <w:trPr>
          <w:trHeight w:hRule="exact" w:val="3031"/>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230"/>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 xml:space="preserve">U </w:t>
            </w:r>
            <w:r w:rsidRPr="00C244E3">
              <w:rPr>
                <w:rFonts w:ascii="Times New Roman" w:eastAsia="Times New Roman" w:hAnsi="Times New Roman" w:cs="Times New Roman"/>
                <w:b/>
                <w:color w:val="000000"/>
                <w:spacing w:val="-1"/>
                <w:sz w:val="24"/>
                <w:szCs w:val="24"/>
                <w:lang w:eastAsia="hr-HR"/>
              </w:rPr>
              <w:t>Prijedlogu Europske komisije za pripremu i prioritete programskih dokumenata</w:t>
            </w:r>
            <w:r w:rsidRPr="00C244E3">
              <w:rPr>
                <w:rFonts w:ascii="Times New Roman" w:eastAsia="Times New Roman" w:hAnsi="Times New Roman" w:cs="Times New Roman"/>
                <w:color w:val="000000"/>
                <w:spacing w:val="-1"/>
                <w:sz w:val="24"/>
                <w:szCs w:val="24"/>
                <w:lang w:eastAsia="hr-HR"/>
              </w:rPr>
              <w:t xml:space="preserve"> napomenuto je da prometni pravci u sklopu hrvatskih aglomeracija ne omogućavaju dovoljnu mobilnost. Na temelju urbanističkih planova, u većim gradovima trebaju biti razvijeni urbani sustavi mobilnosti koji integriraju sve oblike prometa, pri čemu održiva i ekološki prihvatljiva rješenja trebaju biti prioritet.</w:t>
            </w:r>
          </w:p>
        </w:tc>
      </w:tr>
      <w:tr w:rsidR="00C244E3" w:rsidRPr="00C244E3" w:rsidTr="00C244E3">
        <w:trPr>
          <w:trHeight w:hRule="exact" w:val="6989"/>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53"/>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07 - Promicanje održivog transporta i eliminacija uskih grla u ključnim mrežnim infrastrukturama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53"/>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7iii - Razvoj i obnova sveobuhvatnih, visokokvalitetnih i interoperabilnih željezničkih sustava te promicanje mjera za smanjenje buke</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24"/>
              <w:rPr>
                <w:rFonts w:ascii="Arial" w:eastAsia="Times New Roman" w:hAnsi="Arial" w:cs="Arial"/>
                <w:sz w:val="20"/>
                <w:szCs w:val="20"/>
                <w:lang w:eastAsia="hr-HR"/>
              </w:rPr>
            </w:pPr>
            <w:r w:rsidRPr="00C244E3">
              <w:rPr>
                <w:rFonts w:ascii="Times New Roman" w:eastAsia="Times New Roman" w:hAnsi="Times New Roman" w:cs="Times New Roman"/>
                <w:b/>
                <w:color w:val="000000"/>
                <w:spacing w:val="-1"/>
                <w:sz w:val="24"/>
                <w:szCs w:val="24"/>
                <w:lang w:eastAsia="hr-HR"/>
              </w:rPr>
              <w:t>Prijedlog Europske komisije za pripremu i prioritete programskih dokumenata</w:t>
            </w:r>
            <w:r w:rsidRPr="00C244E3">
              <w:rPr>
                <w:rFonts w:ascii="Times New Roman" w:eastAsia="Times New Roman" w:hAnsi="Times New Roman" w:cs="Times New Roman"/>
                <w:color w:val="000000"/>
                <w:spacing w:val="-1"/>
                <w:sz w:val="24"/>
                <w:szCs w:val="24"/>
                <w:lang w:eastAsia="hr-HR"/>
              </w:rPr>
              <w:t xml:space="preserve"> preporučuje da kod razvoja uravnotežene prometne mreže u Hrvatskoj prioritet treba imati željeznički sektor. Posebni utvrđeni izazovi uključuju olakšavanje prelaska s cestovnog teretnog prometa na željeznički, modernizaciju postojećih željezničkih koridora i osiguravanje interoperabilnosti te razvoj intermodalnog prometnog sustava koji dobro funkcionira, ulaganjem u intermodalne i interoperabilne koridore i čvorove, posebno u željezničkom sektoru. Ovo je u skladu s </w:t>
            </w:r>
            <w:r w:rsidRPr="00C244E3">
              <w:rPr>
                <w:rFonts w:ascii="Times New Roman" w:eastAsia="Times New Roman" w:hAnsi="Times New Roman" w:cs="Times New Roman"/>
                <w:b/>
                <w:color w:val="000000"/>
                <w:spacing w:val="-1"/>
                <w:sz w:val="24"/>
                <w:szCs w:val="24"/>
                <w:lang w:eastAsia="hr-HR"/>
              </w:rPr>
              <w:t>Bijelom knjigom o prometu</w:t>
            </w:r>
            <w:r w:rsidRPr="00C244E3">
              <w:rPr>
                <w:rFonts w:ascii="Times New Roman" w:eastAsia="Times New Roman" w:hAnsi="Times New Roman" w:cs="Times New Roman"/>
                <w:color w:val="000000"/>
                <w:spacing w:val="-1"/>
                <w:sz w:val="24"/>
                <w:szCs w:val="24"/>
                <w:lang w:eastAsia="hr-HR"/>
              </w:rPr>
              <w:t xml:space="preserve"> čiji je ključni cilj izmjena modaliteta s cestovnog na željeznički teretni promet. </w:t>
            </w:r>
            <w:r w:rsidRPr="00C244E3">
              <w:rPr>
                <w:rFonts w:ascii="Times New Roman" w:eastAsia="Times New Roman" w:hAnsi="Times New Roman" w:cs="Times New Roman"/>
                <w:b/>
                <w:color w:val="000000"/>
                <w:spacing w:val="-1"/>
                <w:sz w:val="24"/>
                <w:szCs w:val="24"/>
                <w:lang w:eastAsia="hr-HR"/>
              </w:rPr>
              <w:t>Ekonomski program Republike Hrvatske za 2013.</w:t>
            </w:r>
            <w:r w:rsidRPr="00C244E3">
              <w:rPr>
                <w:rFonts w:ascii="Times New Roman" w:eastAsia="Times New Roman" w:hAnsi="Times New Roman" w:cs="Times New Roman"/>
                <w:color w:val="000000"/>
                <w:spacing w:val="-1"/>
                <w:sz w:val="24"/>
                <w:szCs w:val="24"/>
                <w:lang w:eastAsia="hr-HR"/>
              </w:rPr>
              <w:t xml:space="preserve"> usmjeren je na stvaranje jedinstvenog interoperabilnog sustava željeznica i na poboljšanje željezničkog prometa kao jedne od mjera reforme. Opće loše stanje željezničke infrastrukture i voznog parka stvorilo je trend zbog kojega sektor trpi kontinuirano opadanje udjela modalne podjele.</w:t>
            </w:r>
          </w:p>
        </w:tc>
      </w:tr>
      <w:tr w:rsidR="00C244E3" w:rsidRPr="00C244E3" w:rsidTr="00C244E3">
        <w:trPr>
          <w:trHeight w:hRule="exact" w:val="3466"/>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182"/>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09 - Promicanje socijalne uključenosti, borba protiv siromaštva i svih oblika diskriminacije</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67" w:firstLine="5"/>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34" w:firstLine="5"/>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xml:space="preserve">Hrvatska ima jednu od najviših stopa rizika od siromaštva i socijalne isključenosti u EU, koja je u 2012. iznosila 1,370.000 osoba ili 32,3 % ukupnog stanovništva. Cilj je Hrvatske, prema </w:t>
            </w:r>
            <w:r w:rsidRPr="00C244E3">
              <w:rPr>
                <w:rFonts w:ascii="Times New Roman" w:eastAsia="Times New Roman" w:hAnsi="Times New Roman" w:cs="Times New Roman"/>
                <w:b/>
                <w:color w:val="000000"/>
                <w:sz w:val="24"/>
                <w:szCs w:val="24"/>
                <w:lang w:eastAsia="hr-HR"/>
              </w:rPr>
              <w:t>Nacionalnom programu reformi</w:t>
            </w:r>
            <w:r w:rsidRPr="00C244E3">
              <w:rPr>
                <w:rFonts w:ascii="Times New Roman" w:eastAsia="Times New Roman" w:hAnsi="Times New Roman" w:cs="Times New Roman"/>
                <w:color w:val="000000"/>
                <w:sz w:val="24"/>
                <w:szCs w:val="24"/>
                <w:lang w:eastAsia="hr-HR"/>
              </w:rPr>
              <w:t>, smanjiti je za 150.000 do 2020. Veliki broj korisnika sustava socijalne skrbi nalazi se u nekom obliku institucionalne skrbi</w:t>
            </w:r>
            <w:r w:rsidRPr="00C244E3">
              <w:rPr>
                <w:rFonts w:ascii="Times New Roman" w:eastAsia="Times New Roman" w:hAnsi="Times New Roman" w:cs="Times New Roman"/>
                <w:color w:val="000000"/>
                <w:spacing w:val="-1"/>
                <w:sz w:val="24"/>
                <w:szCs w:val="24"/>
                <w:lang w:eastAsia="hr-HR"/>
              </w:rPr>
              <w:t>.</w:t>
            </w:r>
          </w:p>
          <w:p w:rsidR="00C244E3" w:rsidRPr="00C244E3" w:rsidRDefault="00C244E3" w:rsidP="00C244E3">
            <w:pPr>
              <w:widowControl w:val="0"/>
              <w:shd w:val="clear" w:color="auto" w:fill="FFFFFF"/>
              <w:autoSpaceDE w:val="0"/>
              <w:autoSpaceDN w:val="0"/>
              <w:adjustRightInd w:val="0"/>
              <w:spacing w:after="0" w:line="274" w:lineRule="exact"/>
              <w:ind w:right="34" w:firstLine="5"/>
              <w:rPr>
                <w:rFonts w:ascii="Arial" w:eastAsia="Times New Roman" w:hAnsi="Arial" w:cs="Arial"/>
                <w:sz w:val="20"/>
                <w:szCs w:val="20"/>
                <w:lang w:eastAsia="hr-HR"/>
              </w:rPr>
            </w:pP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88"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88" w:right="360" w:bottom="360" w:left="730" w:header="720" w:footer="720" w:gutter="0"/>
          <w:cols w:num="2" w:space="720" w:equalWidth="0">
            <w:col w:w="720" w:space="9379"/>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244E3">
        <w:trPr>
          <w:trHeight w:hRule="exact" w:val="4666"/>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614"/>
              <w:rPr>
                <w:rFonts w:ascii="Arial" w:eastAsia="Times New Roman" w:hAnsi="Arial" w:cs="Arial"/>
                <w:sz w:val="20"/>
                <w:szCs w:val="20"/>
                <w:lang w:eastAsia="hr-HR"/>
              </w:rPr>
            </w:pP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32151E" w:rsidRDefault="00C244E3" w:rsidP="00C244E3">
            <w:pPr>
              <w:widowControl w:val="0"/>
              <w:shd w:val="clear" w:color="auto" w:fill="FFFFFF"/>
              <w:autoSpaceDE w:val="0"/>
              <w:autoSpaceDN w:val="0"/>
              <w:adjustRightInd w:val="0"/>
              <w:spacing w:after="0" w:line="274" w:lineRule="exact"/>
              <w:ind w:right="58" w:firstLine="5"/>
              <w:rPr>
                <w:rFonts w:ascii="Times New Roman" w:eastAsia="Times New Roman" w:hAnsi="Times New Roman" w:cs="Times New Roman"/>
                <w:bCs/>
                <w:color w:val="000000"/>
                <w:spacing w:val="-2"/>
                <w:sz w:val="24"/>
                <w:szCs w:val="24"/>
                <w:lang w:eastAsia="hr-HR"/>
              </w:rPr>
            </w:pPr>
            <w:r w:rsidRPr="0032151E">
              <w:rPr>
                <w:rFonts w:ascii="Times New Roman" w:eastAsia="Times New Roman" w:hAnsi="Times New Roman" w:cs="Times New Roman"/>
                <w:b/>
                <w:bCs/>
                <w:color w:val="000000"/>
                <w:spacing w:val="-2"/>
                <w:sz w:val="24"/>
                <w:szCs w:val="24"/>
                <w:lang w:eastAsia="hr-HR"/>
              </w:rPr>
              <w:t>Prijedlog Komisije za pripremu i prioritete programskih dokumenata</w:t>
            </w:r>
            <w:r w:rsidRPr="0032151E">
              <w:rPr>
                <w:rFonts w:ascii="Times New Roman" w:eastAsia="Times New Roman" w:hAnsi="Times New Roman" w:cs="Times New Roman"/>
                <w:bCs/>
                <w:color w:val="000000"/>
                <w:spacing w:val="-2"/>
                <w:sz w:val="24"/>
                <w:szCs w:val="24"/>
                <w:lang w:eastAsia="hr-HR"/>
              </w:rPr>
              <w:t xml:space="preserve"> stavlja naglasak na pristup povoljnim, održivim, visokokvalitetnim zdravstvenim i socijalnim uslugama, prelazak s institucionalne skrbi na skrb uzajednici i smanjenje nejednakosti u dostupnosti, posebice za ugrožene skupine.</w:t>
            </w:r>
          </w:p>
          <w:p w:rsidR="00C244E3" w:rsidRPr="00C244E3" w:rsidRDefault="00C244E3" w:rsidP="00C244E3">
            <w:pPr>
              <w:widowControl w:val="0"/>
              <w:shd w:val="clear" w:color="auto" w:fill="FFFFFF"/>
              <w:autoSpaceDE w:val="0"/>
              <w:autoSpaceDN w:val="0"/>
              <w:adjustRightInd w:val="0"/>
              <w:spacing w:after="0" w:line="274" w:lineRule="exact"/>
              <w:ind w:right="58"/>
              <w:rPr>
                <w:rFonts w:ascii="Arial" w:eastAsia="Times New Roman" w:hAnsi="Arial" w:cs="Arial"/>
                <w:sz w:val="20"/>
                <w:szCs w:val="20"/>
                <w:lang w:eastAsia="hr-HR"/>
              </w:rPr>
            </w:pPr>
            <w:r w:rsidRPr="0032151E">
              <w:rPr>
                <w:rFonts w:ascii="Times New Roman" w:eastAsia="Times New Roman" w:hAnsi="Times New Roman" w:cs="Times New Roman"/>
                <w:bCs/>
                <w:color w:val="000000"/>
                <w:spacing w:val="-2"/>
                <w:sz w:val="24"/>
                <w:szCs w:val="24"/>
                <w:lang w:eastAsia="hr-HR"/>
              </w:rPr>
              <w:t>Ulaganja će se usmjeriti na proširenje i diversifikaciju takvih usluga te na ostvarivanje njihove dostupnosti. Kako bi se podržala socijalna uključenost i pravo osoba na život u zajednici, ulaganja za podršku procesu deinstitucionalizacije usluga i širenje mreže usluga u zajednici bit će financirani putem EFRR-a, ESF-a i EPFRR-a na komplementaran način</w:t>
            </w:r>
            <w:r w:rsidRPr="0032151E">
              <w:rPr>
                <w:rFonts w:ascii="Times New Roman" w:eastAsia="Times New Roman" w:hAnsi="Times New Roman" w:cs="Times New Roman"/>
                <w:color w:val="000000"/>
                <w:spacing w:val="-2"/>
                <w:sz w:val="24"/>
                <w:szCs w:val="24"/>
                <w:lang w:eastAsia="hr-HR"/>
              </w:rPr>
              <w:t>.</w:t>
            </w:r>
          </w:p>
        </w:tc>
      </w:tr>
      <w:tr w:rsidR="00C244E3" w:rsidRPr="00C244E3" w:rsidTr="00C244E3">
        <w:trPr>
          <w:trHeight w:hRule="exact" w:val="3677"/>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left="5" w:right="182"/>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09 - Promicanje socijalne uključenosti, borba protiv siromaštva i svih oblika diskriminacije</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53" w:firstLine="5"/>
              <w:rPr>
                <w:rFonts w:ascii="Arial" w:eastAsia="Times New Roman" w:hAnsi="Arial" w:cs="Arial"/>
                <w:sz w:val="20"/>
                <w:szCs w:val="20"/>
                <w:lang w:eastAsia="hr-HR"/>
              </w:rPr>
            </w:pPr>
            <w:r w:rsidRPr="00C244E3">
              <w:rPr>
                <w:rFonts w:ascii="Times New Roman" w:eastAsia="Times New Roman" w:hAnsi="Times New Roman" w:cs="Times New Roman"/>
                <w:color w:val="000000"/>
                <w:sz w:val="20"/>
                <w:szCs w:val="20"/>
                <w:lang w:eastAsia="hr-HR"/>
              </w:rPr>
              <w:t>9b - Pružanje podrške fizičkoj, gospodarskoj i socijalnoj obnovi ugroženih zajednica u urbanim i ruralnim područjima</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82" w:firstLine="5"/>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xml:space="preserve">Hrvatska ima jednu od najviših stopa rizika od siromaštva i socijalne isključenosti u EU, koja je 2012. iznosila 1,370.000 osoba ili 32,3 % ukupnog stanovništva. Cilj je Hrvatske, prema </w:t>
            </w:r>
            <w:r w:rsidRPr="00C244E3">
              <w:rPr>
                <w:rFonts w:ascii="Times New Roman" w:eastAsia="Times New Roman" w:hAnsi="Times New Roman" w:cs="Times New Roman"/>
                <w:b/>
                <w:color w:val="000000"/>
                <w:sz w:val="24"/>
                <w:szCs w:val="24"/>
                <w:lang w:eastAsia="hr-HR"/>
              </w:rPr>
              <w:t>Nacionalnom programu reformi</w:t>
            </w:r>
            <w:r w:rsidRPr="00C244E3">
              <w:rPr>
                <w:rFonts w:ascii="Times New Roman" w:eastAsia="Times New Roman" w:hAnsi="Times New Roman" w:cs="Times New Roman"/>
                <w:color w:val="000000"/>
                <w:sz w:val="24"/>
                <w:szCs w:val="24"/>
                <w:lang w:eastAsia="hr-HR"/>
              </w:rPr>
              <w:t>, smanjiti taj broj za 150.000 do 2020. Specifične i složene potrebe degradiranih područja zahtijevaju integrirana ulaganja kojima se pridonosi smanjenju siromaštva i socijalne isključenosti</w:t>
            </w:r>
            <w:r w:rsidRPr="00C244E3">
              <w:rPr>
                <w:rFonts w:ascii="Times New Roman" w:eastAsia="Times New Roman" w:hAnsi="Times New Roman" w:cs="Times New Roman"/>
                <w:color w:val="000000"/>
                <w:spacing w:val="-3"/>
                <w:sz w:val="24"/>
                <w:szCs w:val="24"/>
                <w:lang w:eastAsia="hr-HR"/>
              </w:rPr>
              <w:t>.</w:t>
            </w:r>
          </w:p>
        </w:tc>
      </w:tr>
      <w:tr w:rsidR="00C244E3" w:rsidRPr="00C244E3" w:rsidTr="00055062">
        <w:trPr>
          <w:trHeight w:hRule="exact" w:val="4023"/>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26" w:lineRule="exact"/>
              <w:ind w:right="67" w:firstLine="19"/>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10 - Ulaganje u obrazovanje, izobrazbu i strukovno osposobljavanje te cjeloživotno učenje</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30" w:lineRule="exact"/>
              <w:ind w:right="202" w:firstLine="19"/>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0"/>
                <w:szCs w:val="20"/>
                <w:lang w:eastAsia="hr-HR"/>
              </w:rPr>
              <w:t>10a - Ulaganje u obrazovanje, vještine i cjeloživotno učenje kroz razvoj infrastrukture za obrazovanje i osposobljavanje</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91"/>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Integriranim smjernicama poziva se države članice na "poboljšanje kvalitete i rezultata sustava obrazovanja i osposobljavanja na svim razinama".</w:t>
            </w:r>
          </w:p>
          <w:p w:rsidR="00C244E3" w:rsidRPr="00C244E3" w:rsidRDefault="00C244E3" w:rsidP="00C244E3">
            <w:pPr>
              <w:widowControl w:val="0"/>
              <w:shd w:val="clear" w:color="auto" w:fill="FFFFFF"/>
              <w:autoSpaceDE w:val="0"/>
              <w:autoSpaceDN w:val="0"/>
              <w:adjustRightInd w:val="0"/>
              <w:spacing w:after="0" w:line="274" w:lineRule="exact"/>
              <w:ind w:right="91"/>
              <w:rPr>
                <w:rFonts w:ascii="Arial" w:eastAsia="Times New Roman" w:hAnsi="Arial" w:cs="Arial"/>
                <w:sz w:val="20"/>
                <w:szCs w:val="20"/>
                <w:lang w:eastAsia="hr-HR"/>
              </w:rPr>
            </w:pPr>
            <w:r w:rsidRPr="00C244E3">
              <w:rPr>
                <w:rFonts w:ascii="Times New Roman" w:eastAsia="Times New Roman" w:hAnsi="Times New Roman" w:cs="Times New Roman"/>
                <w:b/>
                <w:color w:val="000000"/>
                <w:spacing w:val="-1"/>
                <w:sz w:val="24"/>
                <w:szCs w:val="24"/>
                <w:lang w:eastAsia="hr-HR"/>
              </w:rPr>
              <w:t>Strategijom EU 2020.</w:t>
            </w:r>
            <w:r w:rsidRPr="00C244E3">
              <w:rPr>
                <w:rFonts w:ascii="Times New Roman" w:eastAsia="Times New Roman" w:hAnsi="Times New Roman" w:cs="Times New Roman"/>
                <w:color w:val="000000"/>
                <w:spacing w:val="-1"/>
                <w:sz w:val="24"/>
                <w:szCs w:val="24"/>
                <w:lang w:eastAsia="hr-HR"/>
              </w:rPr>
              <w:t xml:space="preserve"> utvrđeni su glavni ciljevi razvoja obrazovanja i cjeloživotnog učenja</w:t>
            </w:r>
            <w:r w:rsidRPr="00C244E3">
              <w:rPr>
                <w:rFonts w:ascii="Times New Roman" w:eastAsia="Times New Roman" w:hAnsi="Times New Roman" w:cs="Times New Roman"/>
                <w:color w:val="000000"/>
                <w:spacing w:val="-3"/>
                <w:sz w:val="24"/>
                <w:szCs w:val="24"/>
                <w:lang w:eastAsia="hr-HR"/>
              </w:rPr>
              <w:t>:</w:t>
            </w:r>
          </w:p>
          <w:p w:rsidR="00C244E3" w:rsidRPr="00C244E3" w:rsidRDefault="00C244E3" w:rsidP="00C244E3">
            <w:pPr>
              <w:widowControl w:val="0"/>
              <w:shd w:val="clear" w:color="auto" w:fill="FFFFFF"/>
              <w:autoSpaceDE w:val="0"/>
              <w:autoSpaceDN w:val="0"/>
              <w:adjustRightInd w:val="0"/>
              <w:spacing w:after="0" w:line="274" w:lineRule="exact"/>
              <w:ind w:right="91"/>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 Smanjenje ranog napuštanja školovanja na manje od 10 %</w:t>
            </w:r>
            <w:r w:rsidRPr="00C244E3">
              <w:rPr>
                <w:rFonts w:ascii="Times New Roman" w:eastAsia="Times New Roman" w:hAnsi="Times New Roman" w:cs="Times New Roman"/>
                <w:color w:val="000000"/>
                <w:spacing w:val="-2"/>
                <w:sz w:val="24"/>
                <w:szCs w:val="24"/>
                <w:lang w:eastAsia="hr-HR"/>
              </w:rPr>
              <w:t>,</w:t>
            </w:r>
          </w:p>
          <w:p w:rsidR="00C244E3" w:rsidRPr="00C244E3" w:rsidRDefault="00C244E3" w:rsidP="00C244E3">
            <w:pPr>
              <w:widowControl w:val="0"/>
              <w:shd w:val="clear" w:color="auto" w:fill="FFFFFF"/>
              <w:autoSpaceDE w:val="0"/>
              <w:autoSpaceDN w:val="0"/>
              <w:adjustRightInd w:val="0"/>
              <w:spacing w:after="0" w:line="274" w:lineRule="exact"/>
              <w:ind w:right="91"/>
              <w:rPr>
                <w:rFonts w:ascii="Arial" w:eastAsia="Times New Roman" w:hAnsi="Arial" w:cs="Arial"/>
                <w:sz w:val="20"/>
                <w:szCs w:val="20"/>
                <w:lang w:eastAsia="hr-HR"/>
              </w:rPr>
            </w:pPr>
            <w:r w:rsidRPr="00C244E3">
              <w:rPr>
                <w:rFonts w:ascii="Times New Roman" w:eastAsia="Times New Roman" w:hAnsi="Times New Roman" w:cs="Times New Roman"/>
                <w:color w:val="000000"/>
                <w:sz w:val="24"/>
                <w:szCs w:val="24"/>
                <w:lang w:eastAsia="hr-HR"/>
              </w:rPr>
              <w:t>• Barem 40 % osoba u dobi od 30 do 34 godine treba dovršiti tercijarni ili istovrijedni stupanj obrazovanja</w:t>
            </w:r>
            <w:r w:rsidRPr="00C244E3">
              <w:rPr>
                <w:rFonts w:ascii="Times New Roman" w:eastAsia="Times New Roman" w:hAnsi="Times New Roman" w:cs="Times New Roman"/>
                <w:color w:val="000000"/>
                <w:spacing w:val="-3"/>
                <w:sz w:val="24"/>
                <w:szCs w:val="24"/>
                <w:lang w:eastAsia="hr-HR"/>
              </w:rPr>
              <w:t>.</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1909" w:h="16834"/>
          <w:pgMar w:top="1164"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4" w:right="360" w:bottom="360" w:left="730" w:header="720" w:footer="720" w:gutter="0"/>
          <w:cols w:num="3" w:space="720" w:equalWidth="0">
            <w:col w:w="720" w:space="4522"/>
            <w:col w:w="720" w:space="4138"/>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2266"/>
        <w:gridCol w:w="4493"/>
      </w:tblGrid>
      <w:tr w:rsidR="00C244E3" w:rsidRPr="00C244E3" w:rsidTr="00C244E3">
        <w:trPr>
          <w:trHeight w:hRule="exact" w:val="672"/>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98" w:right="283"/>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lastRenderedPageBreak/>
              <w:t>Odabrani tematski cilj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06" w:lineRule="exact"/>
              <w:ind w:left="269" w:right="264"/>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20"/>
                <w:szCs w:val="20"/>
                <w:lang w:eastAsia="hr-HR"/>
              </w:rPr>
              <w:t>Odabrani investicijski prioritet</w:t>
            </w: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57"/>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20"/>
                <w:szCs w:val="20"/>
                <w:lang w:eastAsia="hr-HR"/>
              </w:rPr>
              <w:t>Opravdavanje odabira</w:t>
            </w:r>
          </w:p>
        </w:tc>
      </w:tr>
      <w:tr w:rsidR="00C244E3" w:rsidRPr="00C244E3" w:rsidTr="00C244E3">
        <w:trPr>
          <w:trHeight w:hRule="exact" w:val="4954"/>
        </w:trPr>
        <w:tc>
          <w:tcPr>
            <w:tcW w:w="2141"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493"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74" w:lineRule="exact"/>
              <w:ind w:right="53" w:firstLine="5"/>
              <w:rPr>
                <w:rFonts w:ascii="Times New Roman" w:eastAsia="Times New Roman" w:hAnsi="Times New Roman" w:cs="Times New Roman"/>
                <w:color w:val="000000"/>
                <w:spacing w:val="-4"/>
                <w:sz w:val="24"/>
                <w:szCs w:val="24"/>
                <w:lang w:eastAsia="hr-HR"/>
              </w:rPr>
            </w:pPr>
            <w:r w:rsidRPr="00C244E3">
              <w:rPr>
                <w:rFonts w:ascii="Times New Roman" w:eastAsia="Times New Roman" w:hAnsi="Times New Roman" w:cs="Times New Roman"/>
                <w:color w:val="000000"/>
                <w:spacing w:val="-4"/>
                <w:sz w:val="24"/>
                <w:szCs w:val="24"/>
                <w:lang w:eastAsia="hr-HR"/>
              </w:rPr>
              <w:t xml:space="preserve">U vodećoj inicijativi strategije EU 2020., </w:t>
            </w:r>
            <w:r w:rsidRPr="00C244E3">
              <w:rPr>
                <w:rFonts w:ascii="Times New Roman" w:eastAsia="Times New Roman" w:hAnsi="Times New Roman" w:cs="Times New Roman"/>
                <w:b/>
                <w:color w:val="000000"/>
                <w:spacing w:val="-4"/>
                <w:sz w:val="24"/>
                <w:szCs w:val="24"/>
                <w:lang w:eastAsia="hr-HR"/>
              </w:rPr>
              <w:t>"Programu za nove vještine i poslove"</w:t>
            </w:r>
            <w:r w:rsidRPr="00C244E3">
              <w:rPr>
                <w:rFonts w:ascii="Times New Roman" w:eastAsia="Times New Roman" w:hAnsi="Times New Roman" w:cs="Times New Roman"/>
                <w:color w:val="000000"/>
                <w:spacing w:val="-4"/>
                <w:sz w:val="24"/>
                <w:szCs w:val="24"/>
                <w:lang w:eastAsia="hr-HR"/>
              </w:rPr>
              <w:t>, navodi se da je razvoj obrazovne infrastrukture potreban za ostvarivanje cilja razvoja vještina i njihove prikladnosti.</w:t>
            </w:r>
          </w:p>
          <w:p w:rsidR="00C244E3" w:rsidRPr="00C244E3" w:rsidRDefault="00C244E3" w:rsidP="00C244E3">
            <w:pPr>
              <w:widowControl w:val="0"/>
              <w:shd w:val="clear" w:color="auto" w:fill="FFFFFF"/>
              <w:autoSpaceDE w:val="0"/>
              <w:autoSpaceDN w:val="0"/>
              <w:adjustRightInd w:val="0"/>
              <w:spacing w:after="0" w:line="274" w:lineRule="exact"/>
              <w:ind w:right="53" w:firstLine="5"/>
              <w:rPr>
                <w:rFonts w:ascii="Arial" w:eastAsia="Times New Roman" w:hAnsi="Arial" w:cs="Arial"/>
                <w:sz w:val="20"/>
                <w:szCs w:val="20"/>
                <w:lang w:eastAsia="hr-HR"/>
              </w:rPr>
            </w:pPr>
            <w:r w:rsidRPr="00C244E3">
              <w:rPr>
                <w:rFonts w:ascii="Times New Roman" w:eastAsia="Times New Roman" w:hAnsi="Times New Roman" w:cs="Times New Roman"/>
                <w:color w:val="000000"/>
                <w:spacing w:val="-4"/>
                <w:sz w:val="24"/>
                <w:szCs w:val="24"/>
                <w:lang w:eastAsia="hr-HR"/>
              </w:rPr>
              <w:t xml:space="preserve">Povećanje razine vještina stanovništva, odgovor na izazov usklađivanja potražnje i ponude vještina na tržištu rada, poboljšanje rezultata strukovnog obrazovanja i osposobljavanja i povećanje sudjelovanja u obrazovnom sustavu prioritet su financiranja za ESI fondove, formuliran u </w:t>
            </w:r>
            <w:r w:rsidRPr="00C244E3">
              <w:rPr>
                <w:rFonts w:ascii="Times New Roman" w:eastAsia="Times New Roman" w:hAnsi="Times New Roman" w:cs="Times New Roman"/>
                <w:b/>
                <w:color w:val="000000"/>
                <w:spacing w:val="-4"/>
                <w:sz w:val="24"/>
                <w:szCs w:val="24"/>
                <w:lang w:eastAsia="hr-HR"/>
              </w:rPr>
              <w:t>Prijedlogu Europske komisije za pripremu i prioritete programskih dokumenata</w:t>
            </w:r>
            <w:r w:rsidRPr="00C244E3">
              <w:rPr>
                <w:rFonts w:ascii="Times New Roman" w:eastAsia="Times New Roman" w:hAnsi="Times New Roman" w:cs="Times New Roman"/>
                <w:color w:val="000000"/>
                <w:spacing w:val="-4"/>
                <w:sz w:val="24"/>
                <w:szCs w:val="24"/>
                <w:lang w:eastAsia="hr-HR"/>
              </w:rPr>
              <w:t>. Sredstva bi trebalo ulagati u podizanje kvalitete, učinkovitosti i otvorenosti obrazovnog sustava</w:t>
            </w:r>
          </w:p>
        </w:tc>
      </w:tr>
    </w:tbl>
    <w:p w:rsidR="00055062" w:rsidRDefault="00055062" w:rsidP="00C244E3">
      <w:pPr>
        <w:widowControl w:val="0"/>
        <w:shd w:val="clear" w:color="auto" w:fill="FFFFFF"/>
        <w:autoSpaceDE w:val="0"/>
        <w:autoSpaceDN w:val="0"/>
        <w:adjustRightInd w:val="0"/>
        <w:spacing w:before="509" w:after="0" w:line="240" w:lineRule="auto"/>
        <w:ind w:left="835"/>
        <w:rPr>
          <w:rFonts w:ascii="Times New Roman" w:eastAsia="Times New Roman" w:hAnsi="Times New Roman" w:cs="Times New Roman"/>
          <w:b/>
          <w:bCs/>
          <w:color w:val="000000"/>
          <w:spacing w:val="-1"/>
          <w:sz w:val="24"/>
          <w:szCs w:val="24"/>
          <w:lang w:eastAsia="hr-HR"/>
        </w:rPr>
      </w:pPr>
    </w:p>
    <w:p w:rsidR="00C244E3" w:rsidRPr="00C244E3" w:rsidRDefault="00C244E3" w:rsidP="00055062">
      <w:pPr>
        <w:widowControl w:val="0"/>
        <w:shd w:val="clear" w:color="auto" w:fill="FFFFFF"/>
        <w:autoSpaceDE w:val="0"/>
        <w:autoSpaceDN w:val="0"/>
        <w:adjustRightInd w:val="0"/>
        <w:spacing w:before="509" w:after="0" w:line="240" w:lineRule="auto"/>
        <w:ind w:left="835"/>
        <w:jc w:val="both"/>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24"/>
          <w:szCs w:val="24"/>
          <w:lang w:eastAsia="hr-HR"/>
        </w:rPr>
        <w:t>1.2 Opravdanje za alokaciju financijskih sredstava</w:t>
      </w:r>
    </w:p>
    <w:p w:rsidR="00C244E3" w:rsidRPr="00C244E3" w:rsidRDefault="00C244E3" w:rsidP="00055062">
      <w:pPr>
        <w:widowControl w:val="0"/>
        <w:shd w:val="clear" w:color="auto" w:fill="FFFFFF"/>
        <w:autoSpaceDE w:val="0"/>
        <w:autoSpaceDN w:val="0"/>
        <w:adjustRightInd w:val="0"/>
        <w:spacing w:before="278" w:after="0" w:line="274" w:lineRule="exact"/>
        <w:ind w:left="816" w:right="13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Opravdanje za alokaciju financijskih sredstava (potpora Unije) za svaki tematski cilj i, po potrebi, investicijski prioritet, u skladu sa zahtjevima tematske usredotočenosti, uzimajući u obzir ex-ante evaluaciju.</w:t>
      </w:r>
    </w:p>
    <w:p w:rsidR="00C244E3" w:rsidRPr="00C244E3" w:rsidRDefault="00C244E3" w:rsidP="00055062">
      <w:pPr>
        <w:widowControl w:val="0"/>
        <w:shd w:val="clear" w:color="auto" w:fill="FFFFFF"/>
        <w:autoSpaceDE w:val="0"/>
        <w:autoSpaceDN w:val="0"/>
        <w:adjustRightInd w:val="0"/>
        <w:spacing w:before="278" w:after="0" w:line="274" w:lineRule="exact"/>
        <w:ind w:left="816" w:right="13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Sredstva iz ESI fondova alocirana za OPKK 2014. - 2020. iznose 6,8 mlrd. eura, što predstavlja značajan iznos za rješavanje potreba i prilika u ključnim političkim sektorima socioekonomskog razvoja Hrvatske. Sredstva alocirana iz EFRR-a iznose oko 4,3 mlrd. eura, zajedno s 2,6 mlrd. eura iz kohezijskog fonda.</w:t>
      </w:r>
    </w:p>
    <w:p w:rsidR="00C244E3" w:rsidRPr="00C244E3" w:rsidRDefault="00C244E3" w:rsidP="00055062">
      <w:pPr>
        <w:widowControl w:val="0"/>
        <w:shd w:val="clear" w:color="auto" w:fill="FFFFFF"/>
        <w:autoSpaceDE w:val="0"/>
        <w:autoSpaceDN w:val="0"/>
        <w:adjustRightInd w:val="0"/>
        <w:spacing w:before="278" w:after="0" w:line="274" w:lineRule="exact"/>
        <w:ind w:left="816" w:right="13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Alokacija ovih sredstava po svakoj prioritetnoj osi (PO) sukladna je predviđenoj tematskoj usredotočenosti izdataka na ograničen broj tematskih ciljeva (TC) i investicijskih prioriteta (IP), s fokusom na ostvarivanje specifičnih ciljeva (SC), kako bi se maksimalno povećao doprinos kohezijskoj politici i ciljevima Strategije Europa 2020. te ostvarila kritična masa potpore.</w:t>
      </w:r>
    </w:p>
    <w:p w:rsidR="00C244E3" w:rsidRPr="00C244E3" w:rsidRDefault="00C244E3" w:rsidP="00055062">
      <w:pPr>
        <w:widowControl w:val="0"/>
        <w:shd w:val="clear" w:color="auto" w:fill="FFFFFF"/>
        <w:autoSpaceDE w:val="0"/>
        <w:autoSpaceDN w:val="0"/>
        <w:adjustRightInd w:val="0"/>
        <w:spacing w:before="278" w:after="0" w:line="274" w:lineRule="exact"/>
        <w:ind w:left="816" w:right="13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Potrebna financijska sredstva na razini investicijskih prioriteta nisu vođena samo primjenjivim odredbama o tematskoj usredotočenosti, vezano uz manje razvijene regije Hrvatske, već i strateškim ciljevima nacionalnih razvojnih planova, politikama regionalnog razvoja i sektorskim strategijama. Odluke o prioritetima oblikovane su rezultatima ostvarenim tijekom razdoblja od 2007. do 2013. godine i zahtjevnim financijskim i gospodarskim kontekstom. Procjene troškova provedbe i administracije predloženih aktivnosti također su uzete u obzir.</w:t>
      </w:r>
    </w:p>
    <w:p w:rsidR="00C244E3" w:rsidRPr="00C244E3" w:rsidRDefault="00C244E3" w:rsidP="00055062">
      <w:pPr>
        <w:widowControl w:val="0"/>
        <w:shd w:val="clear" w:color="auto" w:fill="FFFFFF"/>
        <w:autoSpaceDE w:val="0"/>
        <w:autoSpaceDN w:val="0"/>
        <w:adjustRightInd w:val="0"/>
        <w:spacing w:before="278" w:after="0" w:line="274" w:lineRule="exact"/>
        <w:ind w:left="816" w:right="13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 xml:space="preserve">U okviru OPKK-a, oko 57 % sredstava EFRR-a alocirano je za potporu istraživanju i razvoju, tehnološkom razvoju i inovacijama, digitalnoj agendi, konkurentnosti MSP-ova i prelasku na niskougljično gospodarstvo, što predstavlja oko 12 % sredstava iz strukturnih </w:t>
      </w:r>
      <w:r w:rsidRPr="00C244E3">
        <w:rPr>
          <w:rFonts w:ascii="Times New Roman" w:eastAsia="Times New Roman" w:hAnsi="Times New Roman" w:cs="Times New Roman"/>
          <w:color w:val="000000"/>
          <w:spacing w:val="-1"/>
          <w:sz w:val="24"/>
          <w:szCs w:val="24"/>
          <w:lang w:eastAsia="hr-HR"/>
        </w:rPr>
        <w:lastRenderedPageBreak/>
        <w:t>fondova alociranih Hrvatskoj</w:t>
      </w:r>
      <w:r w:rsidRPr="00C244E3">
        <w:rPr>
          <w:rFonts w:ascii="Times New Roman" w:eastAsia="Times New Roman" w:hAnsi="Times New Roman" w:cs="Times New Roman"/>
          <w:color w:val="000000"/>
          <w:spacing w:val="-2"/>
          <w:sz w:val="24"/>
          <w:szCs w:val="24"/>
          <w:lang w:eastAsia="hr-HR"/>
        </w:rPr>
        <w:t>.</w:t>
      </w:r>
    </w:p>
    <w:p w:rsidR="00C244E3" w:rsidRPr="00C244E3" w:rsidRDefault="00C244E3" w:rsidP="00C244E3">
      <w:pPr>
        <w:widowControl w:val="0"/>
        <w:shd w:val="clear" w:color="auto" w:fill="FFFFFF"/>
        <w:autoSpaceDE w:val="0"/>
        <w:autoSpaceDN w:val="0"/>
        <w:adjustRightInd w:val="0"/>
        <w:spacing w:before="278" w:after="806" w:line="274" w:lineRule="exact"/>
        <w:ind w:left="816" w:right="1382"/>
        <w:rPr>
          <w:rFonts w:ascii="Arial" w:eastAsia="Times New Roman" w:hAnsi="Arial" w:cs="Arial"/>
          <w:sz w:val="20"/>
          <w:szCs w:val="20"/>
          <w:lang w:eastAsia="hr-HR"/>
        </w:rPr>
        <w:sectPr w:rsidR="00C244E3" w:rsidRPr="00C244E3">
          <w:pgSz w:w="11909" w:h="16834"/>
          <w:pgMar w:top="1164" w:right="360" w:bottom="360" w:left="73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C244E3" w:rsidRPr="00C244E3">
          <w:type w:val="continuous"/>
          <w:pgSz w:w="11909" w:h="16834"/>
          <w:pgMar w:top="1164" w:right="360" w:bottom="360" w:left="730" w:header="720" w:footer="720" w:gutter="0"/>
          <w:cols w:num="3" w:space="720" w:equalWidth="0">
            <w:col w:w="720" w:space="4522"/>
            <w:col w:w="720" w:space="4138"/>
            <w:col w:w="720"/>
          </w:cols>
          <w:noEndnote/>
        </w:sectPr>
      </w:pPr>
    </w:p>
    <w:p w:rsidR="00C244E3" w:rsidRPr="00C244E3" w:rsidRDefault="00C244E3" w:rsidP="00055062">
      <w:pPr>
        <w:widowControl w:val="0"/>
        <w:shd w:val="clear" w:color="auto" w:fill="FFFFFF"/>
        <w:autoSpaceDE w:val="0"/>
        <w:autoSpaceDN w:val="0"/>
        <w:adjustRightInd w:val="0"/>
        <w:spacing w:before="269" w:after="0" w:line="278" w:lineRule="exact"/>
        <w:ind w:left="82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lastRenderedPageBreak/>
        <w:t>Pod Prioritetnom osi 1, 15,4 % ukupnog financiranja iz EFRR-a u sklopu OPKK-a bit će alocirano, redoslijedom navođenja, investicijskim prioritetima tematskog cilja 1: 1a i 1b. Trošenje će doprinijeti postizanju glavnog cilja državnih institucija za istraživanje i razvoj, povećat će ulaganja u istraživanje i razvoj na 1,4% BDP-a do 2020. godine i bit će u skladu sa strateškim ciljevima kako bi se popravila stopa povrata istraživanja i razvoja, inovacijska radna uspješnost i kako bi se postigao rast mjerene produktivnosti.</w:t>
      </w:r>
    </w:p>
    <w:p w:rsidR="00C244E3" w:rsidRPr="00C244E3" w:rsidRDefault="00C244E3" w:rsidP="00055062">
      <w:pPr>
        <w:widowControl w:val="0"/>
        <w:shd w:val="clear" w:color="auto" w:fill="FFFFFF"/>
        <w:autoSpaceDE w:val="0"/>
        <w:autoSpaceDN w:val="0"/>
        <w:adjustRightInd w:val="0"/>
        <w:spacing w:before="269" w:after="0" w:line="278" w:lineRule="exact"/>
        <w:ind w:left="82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Pod Prioritetnom osi 2, 7,3 % EFRR-a u sklopu OPKK-a bit će alocirano investicijskom prioritetu 2a tematskog cilja 2, gdje će potrošnja biti usmjerena na unapređenje postojeće brizne širokopojasnoga pristupa, povećanje broja točaka za povezivanje na agregacijsku mrežu sljedeće generacije u ciljanim područjima te povećaniju broja kućanstava pretplaćenim na širokopojasni pristup, na taj način izravno pridonoseći ostvarenju ciljeva Digitalne agende Europe (DAE) za pokrivenost širokopojasnoga pristupna ovelikih brzina do 2020.; i investicijskom prioritetu 2c, pridonoseći ostvarenju cilja Digitalne agende Europe i odražavajući preporuke Komisije o ulaganju u IKT i e-vladu, kako bi se odgovorilo na gospodarske i društvene izazove, poboljšalo inovaciju i modernizaciju državne uprave i pristup građana i poduzeća uslugama.</w:t>
      </w:r>
    </w:p>
    <w:p w:rsidR="00C244E3" w:rsidRPr="00C244E3" w:rsidRDefault="00C244E3" w:rsidP="00055062">
      <w:pPr>
        <w:widowControl w:val="0"/>
        <w:shd w:val="clear" w:color="auto" w:fill="FFFFFF"/>
        <w:autoSpaceDE w:val="0"/>
        <w:autoSpaceDN w:val="0"/>
        <w:adjustRightInd w:val="0"/>
        <w:spacing w:before="269" w:after="0" w:line="278" w:lineRule="exact"/>
        <w:ind w:left="82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Pod Prioritetnom osi 3, 22,44 % ukupnog financiranja iz EFRR-a u sklopu OPKK-a bit će alocirano investicijskim prioritetima 3a i 3d. Fokus će biti na većim razinama poslovnih ulaganja, stvaranju novih radnih mjesta i povećanju doprinosa u prihodima od izvoza MSP-ova, tako da će većina alociranih sredstava biti usmjerena na izravnu podršku MSP-ovima kroz financijske instrumente, bespovratna sredstva, savjetodavne  i usluge obuke, a manji dio na poboljšanje usluga organizacija za poslovnu podršku i fizičke infrastrukture. Planirana ulaganja u skladu su s preporukama Komisije i nacionalnom Strategijom razvoja MSP-ova za razdoblje 2013. - 2020., usmjerenima na poboljšanje gospodarske aktivnosti MSP-ova, premošćivanje financijskog jaza, razvoj novih poduzeća i potporu aktivnim poduzećima, unapređenje poduzetničkih vještina i okoline u smislu osiguravanja odgovarajućih usluga poslovne podrške, umrežavanja, klastera i uvođenja IKT-a.</w:t>
      </w:r>
    </w:p>
    <w:p w:rsidR="00C244E3" w:rsidRPr="00C244E3" w:rsidRDefault="00C244E3" w:rsidP="00055062">
      <w:pPr>
        <w:widowControl w:val="0"/>
        <w:shd w:val="clear" w:color="auto" w:fill="FFFFFF"/>
        <w:autoSpaceDE w:val="0"/>
        <w:autoSpaceDN w:val="0"/>
        <w:adjustRightInd w:val="0"/>
        <w:spacing w:before="269" w:after="0" w:line="278" w:lineRule="exact"/>
        <w:ind w:left="82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Pod Prioritetnom osi 4, 12,31 % ukupnog financiranja iz EFRR-a u sklopu OPKK-a bit će alocirano investicijskim prioritetima tematskog cilja 4: 4b, 4c, i 4d. Taj iznos odgovara zahtjevu za alokacijom barem 12 % sredstava iz EFRR-a tematskom cilju 4 (za manje razvijene regije). Fokus aktivnosti i pripadajućih alociranih sredstava bit će na investicijskom prioritetu 4c posvećenom mjerama energetske učinkovitosti i obnovljivim izvorima energije u javnoj infrastrukturi (uključujući stambene zgrade), tj. aktivnostima izravno vezanim za ispunjenje obveze Direktive o energetskoj učinkovitosti i za ispunjenje glavnih ciljeva Europe 2020. u pogledu udjela obnovljivih izvora energije i smanjenja potrošnje energije.</w:t>
      </w:r>
    </w:p>
    <w:p w:rsidR="00C244E3" w:rsidRPr="00C244E3" w:rsidRDefault="00C244E3" w:rsidP="00055062">
      <w:pPr>
        <w:widowControl w:val="0"/>
        <w:shd w:val="clear" w:color="auto" w:fill="FFFFFF"/>
        <w:autoSpaceDE w:val="0"/>
        <w:autoSpaceDN w:val="0"/>
        <w:adjustRightInd w:val="0"/>
        <w:spacing w:before="269" w:after="0" w:line="278" w:lineRule="exact"/>
        <w:ind w:left="826" w:right="883"/>
        <w:jc w:val="both"/>
        <w:rPr>
          <w:rFonts w:ascii="Times New Roman" w:eastAsia="Times New Roman" w:hAnsi="Times New Roman" w:cs="Times New Roman"/>
          <w:color w:val="000000"/>
          <w:spacing w:val="-1"/>
          <w:sz w:val="24"/>
          <w:szCs w:val="24"/>
          <w:lang w:eastAsia="hr-HR"/>
        </w:rPr>
      </w:pPr>
      <w:r w:rsidRPr="00C244E3">
        <w:rPr>
          <w:rFonts w:ascii="Times New Roman" w:eastAsia="Times New Roman" w:hAnsi="Times New Roman" w:cs="Times New Roman"/>
          <w:color w:val="000000"/>
          <w:spacing w:val="-1"/>
          <w:sz w:val="24"/>
          <w:szCs w:val="24"/>
          <w:lang w:eastAsia="hr-HR"/>
        </w:rPr>
        <w:t>Pod Prioritetnom osi 5, 5,6 % sredstava iz EFRR-a bit će alocirano investicijskim prioritetima tematskog cilja 5: 5a i 5b. Provedba Prioritetne osi 5 donekle je specifična jer je zamišljena u dvije faze: do pripreme prilagodbi klimatskim promjenama i procjene rizika od katastrofa (do 2016. i 2015. godine, redoslijedom navođenja) samo pripremne mjere (kao što su jačanje kapaciteta za prikupljanje podataka, priprema projekta itd.) financirat će se iz ove Prioritetne osi, dok će konkretna (infrastrukturna) ulaganja uslijediti nakon toga.</w:t>
      </w:r>
    </w:p>
    <w:p w:rsidR="00C244E3" w:rsidRPr="00C244E3" w:rsidRDefault="00C244E3" w:rsidP="00055062">
      <w:pPr>
        <w:widowControl w:val="0"/>
        <w:shd w:val="clear" w:color="auto" w:fill="FFFFFF"/>
        <w:autoSpaceDE w:val="0"/>
        <w:autoSpaceDN w:val="0"/>
        <w:adjustRightInd w:val="0"/>
        <w:spacing w:before="269" w:after="0" w:line="278" w:lineRule="exact"/>
        <w:ind w:left="826" w:right="883"/>
        <w:jc w:val="both"/>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24"/>
          <w:szCs w:val="24"/>
          <w:lang w:eastAsia="hr-HR"/>
        </w:rPr>
        <w:t>Pod Prioritetnom osi 6, 7,8 % financiranja iz EFRR-a i 64,4 % sredstava iz kohezijskog fonda bit će alocirano investicijskim prioritetima tematskog cilja 6: 6i, 6ii, 6c, 6iii i 6e. Prioritetnoj osi 6 alocirana su najveća sredstva u okviru OPKK-a, budući da je to uglavnom pravna stečevina u skladu s većinom resursa posvećenih investicijskim prioritetima izravno povezanim s ispunjavanjem odredaba EU vezanih uz sektore gospodarenja vodama i otpadom te zaštitu prirode (Natura 2000)</w:t>
      </w:r>
      <w:r w:rsidRPr="00C244E3">
        <w:rPr>
          <w:rFonts w:ascii="Times New Roman" w:eastAsia="Times New Roman" w:hAnsi="Times New Roman" w:cs="Times New Roman"/>
          <w:color w:val="000000"/>
          <w:sz w:val="24"/>
          <w:szCs w:val="24"/>
          <w:lang w:eastAsia="hr-HR"/>
        </w:rPr>
        <w:t>.</w:t>
      </w:r>
    </w:p>
    <w:p w:rsidR="00C244E3" w:rsidRPr="00C244E3" w:rsidRDefault="00C244E3" w:rsidP="00C244E3">
      <w:pPr>
        <w:widowControl w:val="0"/>
        <w:shd w:val="clear" w:color="auto" w:fill="FFFFFF"/>
        <w:tabs>
          <w:tab w:val="left" w:pos="5242"/>
          <w:tab w:val="left" w:pos="10099"/>
        </w:tabs>
        <w:autoSpaceDE w:val="0"/>
        <w:autoSpaceDN w:val="0"/>
        <w:adjustRightInd w:val="0"/>
        <w:spacing w:before="528" w:after="0" w:line="240" w:lineRule="auto"/>
        <w:rPr>
          <w:rFonts w:ascii="Arial" w:eastAsia="Times New Roman" w:hAnsi="Arial" w:cs="Arial"/>
          <w:sz w:val="20"/>
          <w:szCs w:val="20"/>
          <w:lang w:eastAsia="hr-HR"/>
        </w:rPr>
        <w:sectPr w:rsidR="00C244E3" w:rsidRPr="00C244E3">
          <w:pgSz w:w="11909" w:h="16834"/>
          <w:pgMar w:top="1140" w:right="435" w:bottom="360" w:left="770" w:header="720" w:footer="720" w:gutter="0"/>
          <w:cols w:space="60"/>
          <w:noEndnote/>
        </w:sectPr>
      </w:pPr>
    </w:p>
    <w:p w:rsidR="00C244E3" w:rsidRPr="00C244E3" w:rsidRDefault="00C244E3" w:rsidP="00055062">
      <w:pPr>
        <w:widowControl w:val="0"/>
        <w:shd w:val="clear" w:color="auto" w:fill="FFFFFF"/>
        <w:autoSpaceDE w:val="0"/>
        <w:autoSpaceDN w:val="0"/>
        <w:adjustRightInd w:val="0"/>
        <w:spacing w:before="269" w:after="0" w:line="278" w:lineRule="exact"/>
        <w:ind w:left="816" w:right="132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lastRenderedPageBreak/>
        <w:t>Najveći dio financiranja bit će posvećen vodoopskrbi, odvodnji  i obradi otpadnih voda zbog činjenice da sektor vodnoga gospodarstva  zahtijeva najveća ulaganja radi osiguranja sukladnosti. Unatoč velikim sredstvima raspoloživim u okviru OPKK-a, bit će potrebna i dodatna sredstva, a dio njih je već osiguran i implementiran putem zajmova MFI-a.</w:t>
      </w:r>
    </w:p>
    <w:p w:rsidR="00C244E3" w:rsidRPr="00C244E3" w:rsidRDefault="00C244E3" w:rsidP="00055062">
      <w:pPr>
        <w:widowControl w:val="0"/>
        <w:shd w:val="clear" w:color="auto" w:fill="FFFFFF"/>
        <w:autoSpaceDE w:val="0"/>
        <w:autoSpaceDN w:val="0"/>
        <w:adjustRightInd w:val="0"/>
        <w:spacing w:before="269" w:after="0" w:line="278" w:lineRule="exact"/>
        <w:ind w:left="816" w:right="132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Pod Prioritetnom osi 7, 9,25 % sredstava iz EFRR-a i 35,56 % sredstava iz kohezijskog fonda bit će alocirano investicijskim prioritetima 7i, 7b, 7ii i 7iii. Financijska raspodjela odražava prioritet smanjenja emisije stakleničkih plinova u skladu sa Strategijom Europa 2020. i preporukama Komisije. Većina financijskih sredstava temeljem ove Prioritetne osi bit će alocirana ulaganjima u željeznice, regionalne ceste, čist javni i gradski promet. Uz spomenutu raspodjelu, oko 450 milijuna eura iz Kohezijskog fonda bit će uloženo u željeznički sektor u sklopu Instrumenta za povezivanje Europe.</w:t>
      </w:r>
    </w:p>
    <w:p w:rsidR="00C244E3" w:rsidRPr="00C244E3" w:rsidRDefault="00C244E3" w:rsidP="00055062">
      <w:pPr>
        <w:widowControl w:val="0"/>
        <w:shd w:val="clear" w:color="auto" w:fill="FFFFFF"/>
        <w:autoSpaceDE w:val="0"/>
        <w:autoSpaceDN w:val="0"/>
        <w:adjustRightInd w:val="0"/>
        <w:spacing w:before="269" w:after="0" w:line="278" w:lineRule="exact"/>
        <w:ind w:left="816" w:right="1325"/>
        <w:jc w:val="both"/>
        <w:rPr>
          <w:rFonts w:ascii="Times New Roman" w:eastAsia="Times New Roman" w:hAnsi="Times New Roman" w:cs="Times New Roman"/>
          <w:color w:val="000000"/>
          <w:sz w:val="24"/>
          <w:szCs w:val="24"/>
          <w:lang w:eastAsia="hr-HR"/>
        </w:rPr>
      </w:pPr>
      <w:r w:rsidRPr="0032151E">
        <w:rPr>
          <w:rFonts w:ascii="Times New Roman" w:eastAsia="Times New Roman" w:hAnsi="Times New Roman" w:cs="Times New Roman"/>
          <w:color w:val="000000"/>
          <w:sz w:val="24"/>
          <w:szCs w:val="24"/>
          <w:lang w:eastAsia="hr-HR"/>
        </w:rPr>
        <w:t>Pod Prioritetnom osi 8, 8,7 % sredstava iz EFRR-a alocirano je tematskom cilju 9. Najveći dio bit će alociran tematskom cilju 9 investicijskog prioriteta 9i. Sektori zdravlja i socijalne skrbi, zbog postupka deinstitucionalizacije, zahtijevaju ulaganja koja će pridonijeti ispunjavanju nacionalnih planova. Vezano uz obnovu ugroženih zajednica, modeli za provedbu integriranih aktivnosti trebaju biti uvedeni prije nego što se krene s punom proizvodnjom. U kombinaciji s intervencijama iz Europskog socijalnog fonda, aktivnosti iz tematskog cilja 9 doprinijet će glavnim nacionalnim ciljevima smanjenja broja osoba koje su u riziku od siromaštva i socijalne isključenosti.</w:t>
      </w:r>
    </w:p>
    <w:p w:rsidR="00C244E3" w:rsidRPr="00C244E3" w:rsidRDefault="00C244E3" w:rsidP="00055062">
      <w:pPr>
        <w:widowControl w:val="0"/>
        <w:shd w:val="clear" w:color="auto" w:fill="FFFFFF"/>
        <w:autoSpaceDE w:val="0"/>
        <w:autoSpaceDN w:val="0"/>
        <w:adjustRightInd w:val="0"/>
        <w:spacing w:before="269" w:after="0" w:line="278" w:lineRule="exact"/>
        <w:ind w:left="816" w:right="1325"/>
        <w:jc w:val="both"/>
        <w:rPr>
          <w:rFonts w:ascii="Times New Roman" w:eastAsia="Times New Roman" w:hAnsi="Times New Roman" w:cs="Times New Roman"/>
          <w:color w:val="000000"/>
          <w:sz w:val="24"/>
          <w:szCs w:val="24"/>
          <w:lang w:eastAsia="hr-HR"/>
        </w:rPr>
      </w:pPr>
      <w:r w:rsidRPr="00C244E3">
        <w:rPr>
          <w:rFonts w:ascii="Times New Roman" w:eastAsia="Times New Roman" w:hAnsi="Times New Roman" w:cs="Times New Roman"/>
          <w:color w:val="000000"/>
          <w:sz w:val="24"/>
          <w:szCs w:val="24"/>
          <w:lang w:eastAsia="hr-HR"/>
        </w:rPr>
        <w:t>Pod Prioritetnom osi 9, 6 % sredstava EFRR-a bit će alocirano tematskom cilju 10 investicijskog prioriteta 10i. Zajedno s onima predviđenim u okviru ESF-a pod tematskim ciljem 10, intervencije će pridonijeti glavnim nacionalnim ciljevima vezanim uz udjel stanovništva koje prerano napušta školovanje te udjel stanovništva sa završenim visokoškolskim obrazovanjem, budući da su to također područja koja je prepoznala Komisija.</w:t>
      </w:r>
    </w:p>
    <w:p w:rsidR="00C244E3" w:rsidRPr="00C244E3" w:rsidRDefault="00C244E3" w:rsidP="00055062">
      <w:pPr>
        <w:widowControl w:val="0"/>
        <w:shd w:val="clear" w:color="auto" w:fill="FFFFFF"/>
        <w:autoSpaceDE w:val="0"/>
        <w:autoSpaceDN w:val="0"/>
        <w:adjustRightInd w:val="0"/>
        <w:spacing w:before="269" w:after="0" w:line="278" w:lineRule="exact"/>
        <w:ind w:left="816" w:right="1325"/>
        <w:rPr>
          <w:rFonts w:ascii="Arial" w:eastAsia="Times New Roman" w:hAnsi="Arial" w:cs="Arial"/>
          <w:sz w:val="20"/>
          <w:szCs w:val="20"/>
          <w:lang w:eastAsia="hr-HR"/>
        </w:rPr>
        <w:sectPr w:rsidR="00C244E3" w:rsidRPr="00C244E3">
          <w:pgSz w:w="11909" w:h="16834"/>
          <w:pgMar w:top="1193" w:right="435" w:bottom="360" w:left="770" w:header="720" w:footer="720" w:gutter="0"/>
          <w:cols w:space="60"/>
          <w:noEndnote/>
        </w:sectPr>
      </w:pPr>
      <w:r w:rsidRPr="00C244E3">
        <w:rPr>
          <w:rFonts w:ascii="Times New Roman" w:eastAsia="Times New Roman" w:hAnsi="Times New Roman" w:cs="Times New Roman"/>
          <w:color w:val="000000"/>
          <w:sz w:val="24"/>
          <w:szCs w:val="24"/>
          <w:lang w:eastAsia="hr-HR"/>
        </w:rPr>
        <w:t xml:space="preserve">Sredstva alocirana za Prioritetnu os 10 - Tehnička pomoć (TP) iznose 5 % EFRR-a. Iako postoji iskustvo s tehničkom pomoći u prethodnim projektima financiranim od Europske unije, rastuće potrebe uslijed povećanja broja tijela u sustavu u razdoblju od 2014. do 2020. jasan su pokazatelj da će izgradnja kapaciteta biti glavno pitanje Prioritetne osi 10, kako na državnoj, tako i na regionalnoj razini. </w:t>
      </w:r>
    </w:p>
    <w:p w:rsidR="00C244E3" w:rsidRPr="00C244E3" w:rsidRDefault="00C244E3" w:rsidP="00C244E3">
      <w:pPr>
        <w:widowControl w:val="0"/>
        <w:shd w:val="clear" w:color="auto" w:fill="FFFFFF"/>
        <w:autoSpaceDE w:val="0"/>
        <w:autoSpaceDN w:val="0"/>
        <w:adjustRightInd w:val="0"/>
        <w:spacing w:after="0" w:line="240" w:lineRule="auto"/>
        <w:ind w:left="542"/>
        <w:rPr>
          <w:rFonts w:ascii="Arial" w:eastAsia="Times New Roman" w:hAnsi="Arial" w:cs="Arial"/>
          <w:sz w:val="20"/>
          <w:szCs w:val="20"/>
          <w:lang w:eastAsia="hr-HR"/>
        </w:rPr>
      </w:pPr>
      <w:r w:rsidRPr="00C244E3">
        <w:rPr>
          <w:rFonts w:ascii="Times New Roman" w:eastAsia="Times New Roman" w:hAnsi="Times New Roman" w:cs="Times New Roman"/>
          <w:color w:val="000000"/>
          <w:spacing w:val="-3"/>
          <w:sz w:val="26"/>
          <w:szCs w:val="26"/>
          <w:lang w:eastAsia="hr-HR"/>
        </w:rPr>
        <w:lastRenderedPageBreak/>
        <w:t>Tablica 2: Pregled investicijske strategije operativnog programa</w:t>
      </w:r>
    </w:p>
    <w:p w:rsidR="00C244E3" w:rsidRPr="00C244E3" w:rsidRDefault="00C244E3" w:rsidP="00C244E3">
      <w:pPr>
        <w:widowControl w:val="0"/>
        <w:autoSpaceDE w:val="0"/>
        <w:autoSpaceDN w:val="0"/>
        <w:adjustRightInd w:val="0"/>
        <w:spacing w:after="101"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854"/>
        <w:gridCol w:w="874"/>
        <w:gridCol w:w="1709"/>
        <w:gridCol w:w="1075"/>
        <w:gridCol w:w="7546"/>
        <w:gridCol w:w="2986"/>
      </w:tblGrid>
      <w:tr w:rsidR="00C244E3" w:rsidRPr="00C244E3" w:rsidTr="00C244E3">
        <w:trPr>
          <w:trHeight w:hRule="exact" w:val="1546"/>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43"/>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2"/>
                <w:sz w:val="16"/>
                <w:szCs w:val="16"/>
                <w:lang w:eastAsia="hr-HR"/>
              </w:rPr>
              <w:t>Prioritetna os</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39"/>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3"/>
                <w:sz w:val="16"/>
                <w:szCs w:val="16"/>
                <w:lang w:eastAsia="hr-HR"/>
              </w:rPr>
              <w:t>Fond</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 xml:space="preserve">Potpora Unije </w:t>
            </w:r>
            <w:r w:rsidRPr="00C244E3">
              <w:rPr>
                <w:rFonts w:ascii="Times New Roman" w:eastAsia="Times New Roman" w:hAnsi="Times New Roman" w:cs="Times New Roman"/>
                <w:color w:val="000000"/>
                <w:spacing w:val="1"/>
                <w:sz w:val="16"/>
                <w:szCs w:val="16"/>
                <w:lang w:eastAsia="hr-HR"/>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19" w:right="24"/>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Udio ukupne podrške EU-a za operativni program</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62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Tematski cilj / Investicijski prioritet / Specifični cilj</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67"/>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Zajednički i specifični pokazatelji rezultata za koje je postavljen cilj</w:t>
            </w:r>
          </w:p>
        </w:tc>
      </w:tr>
      <w:tr w:rsidR="00C244E3" w:rsidRPr="00C244E3" w:rsidTr="00C244E3">
        <w:trPr>
          <w:trHeight w:hRule="exact" w:val="4339"/>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1</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664,792.165,00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9,66%</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9"/>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16"/>
                <w:szCs w:val="16"/>
                <w:lang w:eastAsia="hr-HR"/>
              </w:rPr>
              <w:t>■</w:t>
            </w:r>
            <w:r w:rsidRPr="00C244E3">
              <w:rPr>
                <w:rFonts w:ascii="Times New Roman" w:eastAsia="Times New Roman" w:hAnsi="Times New Roman" w:cs="Times New Roman"/>
                <w:color w:val="000000"/>
                <w:sz w:val="16"/>
                <w:szCs w:val="16"/>
                <w:lang w:eastAsia="hr-HR"/>
              </w:rPr>
              <w:t xml:space="preserve"> 01 - Jačanje istraživanja, tehnološkog razvoja i inovacija</w:t>
            </w:r>
          </w:p>
          <w:p w:rsidR="00C244E3" w:rsidRPr="00C244E3" w:rsidRDefault="00C244E3" w:rsidP="00C244E3">
            <w:pPr>
              <w:widowControl w:val="0"/>
              <w:shd w:val="clear" w:color="auto" w:fill="FFFFFF"/>
              <w:autoSpaceDE w:val="0"/>
              <w:autoSpaceDN w:val="0"/>
              <w:adjustRightInd w:val="0"/>
              <w:spacing w:after="0" w:line="187" w:lineRule="exact"/>
              <w:ind w:left="268" w:right="77"/>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16"/>
                <w:szCs w:val="16"/>
                <w:lang w:eastAsia="hr-HR"/>
              </w:rPr>
              <w:t>■ 1a – Poboljšanje infrastrukture i kapaciteta za istraživanje i inovacije s ciljem razvijanja uspješnosti istraživanja i inovacija te promoviranje centara za kompetencije, posebice onih od europskog interesa</w:t>
            </w:r>
          </w:p>
          <w:p w:rsidR="00C244E3" w:rsidRPr="00C244E3" w:rsidRDefault="00C244E3" w:rsidP="00C244E3">
            <w:pPr>
              <w:widowControl w:val="0"/>
              <w:shd w:val="clear" w:color="auto" w:fill="FFFFFF"/>
              <w:autoSpaceDE w:val="0"/>
              <w:autoSpaceDN w:val="0"/>
              <w:adjustRightInd w:val="0"/>
              <w:spacing w:after="0" w:line="182" w:lineRule="exact"/>
              <w:ind w:left="19" w:right="77"/>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 1 -</w:t>
            </w:r>
            <w:r w:rsidRPr="00C244E3">
              <w:rPr>
                <w:rFonts w:ascii="Arial" w:eastAsia="Times New Roman" w:hAnsi="Arial" w:cs="Arial"/>
                <w:sz w:val="20"/>
                <w:szCs w:val="20"/>
                <w:lang w:eastAsia="hr-HR"/>
              </w:rPr>
              <w:t xml:space="preserve"> </w:t>
            </w:r>
            <w:r w:rsidRPr="00C244E3">
              <w:rPr>
                <w:rFonts w:ascii="Times New Roman" w:eastAsia="Times New Roman" w:hAnsi="Times New Roman" w:cs="Times New Roman"/>
                <w:color w:val="000000"/>
                <w:spacing w:val="-2"/>
                <w:sz w:val="16"/>
                <w:szCs w:val="16"/>
                <w:lang w:eastAsia="hr-HR"/>
              </w:rPr>
              <w:t xml:space="preserve">Povećana sposobnost sektora za istraživanje, razvoj i inovacije (IRI) za provođenje istraživanja vrhunske kvalitete i suradnju na nacionalnoj i međunarodnoj razini </w:t>
            </w:r>
          </w:p>
          <w:p w:rsidR="00C244E3" w:rsidRPr="00C244E3" w:rsidRDefault="00C244E3" w:rsidP="00C244E3">
            <w:pPr>
              <w:widowControl w:val="0"/>
              <w:shd w:val="clear" w:color="auto" w:fill="FFFFFF"/>
              <w:autoSpaceDE w:val="0"/>
              <w:autoSpaceDN w:val="0"/>
              <w:adjustRightInd w:val="0"/>
              <w:spacing w:after="0" w:line="302" w:lineRule="exact"/>
              <w:ind w:left="19" w:right="77"/>
              <w:rPr>
                <w:rFonts w:ascii="Times New Roman" w:eastAsia="Times New Roman" w:hAnsi="Times New Roman" w:cs="Times New Roman"/>
                <w:color w:val="000000"/>
                <w:spacing w:val="-3"/>
                <w:sz w:val="16"/>
                <w:szCs w:val="16"/>
                <w:lang w:eastAsia="hr-HR"/>
              </w:rPr>
            </w:pPr>
            <w:r w:rsidRPr="00C244E3">
              <w:rPr>
                <w:rFonts w:ascii="Times New Roman" w:eastAsia="Times New Roman" w:hAnsi="Times New Roman" w:cs="Times New Roman"/>
                <w:color w:val="000000"/>
                <w:spacing w:val="-3"/>
                <w:sz w:val="16"/>
                <w:szCs w:val="16"/>
                <w:lang w:eastAsia="hr-HR"/>
              </w:rPr>
              <w:t xml:space="preserve">■ 2 Visokokvalitetna istraživanja Znanstvenih centara izvrsnosti </w:t>
            </w:r>
          </w:p>
          <w:p w:rsidR="00C244E3" w:rsidRPr="00C244E3" w:rsidRDefault="00C244E3" w:rsidP="00C244E3">
            <w:pPr>
              <w:widowControl w:val="0"/>
              <w:shd w:val="clear" w:color="auto" w:fill="FFFFFF"/>
              <w:autoSpaceDE w:val="0"/>
              <w:autoSpaceDN w:val="0"/>
              <w:adjustRightInd w:val="0"/>
              <w:spacing w:after="0" w:line="302" w:lineRule="exact"/>
              <w:ind w:left="19" w:right="77"/>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 3 –IRI aktivnosti znanstvenih  organizacija usmjerene na potrebe gospodarstva</w:t>
            </w:r>
            <w:r w:rsidRPr="00C244E3" w:rsidDel="00623F7D">
              <w:rPr>
                <w:rFonts w:ascii="Times New Roman" w:eastAsia="Times New Roman" w:hAnsi="Times New Roman" w:cs="Times New Roman"/>
                <w:color w:val="000000"/>
                <w:spacing w:val="-1"/>
                <w:sz w:val="16"/>
                <w:szCs w:val="16"/>
                <w:lang w:eastAsia="hr-HR"/>
              </w:rPr>
              <w:t xml:space="preserve"> </w:t>
            </w:r>
          </w:p>
          <w:p w:rsidR="00C244E3" w:rsidRPr="00C244E3" w:rsidRDefault="00C244E3" w:rsidP="00C244E3">
            <w:pPr>
              <w:widowControl w:val="0"/>
              <w:shd w:val="clear" w:color="auto" w:fill="FFFFFF"/>
              <w:autoSpaceDE w:val="0"/>
              <w:autoSpaceDN w:val="0"/>
              <w:adjustRightInd w:val="0"/>
              <w:spacing w:after="0" w:line="182" w:lineRule="exact"/>
              <w:ind w:left="268" w:right="77"/>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16"/>
                <w:szCs w:val="16"/>
                <w:lang w:eastAsia="hr-HR"/>
              </w:rPr>
              <w:t>■ 1b - 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p w:rsidR="00C244E3" w:rsidRPr="00C244E3" w:rsidRDefault="00C244E3" w:rsidP="00C244E3">
            <w:pPr>
              <w:widowControl w:val="0"/>
              <w:shd w:val="clear" w:color="auto" w:fill="FFFFFF"/>
              <w:autoSpaceDE w:val="0"/>
              <w:autoSpaceDN w:val="0"/>
              <w:adjustRightInd w:val="0"/>
              <w:spacing w:after="0" w:line="302" w:lineRule="exact"/>
              <w:ind w:left="19" w:right="77"/>
              <w:rPr>
                <w:rFonts w:ascii="Times New Roman" w:eastAsia="Times New Roman" w:hAnsi="Times New Roman" w:cs="Times New Roman"/>
                <w:color w:val="000000"/>
                <w:spacing w:val="-4"/>
                <w:sz w:val="16"/>
                <w:szCs w:val="16"/>
                <w:lang w:eastAsia="hr-HR"/>
              </w:rPr>
            </w:pPr>
            <w:r w:rsidRPr="00C244E3">
              <w:rPr>
                <w:rFonts w:ascii="Times New Roman" w:eastAsia="Times New Roman" w:hAnsi="Times New Roman" w:cs="Times New Roman"/>
                <w:color w:val="000000"/>
                <w:spacing w:val="-4"/>
                <w:sz w:val="16"/>
                <w:szCs w:val="16"/>
                <w:lang w:eastAsia="hr-HR"/>
              </w:rPr>
              <w:t>■ 1 - Jačanje djelatnosti istraživanja, razvoja i inovacija (IRI) u poduzećima</w:t>
            </w:r>
          </w:p>
          <w:p w:rsidR="00C244E3" w:rsidRPr="00C244E3" w:rsidRDefault="00C244E3" w:rsidP="00C244E3">
            <w:pPr>
              <w:widowControl w:val="0"/>
              <w:shd w:val="clear" w:color="auto" w:fill="FFFFFF"/>
              <w:autoSpaceDE w:val="0"/>
              <w:autoSpaceDN w:val="0"/>
              <w:adjustRightInd w:val="0"/>
              <w:spacing w:after="0" w:line="302" w:lineRule="exact"/>
              <w:ind w:left="19" w:right="77"/>
              <w:rPr>
                <w:rFonts w:ascii="Times New Roman" w:eastAsia="Times New Roman" w:hAnsi="Times New Roman" w:cs="Times New Roman"/>
                <w:color w:val="000000"/>
                <w:spacing w:val="-2"/>
                <w:sz w:val="16"/>
                <w:szCs w:val="16"/>
                <w:lang w:eastAsia="hr-HR"/>
              </w:rPr>
            </w:pPr>
            <w:r w:rsidRPr="00C244E3">
              <w:rPr>
                <w:rFonts w:ascii="Times New Roman" w:eastAsia="Times New Roman" w:hAnsi="Times New Roman" w:cs="Times New Roman"/>
                <w:color w:val="000000"/>
                <w:spacing w:val="-2"/>
                <w:sz w:val="16"/>
                <w:szCs w:val="16"/>
                <w:lang w:eastAsia="hr-HR"/>
              </w:rPr>
              <w:t>■ 2 - Jačanje djelatnosti istraživanja i razvoja (IR) poslovnog sektora kroz stvaranje povoljnog inovacijskog okruženja</w:t>
            </w:r>
          </w:p>
          <w:p w:rsidR="00C244E3" w:rsidRPr="00C244E3" w:rsidRDefault="00C244E3" w:rsidP="00C244E3">
            <w:pPr>
              <w:widowControl w:val="0"/>
              <w:shd w:val="clear" w:color="auto" w:fill="FFFFFF"/>
              <w:autoSpaceDE w:val="0"/>
              <w:autoSpaceDN w:val="0"/>
              <w:adjustRightInd w:val="0"/>
              <w:spacing w:after="0" w:line="302" w:lineRule="exact"/>
              <w:ind w:left="551" w:right="77"/>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 3 - Uvedene društveno-korisne promjene koje poboljšavaju životne uvjete zajednice</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C244E3">
              <w:rPr>
                <w:rFonts w:ascii="Times New Roman" w:eastAsia="Times New Roman" w:hAnsi="Times New Roman" w:cs="Times New Roman"/>
                <w:color w:val="000000"/>
                <w:spacing w:val="1"/>
                <w:sz w:val="18"/>
                <w:szCs w:val="18"/>
                <w:lang w:eastAsia="hr-HR"/>
              </w:rPr>
              <w:t>[1a11, 1a21, 1a31, 1b11, 1b31]</w:t>
            </w:r>
          </w:p>
        </w:tc>
      </w:tr>
      <w:tr w:rsidR="00C244E3" w:rsidRPr="00C244E3" w:rsidTr="00C244E3">
        <w:trPr>
          <w:trHeight w:hRule="exact" w:val="2218"/>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318,952.676,00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4,64%</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 xml:space="preserve">■ 02 - Poboljšanje dostupnosti, korištenja i kvalitete informacijskih i komunikacijskih tehnologija </w:t>
            </w:r>
          </w:p>
          <w:p w:rsidR="00C244E3" w:rsidRPr="00C244E3" w:rsidRDefault="00C244E3" w:rsidP="00C244E3">
            <w:pPr>
              <w:widowControl w:val="0"/>
              <w:shd w:val="clear" w:color="auto" w:fill="FFFFFF"/>
              <w:autoSpaceDE w:val="0"/>
              <w:autoSpaceDN w:val="0"/>
              <w:adjustRightInd w:val="0"/>
              <w:spacing w:after="0" w:line="182" w:lineRule="exact"/>
              <w:ind w:left="268" w:right="163"/>
              <w:rPr>
                <w:rFonts w:ascii="Times New Roman" w:eastAsia="Times New Roman" w:hAnsi="Times New Roman" w:cs="Times New Roman"/>
                <w:color w:val="000000"/>
                <w:spacing w:val="-2"/>
                <w:sz w:val="16"/>
                <w:szCs w:val="16"/>
                <w:lang w:eastAsia="hr-HR"/>
              </w:rPr>
            </w:pPr>
            <w:r w:rsidRPr="00C244E3">
              <w:rPr>
                <w:rFonts w:ascii="Times New Roman" w:eastAsia="Times New Roman" w:hAnsi="Times New Roman" w:cs="Times New Roman"/>
                <w:color w:val="000000"/>
                <w:spacing w:val="-2"/>
                <w:sz w:val="16"/>
                <w:szCs w:val="16"/>
                <w:lang w:eastAsia="hr-HR"/>
              </w:rPr>
              <w:t>■ 2a - Daljnji razvoj širokopojasnog pristupa i iskorak prema mrežama velikih brzina i podrška prihvaćanju novih tehnologija i mreža za digitalno gospodarstvo</w:t>
            </w:r>
          </w:p>
          <w:p w:rsidR="00C244E3" w:rsidRPr="00C244E3" w:rsidRDefault="00C244E3" w:rsidP="00C244E3">
            <w:pPr>
              <w:widowControl w:val="0"/>
              <w:shd w:val="clear" w:color="auto" w:fill="FFFFFF"/>
              <w:autoSpaceDE w:val="0"/>
              <w:autoSpaceDN w:val="0"/>
              <w:adjustRightInd w:val="0"/>
              <w:spacing w:after="0" w:line="240" w:lineRule="auto"/>
              <w:ind w:left="268"/>
              <w:rPr>
                <w:rFonts w:ascii="Times New Roman" w:eastAsia="Times New Roman" w:hAnsi="Times New Roman" w:cs="Times New Roman"/>
                <w:color w:val="000000"/>
                <w:spacing w:val="-2"/>
                <w:sz w:val="16"/>
                <w:szCs w:val="16"/>
                <w:lang w:eastAsia="hr-HR"/>
              </w:rPr>
            </w:pPr>
            <w:r w:rsidRPr="00C244E3">
              <w:rPr>
                <w:rFonts w:ascii="Times New Roman" w:eastAsia="Times New Roman" w:hAnsi="Times New Roman" w:cs="Times New Roman"/>
                <w:color w:val="000000"/>
                <w:spacing w:val="-2"/>
                <w:sz w:val="16"/>
                <w:szCs w:val="16"/>
                <w:lang w:eastAsia="hr-HR"/>
              </w:rPr>
              <w:t xml:space="preserve">       ■ 1 - Razvoj širokopojasne infrastrukture mreža slijedeće generacije (NGN) za maksimalno povećanje socijalne i gospodarske koristi</w:t>
            </w:r>
          </w:p>
          <w:p w:rsidR="00C244E3" w:rsidRDefault="00055062" w:rsidP="00C244E3">
            <w:pPr>
              <w:widowControl w:val="0"/>
              <w:shd w:val="clear" w:color="auto" w:fill="FFFFFF"/>
              <w:autoSpaceDE w:val="0"/>
              <w:autoSpaceDN w:val="0"/>
              <w:adjustRightInd w:val="0"/>
              <w:spacing w:after="0" w:line="240" w:lineRule="auto"/>
              <w:ind w:left="268"/>
              <w:rPr>
                <w:rFonts w:ascii="Times New Roman" w:eastAsia="Times New Roman" w:hAnsi="Times New Roman" w:cs="Times New Roman"/>
                <w:color w:val="000000"/>
                <w:spacing w:val="-2"/>
                <w:sz w:val="16"/>
                <w:szCs w:val="16"/>
                <w:lang w:eastAsia="hr-HR"/>
              </w:rPr>
            </w:pPr>
            <w:r>
              <w:rPr>
                <w:rFonts w:ascii="Times New Roman" w:eastAsia="Times New Roman" w:hAnsi="Times New Roman" w:cs="Times New Roman"/>
                <w:color w:val="000000"/>
                <w:spacing w:val="-2"/>
                <w:sz w:val="16"/>
                <w:szCs w:val="16"/>
                <w:lang w:eastAsia="hr-HR"/>
              </w:rPr>
              <w:t>■ 2</w:t>
            </w:r>
            <w:r w:rsidR="00C244E3" w:rsidRPr="00C244E3">
              <w:rPr>
                <w:rFonts w:ascii="Times New Roman" w:eastAsia="Times New Roman" w:hAnsi="Times New Roman" w:cs="Times New Roman"/>
                <w:color w:val="000000"/>
                <w:spacing w:val="-2"/>
                <w:sz w:val="16"/>
                <w:szCs w:val="16"/>
                <w:lang w:eastAsia="hr-HR"/>
              </w:rPr>
              <w:t>c - Jačanje aplikacija informacijskih i komunikacijskih tehnologija za e-vladu, e-učenje, e-uključenost, e-kulturu i e-zdravlje</w:t>
            </w:r>
          </w:p>
          <w:p w:rsidR="00055062" w:rsidRDefault="00055062" w:rsidP="00C244E3">
            <w:pPr>
              <w:widowControl w:val="0"/>
              <w:shd w:val="clear" w:color="auto" w:fill="FFFFFF"/>
              <w:autoSpaceDE w:val="0"/>
              <w:autoSpaceDN w:val="0"/>
              <w:adjustRightInd w:val="0"/>
              <w:spacing w:after="0" w:line="240" w:lineRule="auto"/>
              <w:ind w:left="268"/>
              <w:rPr>
                <w:rFonts w:ascii="Times New Roman" w:eastAsia="Times New Roman" w:hAnsi="Times New Roman" w:cs="Times New Roman"/>
                <w:color w:val="000000"/>
                <w:spacing w:val="-2"/>
                <w:sz w:val="16"/>
                <w:szCs w:val="16"/>
                <w:lang w:eastAsia="hr-HR"/>
              </w:rPr>
            </w:pPr>
            <w:r>
              <w:rPr>
                <w:rFonts w:ascii="Times New Roman" w:eastAsia="Times New Roman" w:hAnsi="Times New Roman" w:cs="Times New Roman"/>
                <w:color w:val="000000"/>
                <w:spacing w:val="-2"/>
                <w:sz w:val="16"/>
                <w:szCs w:val="16"/>
                <w:lang w:eastAsia="hr-HR"/>
              </w:rPr>
              <w:t xml:space="preserve">       </w:t>
            </w:r>
            <w:r w:rsidRPr="00C244E3">
              <w:rPr>
                <w:rFonts w:ascii="Times New Roman" w:eastAsia="Times New Roman" w:hAnsi="Times New Roman" w:cs="Times New Roman"/>
                <w:color w:val="000000"/>
                <w:spacing w:val="-2"/>
                <w:sz w:val="16"/>
                <w:szCs w:val="16"/>
                <w:lang w:eastAsia="hr-HR"/>
              </w:rPr>
              <w:t xml:space="preserve">■ 1 </w:t>
            </w:r>
            <w:r>
              <w:rPr>
                <w:rFonts w:ascii="Times New Roman" w:eastAsia="Times New Roman" w:hAnsi="Times New Roman" w:cs="Times New Roman"/>
                <w:color w:val="000000"/>
                <w:spacing w:val="-2"/>
                <w:sz w:val="16"/>
                <w:szCs w:val="16"/>
                <w:lang w:eastAsia="hr-HR"/>
              </w:rPr>
              <w:t>–</w:t>
            </w:r>
            <w:r w:rsidRPr="00C244E3">
              <w:rPr>
                <w:rFonts w:ascii="Times New Roman" w:eastAsia="Times New Roman" w:hAnsi="Times New Roman" w:cs="Times New Roman"/>
                <w:color w:val="000000"/>
                <w:spacing w:val="-2"/>
                <w:sz w:val="16"/>
                <w:szCs w:val="16"/>
                <w:lang w:eastAsia="hr-HR"/>
              </w:rPr>
              <w:t xml:space="preserve"> </w:t>
            </w:r>
            <w:r>
              <w:rPr>
                <w:rFonts w:ascii="Times New Roman" w:eastAsia="Times New Roman" w:hAnsi="Times New Roman" w:cs="Times New Roman"/>
                <w:color w:val="000000"/>
                <w:spacing w:val="-2"/>
                <w:sz w:val="16"/>
                <w:szCs w:val="16"/>
                <w:lang w:eastAsia="hr-HR"/>
              </w:rPr>
              <w:t xml:space="preserve">Povećanje </w:t>
            </w:r>
            <w:r w:rsidR="00A8426C">
              <w:rPr>
                <w:rFonts w:ascii="Times New Roman" w:eastAsia="Times New Roman" w:hAnsi="Times New Roman" w:cs="Times New Roman"/>
                <w:color w:val="000000"/>
                <w:spacing w:val="-2"/>
                <w:sz w:val="16"/>
                <w:szCs w:val="16"/>
                <w:lang w:eastAsia="hr-HR"/>
              </w:rPr>
              <w:t>korištenja</w:t>
            </w:r>
            <w:r>
              <w:rPr>
                <w:rFonts w:ascii="Times New Roman" w:eastAsia="Times New Roman" w:hAnsi="Times New Roman" w:cs="Times New Roman"/>
                <w:color w:val="000000"/>
                <w:spacing w:val="-2"/>
                <w:sz w:val="16"/>
                <w:szCs w:val="16"/>
                <w:lang w:eastAsia="hr-HR"/>
              </w:rPr>
              <w:t xml:space="preserve"> IKT-a u komunikaciji izme</w:t>
            </w:r>
            <w:r w:rsidR="00A8426C">
              <w:rPr>
                <w:rFonts w:ascii="Times New Roman" w:eastAsia="Times New Roman" w:hAnsi="Times New Roman" w:cs="Times New Roman"/>
                <w:color w:val="000000"/>
                <w:spacing w:val="-2"/>
                <w:sz w:val="16"/>
                <w:szCs w:val="16"/>
                <w:lang w:eastAsia="hr-HR"/>
              </w:rPr>
              <w:t>đu gađana i javne uprave putem uspostave IKT koordinacijske strukture i softverskih rješenja</w:t>
            </w:r>
          </w:p>
          <w:p w:rsidR="00055062" w:rsidRPr="00C244E3" w:rsidRDefault="00055062" w:rsidP="00C244E3">
            <w:pPr>
              <w:widowControl w:val="0"/>
              <w:shd w:val="clear" w:color="auto" w:fill="FFFFFF"/>
              <w:autoSpaceDE w:val="0"/>
              <w:autoSpaceDN w:val="0"/>
              <w:adjustRightInd w:val="0"/>
              <w:spacing w:after="0" w:line="240" w:lineRule="auto"/>
              <w:ind w:left="268"/>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182" w:lineRule="exact"/>
              <w:ind w:left="551" w:right="163"/>
              <w:rPr>
                <w:rFonts w:ascii="Arial" w:eastAsia="Times New Roman" w:hAnsi="Arial" w:cs="Arial"/>
                <w:sz w:val="20"/>
                <w:szCs w:val="20"/>
                <w:lang w:eastAsia="hr-HR"/>
              </w:rPr>
            </w:pP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C244E3">
              <w:rPr>
                <w:rFonts w:ascii="Times New Roman" w:eastAsia="Times New Roman" w:hAnsi="Times New Roman" w:cs="Times New Roman"/>
                <w:color w:val="000000"/>
                <w:sz w:val="18"/>
                <w:szCs w:val="18"/>
                <w:lang w:eastAsia="hr-HR"/>
              </w:rPr>
              <w:t>[2c11, 2c12, 2a11]</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6834" w:h="11909" w:orient="landscape"/>
          <w:pgMar w:top="1164" w:right="541" w:bottom="360" w:left="54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C244E3" w:rsidRPr="00C244E3">
          <w:type w:val="continuous"/>
          <w:pgSz w:w="16834" w:h="11909" w:orient="landscape"/>
          <w:pgMar w:top="1164" w:right="541" w:bottom="360" w:left="540" w:header="720" w:footer="720" w:gutter="0"/>
          <w:cols w:num="3" w:space="720" w:equalWidth="0">
            <w:col w:w="720" w:space="6989"/>
            <w:col w:w="720" w:space="6605"/>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874"/>
        <w:gridCol w:w="1709"/>
        <w:gridCol w:w="1075"/>
        <w:gridCol w:w="7546"/>
        <w:gridCol w:w="2986"/>
      </w:tblGrid>
      <w:tr w:rsidR="00C244E3" w:rsidRPr="00C244E3" w:rsidTr="00C244E3">
        <w:trPr>
          <w:trHeight w:hRule="exact" w:val="154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43"/>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2"/>
                <w:sz w:val="16"/>
                <w:szCs w:val="16"/>
                <w:lang w:eastAsia="hr-HR"/>
              </w:rPr>
              <w:lastRenderedPageBreak/>
              <w:t>Prioritetna os</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39"/>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3"/>
                <w:sz w:val="16"/>
                <w:szCs w:val="16"/>
                <w:lang w:eastAsia="hr-HR"/>
              </w:rPr>
              <w:t>Fond</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 xml:space="preserve">Potpora Unije </w:t>
            </w:r>
            <w:r w:rsidRPr="00C244E3">
              <w:rPr>
                <w:rFonts w:ascii="Times New Roman" w:eastAsia="Times New Roman" w:hAnsi="Times New Roman" w:cs="Times New Roman"/>
                <w:color w:val="000000"/>
                <w:spacing w:val="1"/>
                <w:sz w:val="16"/>
                <w:szCs w:val="16"/>
                <w:lang w:eastAsia="hr-HR"/>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19" w:right="24"/>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Udio ukupne podrške EU-a za operativni program</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62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Tematski cilj / Investicijski prioritet / Specifični cilj</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67"/>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Zajednički i specifični pokazatelji rezultata za koje je postavljen cilj</w:t>
            </w:r>
          </w:p>
        </w:tc>
      </w:tr>
      <w:tr w:rsidR="00C244E3" w:rsidRPr="00C244E3" w:rsidTr="00C244E3">
        <w:trPr>
          <w:trHeight w:hRule="exact" w:val="281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970,000.000,00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379"/>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14,10%</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C244E3">
              <w:rPr>
                <w:rFonts w:ascii="Times New Roman" w:eastAsia="Times New Roman" w:hAnsi="Times New Roman" w:cs="Times New Roman"/>
                <w:spacing w:val="-2"/>
                <w:sz w:val="16"/>
                <w:szCs w:val="16"/>
                <w:lang w:eastAsia="hr-HR"/>
              </w:rPr>
              <w:t>■</w:t>
            </w:r>
            <w:r w:rsidRPr="00C244E3">
              <w:rPr>
                <w:rFonts w:ascii="Times New Roman" w:eastAsia="Times New Roman" w:hAnsi="Times New Roman" w:cs="Times New Roman"/>
                <w:sz w:val="16"/>
                <w:szCs w:val="16"/>
                <w:lang w:eastAsia="hr-HR"/>
              </w:rPr>
              <w:t xml:space="preserve"> 03 - Poboljšanje konkurentnosti malih i srednjih poduzeća, poljoprivrednog sektora (za EPFRR) i sektora za ribarstvo i akvakulturu (za EFPR)</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2"/>
                <w:sz w:val="16"/>
                <w:szCs w:val="16"/>
                <w:lang w:eastAsia="hr-HR"/>
              </w:rPr>
            </w:pPr>
            <w:r w:rsidRPr="00C244E3">
              <w:rPr>
                <w:rFonts w:ascii="Times New Roman" w:eastAsia="Times New Roman" w:hAnsi="Times New Roman" w:cs="Times New Roman"/>
                <w:spacing w:val="-2"/>
                <w:sz w:val="16"/>
                <w:szCs w:val="16"/>
                <w:lang w:eastAsia="hr-HR"/>
              </w:rPr>
              <w:t>■ 3a – Promicanje poduzetništva, posebno olakšavajući ekonomsko iskorištavanje novih ideja i poticanje stvaranja novih poduzeća, uključujući putem poslovnih inkubatora</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3"/>
                <w:sz w:val="16"/>
                <w:szCs w:val="16"/>
                <w:lang w:eastAsia="hr-HR"/>
              </w:rPr>
            </w:pPr>
            <w:r w:rsidRPr="00C244E3">
              <w:rPr>
                <w:rFonts w:ascii="Times New Roman" w:eastAsia="Times New Roman" w:hAnsi="Times New Roman" w:cs="Times New Roman"/>
                <w:spacing w:val="-3"/>
                <w:sz w:val="16"/>
                <w:szCs w:val="16"/>
                <w:lang w:eastAsia="hr-HR"/>
              </w:rPr>
              <w:t>■ 3a1 - Olakšanje pristupa izvorima financiranja za male i srednje velike poduzetnike (MSP) uključujući i novonastale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3"/>
                <w:sz w:val="16"/>
                <w:szCs w:val="16"/>
                <w:lang w:eastAsia="hr-HR"/>
              </w:rPr>
            </w:pPr>
            <w:r w:rsidRPr="00C244E3">
              <w:rPr>
                <w:rFonts w:ascii="Times New Roman" w:eastAsia="Times New Roman" w:hAnsi="Times New Roman" w:cs="Times New Roman"/>
                <w:spacing w:val="-3"/>
                <w:sz w:val="16"/>
                <w:szCs w:val="16"/>
                <w:lang w:eastAsia="hr-HR"/>
              </w:rPr>
              <w:t>■ 3a2 - Povoljno okruženje za razvoj poduzetništva</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2"/>
                <w:sz w:val="16"/>
                <w:szCs w:val="16"/>
                <w:lang w:eastAsia="hr-HR"/>
              </w:rPr>
            </w:pPr>
            <w:r w:rsidRPr="00C244E3">
              <w:rPr>
                <w:rFonts w:ascii="Times New Roman" w:eastAsia="Times New Roman" w:hAnsi="Times New Roman" w:cs="Times New Roman"/>
                <w:spacing w:val="-2"/>
                <w:sz w:val="16"/>
                <w:szCs w:val="16"/>
                <w:lang w:eastAsia="hr-HR"/>
              </w:rPr>
              <w:t>■ 3d - Podupiranje kapaciteta MSP-ova za rast i inovacijske procese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2"/>
                <w:sz w:val="16"/>
                <w:szCs w:val="16"/>
                <w:lang w:eastAsia="hr-HR"/>
              </w:rPr>
            </w:pPr>
            <w:r w:rsidRPr="00C244E3">
              <w:rPr>
                <w:rFonts w:ascii="Times New Roman" w:eastAsia="Times New Roman" w:hAnsi="Times New Roman" w:cs="Times New Roman"/>
                <w:spacing w:val="-2"/>
                <w:sz w:val="16"/>
                <w:szCs w:val="16"/>
                <w:lang w:eastAsia="hr-HR"/>
              </w:rPr>
              <w:t xml:space="preserve">■ 3d1 - Unapređenje rezultata i rasta MSP-ova </w:t>
            </w:r>
          </w:p>
          <w:p w:rsidR="00C244E3" w:rsidRPr="00C244E3" w:rsidRDefault="00C244E3" w:rsidP="00C244E3">
            <w:pPr>
              <w:widowControl w:val="0"/>
              <w:autoSpaceDE w:val="0"/>
              <w:autoSpaceDN w:val="0"/>
              <w:adjustRightInd w:val="0"/>
              <w:spacing w:after="0" w:line="240" w:lineRule="auto"/>
              <w:ind w:left="400"/>
              <w:rPr>
                <w:rFonts w:ascii="Arial" w:eastAsia="Times New Roman" w:hAnsi="Arial" w:cs="Arial"/>
                <w:sz w:val="20"/>
                <w:szCs w:val="20"/>
                <w:lang w:eastAsia="hr-HR"/>
              </w:rPr>
            </w:pPr>
            <w:r w:rsidRPr="00C244E3">
              <w:rPr>
                <w:rFonts w:ascii="Times New Roman" w:eastAsia="Times New Roman" w:hAnsi="Times New Roman" w:cs="Times New Roman"/>
                <w:spacing w:val="-4"/>
                <w:sz w:val="16"/>
                <w:szCs w:val="16"/>
                <w:lang w:eastAsia="hr-HR"/>
              </w:rPr>
              <w:t>■ 3d2 - Poboljšanje inovativnosti MSP-ova</w:t>
            </w:r>
            <w:r w:rsidRPr="00C244E3" w:rsidDel="009F0ED0">
              <w:rPr>
                <w:rFonts w:ascii="Times New Roman" w:eastAsia="Times New Roman" w:hAnsi="Times New Roman" w:cs="Times New Roman"/>
                <w:spacing w:val="-2"/>
                <w:sz w:val="16"/>
                <w:szCs w:val="16"/>
                <w:lang w:eastAsia="hr-HR"/>
              </w:rPr>
              <w:t xml:space="preserve"> </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C244E3">
              <w:rPr>
                <w:rFonts w:ascii="Times New Roman" w:eastAsia="Times New Roman" w:hAnsi="Times New Roman" w:cs="Times New Roman"/>
                <w:color w:val="000000"/>
                <w:spacing w:val="4"/>
                <w:sz w:val="16"/>
                <w:szCs w:val="16"/>
                <w:lang w:eastAsia="hr-HR"/>
              </w:rPr>
              <w:t>[3a11, 3a21, 3d11, 3d21]</w:t>
            </w:r>
          </w:p>
        </w:tc>
      </w:tr>
      <w:tr w:rsidR="00C244E3" w:rsidRPr="00C244E3" w:rsidTr="00C244E3">
        <w:trPr>
          <w:trHeight w:hRule="exact" w:val="3850"/>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90"/>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531,810.805,00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7,73%</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ind w:left="116"/>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color w:val="000000"/>
                <w:spacing w:val="-3"/>
                <w:sz w:val="16"/>
                <w:szCs w:val="16"/>
                <w:lang w:eastAsia="hr-HR"/>
              </w:rPr>
              <w:t xml:space="preserve">■ </w:t>
            </w:r>
            <w:r w:rsidRPr="00C244E3">
              <w:rPr>
                <w:rFonts w:ascii="Times New Roman" w:eastAsia="Times New Roman" w:hAnsi="Times New Roman" w:cs="Times New Roman"/>
                <w:spacing w:val="-4"/>
                <w:sz w:val="16"/>
                <w:szCs w:val="16"/>
                <w:lang w:eastAsia="hr-HR"/>
              </w:rPr>
              <w:t xml:space="preserve">04 - Podržavanje prelaska na niskougljično gospodarstvo u svim sektorima </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4b - Promicanje energetske učinkovitosti i korištenja obnovljivih izvora energije u poduzećima </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4b 1 - Povećanje energetske učinkovitosti i korištenje obnovljivih izvora energije u proizvodnim</w:t>
            </w:r>
            <w:r w:rsidR="00A8426C">
              <w:rPr>
                <w:rFonts w:ascii="Times New Roman" w:eastAsia="Times New Roman" w:hAnsi="Times New Roman" w:cs="Times New Roman"/>
                <w:spacing w:val="-4"/>
                <w:sz w:val="16"/>
                <w:szCs w:val="16"/>
                <w:lang w:eastAsia="hr-HR"/>
              </w:rPr>
              <w:t>/prerađivačkim</w:t>
            </w:r>
            <w:r w:rsidRPr="00C244E3">
              <w:rPr>
                <w:rFonts w:ascii="Times New Roman" w:eastAsia="Times New Roman" w:hAnsi="Times New Roman" w:cs="Times New Roman"/>
                <w:spacing w:val="-4"/>
                <w:sz w:val="16"/>
                <w:szCs w:val="16"/>
                <w:lang w:eastAsia="hr-HR"/>
              </w:rPr>
              <w:t xml:space="preserve"> industrijama</w:t>
            </w:r>
          </w:p>
          <w:p w:rsidR="00C244E3" w:rsidRPr="00C244E3" w:rsidRDefault="00A8426C"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Pr>
                <w:rFonts w:ascii="Times New Roman" w:eastAsia="Times New Roman" w:hAnsi="Times New Roman" w:cs="Times New Roman"/>
                <w:spacing w:val="-4"/>
                <w:sz w:val="16"/>
                <w:szCs w:val="16"/>
                <w:lang w:eastAsia="hr-HR"/>
              </w:rPr>
              <w:t>■ 4b2 - P</w:t>
            </w:r>
            <w:r w:rsidR="00C244E3" w:rsidRPr="00C244E3">
              <w:rPr>
                <w:rFonts w:ascii="Times New Roman" w:eastAsia="Times New Roman" w:hAnsi="Times New Roman" w:cs="Times New Roman"/>
                <w:spacing w:val="-4"/>
                <w:sz w:val="16"/>
                <w:szCs w:val="16"/>
                <w:lang w:eastAsia="hr-HR"/>
              </w:rPr>
              <w:t>ovećanje energetske učinkovitosti i korištenje obnovljivih izvora energije u priva</w:t>
            </w:r>
            <w:r>
              <w:rPr>
                <w:rFonts w:ascii="Times New Roman" w:eastAsia="Times New Roman" w:hAnsi="Times New Roman" w:cs="Times New Roman"/>
                <w:spacing w:val="-4"/>
                <w:sz w:val="16"/>
                <w:szCs w:val="16"/>
                <w:lang w:eastAsia="hr-HR"/>
              </w:rPr>
              <w:t>tnom uslužnom sektoru (turizam,</w:t>
            </w:r>
            <w:r w:rsidR="00C244E3" w:rsidRPr="00C244E3">
              <w:rPr>
                <w:rFonts w:ascii="Times New Roman" w:eastAsia="Times New Roman" w:hAnsi="Times New Roman" w:cs="Times New Roman"/>
                <w:spacing w:val="-4"/>
                <w:sz w:val="16"/>
                <w:szCs w:val="16"/>
                <w:lang w:eastAsia="hr-HR"/>
              </w:rPr>
              <w:t xml:space="preserve"> trgovina)</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4c - Podupiranje energetske učin</w:t>
            </w:r>
            <w:r w:rsidR="00A8426C">
              <w:rPr>
                <w:rFonts w:ascii="Times New Roman" w:eastAsia="Times New Roman" w:hAnsi="Times New Roman" w:cs="Times New Roman"/>
                <w:spacing w:val="-4"/>
                <w:sz w:val="16"/>
                <w:szCs w:val="16"/>
                <w:lang w:eastAsia="hr-HR"/>
              </w:rPr>
              <w:t>kovitosti, pametnog upravljanja</w:t>
            </w:r>
            <w:r w:rsidRPr="00C244E3">
              <w:rPr>
                <w:rFonts w:ascii="Times New Roman" w:eastAsia="Times New Roman" w:hAnsi="Times New Roman" w:cs="Times New Roman"/>
                <w:spacing w:val="-4"/>
                <w:sz w:val="16"/>
                <w:szCs w:val="16"/>
                <w:lang w:eastAsia="hr-HR"/>
              </w:rPr>
              <w:t xml:space="preserve"> energijom i korištenja obnovljivih izvora energije u javnoj infrastrukturi, uključujući javne zgrade, i u stambenom sektor</w:t>
            </w:r>
            <w:r w:rsidR="00A8426C">
              <w:rPr>
                <w:rFonts w:ascii="Times New Roman" w:eastAsia="Times New Roman" w:hAnsi="Times New Roman" w:cs="Times New Roman"/>
                <w:spacing w:val="-4"/>
                <w:sz w:val="16"/>
                <w:szCs w:val="16"/>
                <w:lang w:eastAsia="hr-HR"/>
              </w:rPr>
              <w:t>u</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4c 1 - Smanjenje potrošnje energije u zgradama javnog sektora</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4c2 - Smanjenje potrošnje energije u stambenim zgradama (</w:t>
            </w:r>
            <w:r w:rsidR="00A8426C">
              <w:rPr>
                <w:rFonts w:ascii="Times New Roman" w:eastAsia="Times New Roman" w:hAnsi="Times New Roman" w:cs="Times New Roman"/>
                <w:spacing w:val="-4"/>
                <w:sz w:val="16"/>
                <w:szCs w:val="16"/>
                <w:lang w:eastAsia="hr-HR"/>
              </w:rPr>
              <w:t>u višestambenim zgradama i  obiteljskim kućama</w:t>
            </w:r>
            <w:r w:rsidRPr="00C244E3">
              <w:rPr>
                <w:rFonts w:ascii="Times New Roman" w:eastAsia="Times New Roman" w:hAnsi="Times New Roman" w:cs="Times New Roman"/>
                <w:spacing w:val="-4"/>
                <w:sz w:val="16"/>
                <w:szCs w:val="16"/>
                <w:lang w:eastAsia="hr-HR"/>
              </w:rPr>
              <w:t>)</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4c3 - Poboljšanje učinkovitosti sustava toplinarstva </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4c4 - Poboljšanje učinkovitosti javne rasvjete </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4d - Razvoj i provedba pametnih sustava distribucije koji djeluju pri niskim i srednjim razinama napona</w:t>
            </w:r>
          </w:p>
          <w:p w:rsidR="00C244E3" w:rsidRPr="00C244E3" w:rsidRDefault="00A8426C" w:rsidP="00C244E3">
            <w:pPr>
              <w:widowControl w:val="0"/>
              <w:autoSpaceDE w:val="0"/>
              <w:autoSpaceDN w:val="0"/>
              <w:adjustRightInd w:val="0"/>
              <w:spacing w:after="0" w:line="240" w:lineRule="auto"/>
              <w:ind w:left="400"/>
              <w:rPr>
                <w:rFonts w:ascii="Arial" w:eastAsia="Times New Roman" w:hAnsi="Arial" w:cs="Arial"/>
                <w:sz w:val="20"/>
                <w:szCs w:val="20"/>
                <w:lang w:eastAsia="hr-HR"/>
              </w:rPr>
            </w:pPr>
            <w:r>
              <w:rPr>
                <w:rFonts w:ascii="Times New Roman" w:eastAsia="Times New Roman" w:hAnsi="Times New Roman" w:cs="Times New Roman"/>
                <w:spacing w:val="-4"/>
                <w:sz w:val="16"/>
                <w:szCs w:val="16"/>
                <w:lang w:eastAsia="hr-HR"/>
              </w:rPr>
              <w:t>■ 4d1 - Uvođenje pametnih mreža na</w:t>
            </w:r>
            <w:r w:rsidR="00C244E3" w:rsidRPr="00C244E3">
              <w:rPr>
                <w:rFonts w:ascii="Times New Roman" w:eastAsia="Times New Roman" w:hAnsi="Times New Roman" w:cs="Times New Roman"/>
                <w:spacing w:val="-4"/>
                <w:sz w:val="16"/>
                <w:szCs w:val="16"/>
                <w:lang w:eastAsia="hr-HR"/>
              </w:rPr>
              <w:t xml:space="preserve"> pilot područjima</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right="398"/>
              <w:rPr>
                <w:rFonts w:ascii="Arial" w:eastAsia="Times New Roman" w:hAnsi="Arial" w:cs="Arial"/>
                <w:sz w:val="20"/>
                <w:szCs w:val="20"/>
                <w:lang w:eastAsia="hr-HR"/>
              </w:rPr>
            </w:pPr>
            <w:r w:rsidRPr="00C244E3">
              <w:rPr>
                <w:rFonts w:ascii="Times New Roman" w:eastAsia="Times New Roman" w:hAnsi="Times New Roman" w:cs="Times New Roman"/>
                <w:color w:val="000000"/>
                <w:spacing w:val="3"/>
                <w:sz w:val="16"/>
                <w:szCs w:val="16"/>
                <w:lang w:eastAsia="hr-HR"/>
              </w:rPr>
              <w:t>[4d11, 4c11, 4c21, 4c31, 4c41, 4b12, 4b11, 4b22, 4b21]</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6834" w:h="11909" w:orient="landscape"/>
          <w:pgMar w:top="1171" w:right="541" w:bottom="360" w:left="54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C244E3" w:rsidRPr="00C244E3">
          <w:type w:val="continuous"/>
          <w:pgSz w:w="16834" w:h="11909" w:orient="landscape"/>
          <w:pgMar w:top="1171" w:right="541" w:bottom="360" w:left="540" w:header="720" w:footer="720" w:gutter="0"/>
          <w:cols w:num="3" w:space="720" w:equalWidth="0">
            <w:col w:w="720" w:space="6989"/>
            <w:col w:w="720" w:space="6605"/>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874"/>
        <w:gridCol w:w="1709"/>
        <w:gridCol w:w="1075"/>
        <w:gridCol w:w="7546"/>
        <w:gridCol w:w="2986"/>
      </w:tblGrid>
      <w:tr w:rsidR="00C244E3" w:rsidRPr="00C244E3" w:rsidTr="00C244E3">
        <w:trPr>
          <w:trHeight w:hRule="exact" w:val="154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43"/>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2"/>
                <w:sz w:val="16"/>
                <w:szCs w:val="16"/>
                <w:lang w:eastAsia="hr-HR"/>
              </w:rPr>
              <w:lastRenderedPageBreak/>
              <w:t>Prioritetna os</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39"/>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3"/>
                <w:sz w:val="16"/>
                <w:szCs w:val="16"/>
                <w:lang w:eastAsia="hr-HR"/>
              </w:rPr>
              <w:t>Fond</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 xml:space="preserve">Potpora Unije </w:t>
            </w:r>
            <w:r w:rsidRPr="00C244E3">
              <w:rPr>
                <w:rFonts w:ascii="Times New Roman" w:eastAsia="Times New Roman" w:hAnsi="Times New Roman" w:cs="Times New Roman"/>
                <w:color w:val="000000"/>
                <w:spacing w:val="1"/>
                <w:sz w:val="16"/>
                <w:szCs w:val="16"/>
                <w:lang w:eastAsia="hr-HR"/>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19" w:right="24"/>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Udio ukupne podrške EU-a za operativni program</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62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Tematski cilj / Investicijski prioritet / Specifični cilj</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67"/>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Zajednički i specifični pokazatelji rezultata za koje je postavljen cilj</w:t>
            </w:r>
          </w:p>
        </w:tc>
      </w:tr>
      <w:tr w:rsidR="00C244E3" w:rsidRPr="00C244E3" w:rsidTr="00C244E3">
        <w:trPr>
          <w:trHeight w:hRule="exact" w:val="201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245,396.147,00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3,57%</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05 - Promicanje prilagodbe na klimatske promjene, prevencije i upravljanja rizicima </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5a - Podup</w:t>
            </w:r>
            <w:r w:rsidR="00A8426C">
              <w:rPr>
                <w:rFonts w:ascii="Times New Roman" w:eastAsia="Times New Roman" w:hAnsi="Times New Roman" w:cs="Times New Roman"/>
                <w:spacing w:val="-4"/>
                <w:sz w:val="16"/>
                <w:szCs w:val="16"/>
                <w:lang w:eastAsia="hr-HR"/>
              </w:rPr>
              <w:t>iranje ulaganja za prilagodbu  klimatskim promjenama</w:t>
            </w:r>
            <w:r w:rsidRPr="00C244E3">
              <w:rPr>
                <w:rFonts w:ascii="Times New Roman" w:eastAsia="Times New Roman" w:hAnsi="Times New Roman" w:cs="Times New Roman"/>
                <w:spacing w:val="-4"/>
                <w:sz w:val="16"/>
                <w:szCs w:val="16"/>
                <w:lang w:eastAsia="hr-HR"/>
              </w:rPr>
              <w:t>, uključujući pristupe temeljene na ekosustavu</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5a1 - Uspostavljen sustav za praćenje, predviđanje i planiranje mjera prilagodbe klimatskim promjenama</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5b - Promicanje ulaganja </w:t>
            </w:r>
            <w:r w:rsidR="00A8426C">
              <w:rPr>
                <w:rFonts w:ascii="Times New Roman" w:eastAsia="Times New Roman" w:hAnsi="Times New Roman" w:cs="Times New Roman"/>
                <w:spacing w:val="-4"/>
                <w:sz w:val="16"/>
                <w:szCs w:val="16"/>
                <w:lang w:eastAsia="hr-HR"/>
              </w:rPr>
              <w:t>za rješavanje specifičnih rizika, osiguravanje</w:t>
            </w:r>
            <w:r w:rsidRPr="00C244E3">
              <w:rPr>
                <w:rFonts w:ascii="Times New Roman" w:eastAsia="Times New Roman" w:hAnsi="Times New Roman" w:cs="Times New Roman"/>
                <w:spacing w:val="-4"/>
                <w:sz w:val="16"/>
                <w:szCs w:val="16"/>
                <w:lang w:eastAsia="hr-HR"/>
              </w:rPr>
              <w:t xml:space="preserve"> otpornosti n</w:t>
            </w:r>
            <w:r w:rsidR="00A8426C">
              <w:rPr>
                <w:rFonts w:ascii="Times New Roman" w:eastAsia="Times New Roman" w:hAnsi="Times New Roman" w:cs="Times New Roman"/>
                <w:spacing w:val="-4"/>
                <w:sz w:val="16"/>
                <w:szCs w:val="16"/>
                <w:lang w:eastAsia="hr-HR"/>
              </w:rPr>
              <w:t>a katastrofe i razvoj sustava  upravljanja</w:t>
            </w:r>
            <w:r w:rsidRPr="00C244E3">
              <w:rPr>
                <w:rFonts w:ascii="Times New Roman" w:eastAsia="Times New Roman" w:hAnsi="Times New Roman" w:cs="Times New Roman"/>
                <w:spacing w:val="-4"/>
                <w:sz w:val="16"/>
                <w:szCs w:val="16"/>
                <w:lang w:eastAsia="hr-HR"/>
              </w:rPr>
              <w:t xml:space="preserve"> u</w:t>
            </w:r>
            <w:r w:rsidR="00A8426C">
              <w:rPr>
                <w:rFonts w:ascii="Times New Roman" w:eastAsia="Times New Roman" w:hAnsi="Times New Roman" w:cs="Times New Roman"/>
                <w:spacing w:val="-4"/>
                <w:sz w:val="16"/>
                <w:szCs w:val="16"/>
                <w:lang w:eastAsia="hr-HR"/>
              </w:rPr>
              <w:t xml:space="preserve"> slučaju katastrofa</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5b1 - jačanje kapaciteta i opremanje za </w:t>
            </w:r>
            <w:r w:rsidR="00A8426C">
              <w:rPr>
                <w:rFonts w:ascii="Times New Roman" w:eastAsia="Times New Roman" w:hAnsi="Times New Roman" w:cs="Times New Roman"/>
                <w:spacing w:val="-4"/>
                <w:sz w:val="16"/>
                <w:szCs w:val="16"/>
                <w:lang w:eastAsia="hr-HR"/>
              </w:rPr>
              <w:t>upravljanje rizicima na nacionalnoj</w:t>
            </w:r>
            <w:r w:rsidRPr="00C244E3">
              <w:rPr>
                <w:rFonts w:ascii="Times New Roman" w:eastAsia="Times New Roman" w:hAnsi="Times New Roman" w:cs="Times New Roman"/>
                <w:spacing w:val="-4"/>
                <w:sz w:val="16"/>
                <w:szCs w:val="16"/>
                <w:lang w:eastAsia="hr-HR"/>
              </w:rPr>
              <w:t xml:space="preserve"> i regionalnoj razini</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C244E3">
              <w:rPr>
                <w:rFonts w:ascii="Times New Roman" w:eastAsia="Times New Roman" w:hAnsi="Times New Roman" w:cs="Times New Roman"/>
                <w:color w:val="000000"/>
                <w:spacing w:val="8"/>
                <w:sz w:val="16"/>
                <w:szCs w:val="16"/>
                <w:lang w:eastAsia="hr-HR"/>
              </w:rPr>
              <w:t>[5b11, 5a11]</w:t>
            </w:r>
          </w:p>
        </w:tc>
      </w:tr>
      <w:tr w:rsidR="00C244E3" w:rsidRPr="00C244E3" w:rsidTr="00C244E3">
        <w:trPr>
          <w:trHeight w:hRule="exact" w:val="2630"/>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338,020.392,00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4,91%</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06 - Očuvanje i zaštita okoliša i promocija resursne učinkovitosti </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6c - Očuvanje, zaštita, promicanje i razvoj prirodne i kulturne baštine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6c1 - Poboljšanje </w:t>
            </w:r>
            <w:r w:rsidR="00A8426C">
              <w:rPr>
                <w:rFonts w:ascii="Times New Roman" w:eastAsia="Times New Roman" w:hAnsi="Times New Roman" w:cs="Times New Roman"/>
                <w:spacing w:val="-4"/>
                <w:sz w:val="16"/>
                <w:szCs w:val="16"/>
                <w:lang w:eastAsia="hr-HR"/>
              </w:rPr>
              <w:t xml:space="preserve">sustava </w:t>
            </w:r>
            <w:r w:rsidRPr="00C244E3">
              <w:rPr>
                <w:rFonts w:ascii="Times New Roman" w:eastAsia="Times New Roman" w:hAnsi="Times New Roman" w:cs="Times New Roman"/>
                <w:spacing w:val="-4"/>
                <w:sz w:val="16"/>
                <w:szCs w:val="16"/>
                <w:lang w:eastAsia="hr-HR"/>
              </w:rPr>
              <w:t>zaštite i u</w:t>
            </w:r>
            <w:r w:rsidR="00A8426C">
              <w:rPr>
                <w:rFonts w:ascii="Times New Roman" w:eastAsia="Times New Roman" w:hAnsi="Times New Roman" w:cs="Times New Roman"/>
                <w:spacing w:val="-4"/>
                <w:sz w:val="16"/>
                <w:szCs w:val="16"/>
                <w:lang w:eastAsia="hr-HR"/>
              </w:rPr>
              <w:t>pravljanja kulturnom baštinom u svrhu</w:t>
            </w:r>
            <w:r w:rsidRPr="00C244E3">
              <w:rPr>
                <w:rFonts w:ascii="Times New Roman" w:eastAsia="Times New Roman" w:hAnsi="Times New Roman" w:cs="Times New Roman"/>
                <w:spacing w:val="-4"/>
                <w:sz w:val="16"/>
                <w:szCs w:val="16"/>
                <w:lang w:eastAsia="hr-HR"/>
              </w:rPr>
              <w:t xml:space="preserve"> razvoj</w:t>
            </w:r>
            <w:r w:rsidR="00A8426C">
              <w:rPr>
                <w:rFonts w:ascii="Times New Roman" w:eastAsia="Times New Roman" w:hAnsi="Times New Roman" w:cs="Times New Roman"/>
                <w:spacing w:val="-4"/>
                <w:sz w:val="16"/>
                <w:szCs w:val="16"/>
                <w:lang w:eastAsia="hr-HR"/>
              </w:rPr>
              <w:t>a turizma i ostalih</w:t>
            </w:r>
            <w:r w:rsidRPr="00C244E3">
              <w:rPr>
                <w:rFonts w:ascii="Times New Roman" w:eastAsia="Times New Roman" w:hAnsi="Times New Roman" w:cs="Times New Roman"/>
                <w:spacing w:val="-4"/>
                <w:sz w:val="16"/>
                <w:szCs w:val="16"/>
                <w:lang w:eastAsia="hr-HR"/>
              </w:rPr>
              <w:t xml:space="preserve"> gospodarskih djelatnosti</w:t>
            </w:r>
          </w:p>
          <w:p w:rsidR="00C244E3" w:rsidRPr="00C244E3" w:rsidRDefault="00A8426C"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Pr>
                <w:rFonts w:ascii="Times New Roman" w:eastAsia="Times New Roman" w:hAnsi="Times New Roman" w:cs="Times New Roman"/>
                <w:spacing w:val="-4"/>
                <w:sz w:val="16"/>
                <w:szCs w:val="16"/>
                <w:lang w:eastAsia="hr-HR"/>
              </w:rPr>
              <w:t>■ 6c2 - Povećanje</w:t>
            </w:r>
            <w:r w:rsidR="00C244E3" w:rsidRPr="00C244E3">
              <w:rPr>
                <w:rFonts w:ascii="Times New Roman" w:eastAsia="Times New Roman" w:hAnsi="Times New Roman" w:cs="Times New Roman"/>
                <w:spacing w:val="-4"/>
                <w:sz w:val="16"/>
                <w:szCs w:val="16"/>
                <w:lang w:eastAsia="hr-HR"/>
              </w:rPr>
              <w:t xml:space="preserve"> atraktivnosti i održivo</w:t>
            </w:r>
            <w:r>
              <w:rPr>
                <w:rFonts w:ascii="Times New Roman" w:eastAsia="Times New Roman" w:hAnsi="Times New Roman" w:cs="Times New Roman"/>
                <w:spacing w:val="-4"/>
                <w:sz w:val="16"/>
                <w:szCs w:val="16"/>
                <w:lang w:eastAsia="hr-HR"/>
              </w:rPr>
              <w:t>g korištenja</w:t>
            </w:r>
            <w:r w:rsidR="00C244E3" w:rsidRPr="00C244E3">
              <w:rPr>
                <w:rFonts w:ascii="Times New Roman" w:eastAsia="Times New Roman" w:hAnsi="Times New Roman" w:cs="Times New Roman"/>
                <w:spacing w:val="-4"/>
                <w:sz w:val="16"/>
                <w:szCs w:val="16"/>
                <w:lang w:eastAsia="hr-HR"/>
              </w:rPr>
              <w:t xml:space="preserve"> prirodne baštine</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6e - Aktivnosti kojima se poboljšava urbani okoliš, revitalizacija gradova, obnova i dekontaminacija nekadašnjeg industrijskog zemljišta (uključujući prenamijenjena područja), smanjenje zagađenja zraka i promicanje mjera za smanjenje buke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6e1 - Unaprijeđeni sustav upravljanja i praćenja kakvoće zraka sukladno Direktivi 2008/50/EZ</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6e2 - Obnova nekadašnjih („brownfield“) industrijskih prostora (bivših industrijskih ili vojnih lokacija) u sklopu integriranih teritorijalnih ulaganja (ITI - Integrated territorial investments)</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right="278"/>
              <w:rPr>
                <w:rFonts w:ascii="Arial" w:eastAsia="Times New Roman" w:hAnsi="Arial" w:cs="Arial"/>
                <w:sz w:val="20"/>
                <w:szCs w:val="20"/>
                <w:lang w:eastAsia="hr-HR"/>
              </w:rPr>
            </w:pPr>
            <w:r w:rsidRPr="00C244E3">
              <w:rPr>
                <w:rFonts w:ascii="Times New Roman" w:eastAsia="Times New Roman" w:hAnsi="Times New Roman" w:cs="Times New Roman"/>
                <w:color w:val="000000"/>
                <w:spacing w:val="4"/>
                <w:sz w:val="16"/>
                <w:szCs w:val="16"/>
                <w:lang w:eastAsia="hr-HR"/>
              </w:rPr>
              <w:t xml:space="preserve">[6e11, 6e21, 6c11, 6c21, 6ca11, 6ca24, 6cb11, 6cb23, 6cb24, 6cc11, 6cc21, </w:t>
            </w:r>
            <w:r w:rsidRPr="00C244E3">
              <w:rPr>
                <w:rFonts w:ascii="Times New Roman" w:eastAsia="Times New Roman" w:hAnsi="Times New Roman" w:cs="Times New Roman"/>
                <w:color w:val="000000"/>
                <w:spacing w:val="-4"/>
                <w:sz w:val="16"/>
                <w:szCs w:val="16"/>
                <w:lang w:eastAsia="hr-HR"/>
              </w:rPr>
              <w:t>6cc31]</w:t>
            </w:r>
          </w:p>
        </w:tc>
      </w:tr>
      <w:tr w:rsidR="00C244E3" w:rsidRPr="00C244E3" w:rsidTr="00C244E3">
        <w:trPr>
          <w:trHeight w:hRule="exact" w:val="2400"/>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z w:val="16"/>
                <w:szCs w:val="16"/>
                <w:lang w:eastAsia="hr-HR"/>
              </w:rPr>
              <w:t>KF</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379"/>
              <w:rPr>
                <w:rFonts w:ascii="Arial" w:eastAsia="Times New Roman" w:hAnsi="Arial" w:cs="Arial"/>
                <w:sz w:val="20"/>
                <w:szCs w:val="20"/>
                <w:lang w:eastAsia="hr-HR"/>
              </w:rPr>
            </w:pPr>
            <w:r w:rsidRPr="00C244E3">
              <w:rPr>
                <w:rFonts w:ascii="Times New Roman" w:eastAsia="Times New Roman" w:hAnsi="Times New Roman" w:cs="Times New Roman"/>
                <w:color w:val="000000"/>
                <w:spacing w:val="-3"/>
                <w:sz w:val="16"/>
                <w:szCs w:val="16"/>
                <w:lang w:eastAsia="hr-HR"/>
              </w:rPr>
              <w:t>1.649,340.216,00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36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23,97%</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06 - Očuvanje i zaštita okoliša i promocija resursne učinkovitosti</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 - Ulaganje u sektor otpada kako bi se ispunili zahtjevi pravne stečevine Unije u području okoliša i zadovoljile potrebe koje su utvrdile države članice za ulaganjem koje nadilazi te zahtjeve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6i1- Smanjeno stvaranje otpada i povećano recikliranje, ponovno korištenje i oporaba otpada</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6i2 - Uspostava integriranog</w:t>
            </w:r>
            <w:r w:rsidR="00A8426C">
              <w:rPr>
                <w:rFonts w:ascii="Times New Roman" w:eastAsia="Times New Roman" w:hAnsi="Times New Roman" w:cs="Times New Roman"/>
                <w:spacing w:val="-4"/>
                <w:sz w:val="16"/>
                <w:szCs w:val="16"/>
                <w:lang w:eastAsia="hr-HR"/>
              </w:rPr>
              <w:t xml:space="preserve"> sustava gospodarenja otpadom u cilju smanjenja </w:t>
            </w:r>
            <w:r w:rsidRPr="00C244E3">
              <w:rPr>
                <w:rFonts w:ascii="Times New Roman" w:eastAsia="Times New Roman" w:hAnsi="Times New Roman" w:cs="Times New Roman"/>
                <w:spacing w:val="-4"/>
                <w:sz w:val="16"/>
                <w:szCs w:val="16"/>
                <w:lang w:eastAsia="hr-HR"/>
              </w:rPr>
              <w:t>otpada</w:t>
            </w:r>
            <w:r w:rsidR="00A8426C">
              <w:rPr>
                <w:rFonts w:ascii="Times New Roman" w:eastAsia="Times New Roman" w:hAnsi="Times New Roman" w:cs="Times New Roman"/>
                <w:spacing w:val="-4"/>
                <w:sz w:val="16"/>
                <w:szCs w:val="16"/>
                <w:lang w:eastAsia="hr-HR"/>
              </w:rPr>
              <w:t xml:space="preserve"> koji se odlaže na odlagalištu</w:t>
            </w:r>
            <w:r w:rsidRPr="00C244E3">
              <w:rPr>
                <w:rFonts w:ascii="Times New Roman" w:eastAsia="Times New Roman" w:hAnsi="Times New Roman" w:cs="Times New Roman"/>
                <w:spacing w:val="-4"/>
                <w:sz w:val="16"/>
                <w:szCs w:val="16"/>
                <w:lang w:eastAsia="hr-HR"/>
              </w:rPr>
              <w:t xml:space="preserve"> i rizika vezanih uz otpad</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6ii - Ulaganje u sektor vodnoga gospodarstva kako bi se ispunili zahtjevi pravne stečevine Unije u području okoliša i zadovoljile potrebe koje su utvrdile države članice za ulaganjem koje nadilazi te zahtjeve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6ii1 - Poboljšanje javnih vodoopskrbnih sustava sa svrhom osiguranja kvalitete i sigurnosti sustava za vodu za piće</w:t>
            </w:r>
            <w:r w:rsidRPr="00C244E3" w:rsidDel="004576FF">
              <w:rPr>
                <w:rFonts w:ascii="Times New Roman" w:eastAsia="Times New Roman" w:hAnsi="Times New Roman" w:cs="Times New Roman"/>
                <w:spacing w:val="-4"/>
                <w:sz w:val="16"/>
                <w:szCs w:val="16"/>
                <w:lang w:eastAsia="hr-HR"/>
              </w:rPr>
              <w:t xml:space="preserve"> </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right="278"/>
              <w:rPr>
                <w:rFonts w:ascii="Arial" w:eastAsia="Times New Roman" w:hAnsi="Arial" w:cs="Arial"/>
                <w:sz w:val="20"/>
                <w:szCs w:val="20"/>
                <w:lang w:eastAsia="hr-HR"/>
              </w:rPr>
            </w:pPr>
            <w:r w:rsidRPr="00C244E3">
              <w:rPr>
                <w:rFonts w:ascii="Times New Roman" w:eastAsia="Times New Roman" w:hAnsi="Times New Roman" w:cs="Times New Roman"/>
                <w:color w:val="000000"/>
                <w:spacing w:val="4"/>
                <w:sz w:val="16"/>
                <w:szCs w:val="16"/>
                <w:lang w:eastAsia="hr-HR"/>
              </w:rPr>
              <w:t xml:space="preserve">[6e11, 6e21, 6c11, 6c21, 6ca11, 6ca24, 6cb11, 6cb23, 6cb24, 6cc11, 6cc21, </w:t>
            </w:r>
            <w:r w:rsidRPr="00C244E3">
              <w:rPr>
                <w:rFonts w:ascii="Times New Roman" w:eastAsia="Times New Roman" w:hAnsi="Times New Roman" w:cs="Times New Roman"/>
                <w:color w:val="000000"/>
                <w:spacing w:val="-4"/>
                <w:sz w:val="16"/>
                <w:szCs w:val="16"/>
                <w:lang w:eastAsia="hr-HR"/>
              </w:rPr>
              <w:t>6cc31]</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6834" w:h="11909" w:orient="landscape"/>
          <w:pgMar w:top="1171" w:right="541" w:bottom="360" w:left="54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C244E3" w:rsidRPr="00C244E3">
          <w:type w:val="continuous"/>
          <w:pgSz w:w="16834" w:h="11909" w:orient="landscape"/>
          <w:pgMar w:top="1171" w:right="541" w:bottom="360" w:left="540" w:header="720" w:footer="720" w:gutter="0"/>
          <w:cols w:num="3" w:space="720" w:equalWidth="0">
            <w:col w:w="720" w:space="6989"/>
            <w:col w:w="720" w:space="6605"/>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874"/>
        <w:gridCol w:w="1709"/>
        <w:gridCol w:w="1075"/>
        <w:gridCol w:w="7546"/>
        <w:gridCol w:w="2986"/>
      </w:tblGrid>
      <w:tr w:rsidR="00C244E3" w:rsidRPr="00C244E3" w:rsidTr="00C244E3">
        <w:trPr>
          <w:trHeight w:hRule="exact" w:val="154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43"/>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2"/>
                <w:sz w:val="16"/>
                <w:szCs w:val="16"/>
                <w:lang w:eastAsia="hr-HR"/>
              </w:rPr>
              <w:lastRenderedPageBreak/>
              <w:t>Prioritetna os</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39"/>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3"/>
                <w:sz w:val="16"/>
                <w:szCs w:val="16"/>
                <w:lang w:eastAsia="hr-HR"/>
              </w:rPr>
              <w:t>Fond</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 xml:space="preserve">Potpora Unije </w:t>
            </w:r>
            <w:r w:rsidRPr="00C244E3">
              <w:rPr>
                <w:rFonts w:ascii="Times New Roman" w:eastAsia="Times New Roman" w:hAnsi="Times New Roman" w:cs="Times New Roman"/>
                <w:color w:val="000000"/>
                <w:spacing w:val="1"/>
                <w:sz w:val="16"/>
                <w:szCs w:val="16"/>
                <w:lang w:eastAsia="hr-HR"/>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19" w:right="24"/>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Udio ukupne podrške EU-a za operativni program</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62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Tematski cilj / Investicijski prioritet / Specifični cilj</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67"/>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Zajednički i specifični pokazatelji rezultata za koje je postavljen cilj</w:t>
            </w:r>
          </w:p>
        </w:tc>
      </w:tr>
      <w:tr w:rsidR="00C244E3" w:rsidRPr="00C244E3" w:rsidTr="00C244E3">
        <w:trPr>
          <w:trHeight w:hRule="exact" w:val="2755"/>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6ii2 - Razvoj sustava odvodnje i pročišćavanja otpadnih voda sa ciljem doprinosa poboljšanju stanja voda</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w:t>
            </w:r>
            <w:r w:rsidR="0096120E">
              <w:rPr>
                <w:rFonts w:ascii="Times New Roman" w:eastAsia="Times New Roman" w:hAnsi="Times New Roman" w:cs="Times New Roman"/>
                <w:spacing w:val="-4"/>
                <w:sz w:val="16"/>
                <w:szCs w:val="16"/>
                <w:lang w:eastAsia="hr-HR"/>
              </w:rPr>
              <w:t>6iii - Zaštita i obnova bio</w:t>
            </w:r>
            <w:r w:rsidRPr="00C244E3">
              <w:rPr>
                <w:rFonts w:ascii="Times New Roman" w:eastAsia="Times New Roman" w:hAnsi="Times New Roman" w:cs="Times New Roman"/>
                <w:spacing w:val="-4"/>
                <w:sz w:val="16"/>
                <w:szCs w:val="16"/>
                <w:lang w:eastAsia="hr-HR"/>
              </w:rPr>
              <w:t>razn</w:t>
            </w:r>
            <w:r w:rsidR="0096120E">
              <w:rPr>
                <w:rFonts w:ascii="Times New Roman" w:eastAsia="Times New Roman" w:hAnsi="Times New Roman" w:cs="Times New Roman"/>
                <w:spacing w:val="-4"/>
                <w:sz w:val="16"/>
                <w:szCs w:val="16"/>
                <w:lang w:eastAsia="hr-HR"/>
              </w:rPr>
              <w:t>olikosti i tla te promicanje</w:t>
            </w:r>
            <w:r w:rsidRPr="00C244E3">
              <w:rPr>
                <w:rFonts w:ascii="Times New Roman" w:eastAsia="Times New Roman" w:hAnsi="Times New Roman" w:cs="Times New Roman"/>
                <w:spacing w:val="-4"/>
                <w:sz w:val="16"/>
                <w:szCs w:val="16"/>
                <w:lang w:eastAsia="hr-HR"/>
              </w:rPr>
              <w:t xml:space="preserve"> usluga</w:t>
            </w:r>
            <w:r w:rsidR="0096120E">
              <w:rPr>
                <w:rFonts w:ascii="Times New Roman" w:eastAsia="Times New Roman" w:hAnsi="Times New Roman" w:cs="Times New Roman"/>
                <w:spacing w:val="-4"/>
                <w:sz w:val="16"/>
                <w:szCs w:val="16"/>
                <w:lang w:eastAsia="hr-HR"/>
              </w:rPr>
              <w:t xml:space="preserve"> ekosustavu</w:t>
            </w:r>
            <w:r w:rsidRPr="00C244E3">
              <w:rPr>
                <w:rFonts w:ascii="Times New Roman" w:eastAsia="Times New Roman" w:hAnsi="Times New Roman" w:cs="Times New Roman"/>
                <w:spacing w:val="-4"/>
                <w:sz w:val="16"/>
                <w:szCs w:val="16"/>
                <w:lang w:eastAsia="hr-HR"/>
              </w:rPr>
              <w:t>, uključujući NATURA 2000 mrežu i „zelenu“ infrastrukturu</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6iii1 - Poboljšano znanje o st</w:t>
            </w:r>
            <w:r w:rsidR="0096120E">
              <w:rPr>
                <w:rFonts w:ascii="Times New Roman" w:eastAsia="Times New Roman" w:hAnsi="Times New Roman" w:cs="Times New Roman"/>
                <w:spacing w:val="-4"/>
                <w:sz w:val="16"/>
                <w:szCs w:val="16"/>
                <w:lang w:eastAsia="hr-HR"/>
              </w:rPr>
              <w:t>anju bioraznolikosti kao temelj</w:t>
            </w:r>
            <w:r w:rsidRPr="00C244E3">
              <w:rPr>
                <w:rFonts w:ascii="Times New Roman" w:eastAsia="Times New Roman" w:hAnsi="Times New Roman" w:cs="Times New Roman"/>
                <w:spacing w:val="-4"/>
                <w:sz w:val="16"/>
                <w:szCs w:val="16"/>
                <w:lang w:eastAsia="hr-HR"/>
              </w:rPr>
              <w:t xml:space="preserve"> za učinkovito upravljanje bioraznolikošću</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6iii2 - Poboljšani okvir za održivo upravljanje bioraznolikošću (primarno mrežom Natura 2000)</w:t>
            </w:r>
          </w:p>
          <w:p w:rsidR="00C244E3" w:rsidRPr="00C244E3" w:rsidRDefault="00C244E3" w:rsidP="0096120E">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6iii3 - Zaštita i obnova šuma i šumskog zemljišta u zaštićenim i Natura 2000 područjima, uključujući razminiranje, zaštitu šuma od</w:t>
            </w:r>
            <w:r w:rsidR="0096120E">
              <w:rPr>
                <w:rFonts w:ascii="Times New Roman" w:eastAsia="Times New Roman" w:hAnsi="Times New Roman" w:cs="Times New Roman"/>
                <w:spacing w:val="-4"/>
                <w:sz w:val="16"/>
                <w:szCs w:val="16"/>
                <w:lang w:eastAsia="hr-HR"/>
              </w:rPr>
              <w:t xml:space="preserve"> požara i zaštitu vodnih dobara</w:t>
            </w:r>
            <w:r w:rsidRPr="00C244E3">
              <w:rPr>
                <w:rFonts w:ascii="Times New Roman" w:eastAsia="Times New Roman" w:hAnsi="Times New Roman" w:cs="Times New Roman"/>
                <w:spacing w:val="-4"/>
                <w:sz w:val="16"/>
                <w:szCs w:val="16"/>
                <w:lang w:eastAsia="hr-HR"/>
              </w:rPr>
              <w:t xml:space="preserve">, te održavanje i poboljšanje </w:t>
            </w:r>
            <w:r w:rsidR="0096120E">
              <w:rPr>
                <w:rFonts w:ascii="Times New Roman" w:eastAsia="Times New Roman" w:hAnsi="Times New Roman" w:cs="Times New Roman"/>
                <w:spacing w:val="-4"/>
                <w:sz w:val="16"/>
                <w:szCs w:val="16"/>
                <w:lang w:eastAsia="hr-HR"/>
              </w:rPr>
              <w:t>općekorisnih funkcija šuma</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1709"/>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7</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400,000.000,00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6"/>
              <w:rPr>
                <w:rFonts w:ascii="Arial" w:eastAsia="Times New Roman" w:hAnsi="Arial" w:cs="Arial"/>
                <w:sz w:val="20"/>
                <w:szCs w:val="20"/>
                <w:lang w:eastAsia="hr-HR"/>
              </w:rPr>
            </w:pPr>
            <w:r w:rsidRPr="00C244E3">
              <w:rPr>
                <w:rFonts w:ascii="Times New Roman" w:eastAsia="Times New Roman" w:hAnsi="Times New Roman" w:cs="Times New Roman"/>
                <w:color w:val="000000"/>
                <w:spacing w:val="-3"/>
                <w:sz w:val="16"/>
                <w:szCs w:val="16"/>
                <w:lang w:eastAsia="hr-HR"/>
              </w:rPr>
              <w:t>5,81%</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07 - Promicanje održivog transporta i eliminaciju uskih grla u ključnim mrežnim infrastrukturama</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7b - Poboljšavanje regionalne mobilnosti povezivanjem sekundarnih i tercijarnih čvorišta s infrastrukturom TEN-T-a, uključujući multimodalna čvorišta</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7b 1 - Jačanje regionalne mobilnosti i povezanosti kroz poboljšanje regionalnih cesta i eliminaciju glavnih cestovnih uskih grla</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7b2 - Razvoj sigurnosne infrastrukture cestovnog prometa</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7" w:lineRule="exact"/>
              <w:ind w:right="106"/>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16"/>
                <w:szCs w:val="16"/>
                <w:lang w:eastAsia="hr-HR"/>
              </w:rPr>
              <w:t xml:space="preserve">[7cc11, 7cc112, 7b11, 7b21, 7ca11, 7cb11, </w:t>
            </w:r>
            <w:r w:rsidRPr="00C244E3">
              <w:rPr>
                <w:rFonts w:ascii="Times New Roman" w:eastAsia="Times New Roman" w:hAnsi="Times New Roman" w:cs="Times New Roman"/>
                <w:color w:val="000000"/>
                <w:spacing w:val="-2"/>
                <w:sz w:val="16"/>
                <w:szCs w:val="16"/>
                <w:lang w:eastAsia="hr-HR"/>
              </w:rPr>
              <w:t>7cb21, 7cb31]</w:t>
            </w:r>
          </w:p>
        </w:tc>
      </w:tr>
      <w:tr w:rsidR="00C244E3" w:rsidRPr="00C244E3" w:rsidTr="00C244E3">
        <w:trPr>
          <w:trHeight w:hRule="exact" w:val="234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7</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z w:val="16"/>
                <w:szCs w:val="16"/>
                <w:lang w:eastAsia="hr-HR"/>
              </w:rPr>
              <w:t>KF</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910,205.755,00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379"/>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13,23%</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07 - Promicanje održivog transporta i eliminaciju uskih grla u ključnim mrežnim infrastrukturama </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7i - Podupiranje multimodalnog jedinstvenog europskog prometnog prostora ulaganjem u TEN-T </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7i1 - Modernizacija ključne TEN-T infrastrukture unutarnjih vodnih putova</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7ii - Razvoj i unapređenje prometnih sustava prihvatljivih za okoliš (uključujući </w:t>
            </w:r>
            <w:r w:rsidR="0096120E">
              <w:rPr>
                <w:rFonts w:ascii="Times New Roman" w:eastAsia="Times New Roman" w:hAnsi="Times New Roman" w:cs="Times New Roman"/>
                <w:spacing w:val="-4"/>
                <w:sz w:val="16"/>
                <w:szCs w:val="16"/>
                <w:lang w:eastAsia="hr-HR"/>
              </w:rPr>
              <w:t>one s niskom razinom</w:t>
            </w:r>
            <w:r w:rsidRPr="00C244E3">
              <w:rPr>
                <w:rFonts w:ascii="Times New Roman" w:eastAsia="Times New Roman" w:hAnsi="Times New Roman" w:cs="Times New Roman"/>
                <w:spacing w:val="-4"/>
                <w:sz w:val="16"/>
                <w:szCs w:val="16"/>
                <w:lang w:eastAsia="hr-HR"/>
              </w:rPr>
              <w:t xml:space="preserve"> buke), i prometni sustavi sa niskim emisijama CO</w:t>
            </w:r>
            <w:r w:rsidRPr="00C244E3">
              <w:rPr>
                <w:rFonts w:ascii="Times New Roman" w:eastAsia="Times New Roman" w:hAnsi="Times New Roman" w:cs="Times New Roman"/>
                <w:spacing w:val="-4"/>
                <w:sz w:val="16"/>
                <w:szCs w:val="16"/>
                <w:vertAlign w:val="subscript"/>
                <w:lang w:eastAsia="hr-HR"/>
              </w:rPr>
              <w:t>2</w:t>
            </w:r>
            <w:r w:rsidRPr="00C244E3">
              <w:rPr>
                <w:rFonts w:ascii="Times New Roman" w:eastAsia="Times New Roman" w:hAnsi="Times New Roman" w:cs="Times New Roman"/>
                <w:spacing w:val="-4"/>
                <w:sz w:val="16"/>
                <w:szCs w:val="16"/>
                <w:lang w:eastAsia="hr-HR"/>
              </w:rPr>
              <w:t>, uključujući unutarnje plovne putove i pomorski prijevoz, luke, multimodalne veze i aerodromsku infrastrukturu, radi promicanja održive regionalne i lokalne mobilnosti</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7ii1 - Poboljšanje teritorijalne kohezije i povezanosti te dostupnosti otoka </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7ii2 - Razvoj inteligentnog, održivog i integriranog sustava javnog prijevoza sa niskom razinom CO</w:t>
            </w:r>
            <w:r w:rsidRPr="00C244E3">
              <w:rPr>
                <w:rFonts w:ascii="Times New Roman" w:eastAsia="Times New Roman" w:hAnsi="Times New Roman" w:cs="Times New Roman"/>
                <w:spacing w:val="-4"/>
                <w:sz w:val="16"/>
                <w:szCs w:val="16"/>
                <w:vertAlign w:val="subscript"/>
                <w:lang w:eastAsia="hr-HR"/>
              </w:rPr>
              <w:t>2</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7" w:lineRule="exact"/>
              <w:ind w:right="106"/>
              <w:rPr>
                <w:rFonts w:ascii="Arial" w:eastAsia="Times New Roman" w:hAnsi="Arial" w:cs="Arial"/>
                <w:sz w:val="20"/>
                <w:szCs w:val="20"/>
                <w:lang w:eastAsia="hr-HR"/>
              </w:rPr>
            </w:pPr>
            <w:r w:rsidRPr="00C244E3">
              <w:rPr>
                <w:rFonts w:ascii="Times New Roman" w:eastAsia="Times New Roman" w:hAnsi="Times New Roman" w:cs="Times New Roman"/>
                <w:color w:val="000000"/>
                <w:spacing w:val="6"/>
                <w:sz w:val="16"/>
                <w:szCs w:val="16"/>
                <w:lang w:eastAsia="hr-HR"/>
              </w:rPr>
              <w:t xml:space="preserve">[7cc11, 7cc12, 7b11, 7b21, 7ca11, 7cb11, </w:t>
            </w:r>
            <w:r w:rsidRPr="00C244E3">
              <w:rPr>
                <w:rFonts w:ascii="Times New Roman" w:eastAsia="Times New Roman" w:hAnsi="Times New Roman" w:cs="Times New Roman"/>
                <w:color w:val="000000"/>
                <w:spacing w:val="-2"/>
                <w:sz w:val="16"/>
                <w:szCs w:val="16"/>
                <w:lang w:eastAsia="hr-HR"/>
              </w:rPr>
              <w:t>7cb21, 7cb31]</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6834" w:h="11909" w:orient="landscape"/>
          <w:pgMar w:top="1169" w:right="541" w:bottom="360" w:left="54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C244E3" w:rsidRPr="00C244E3">
          <w:type w:val="continuous"/>
          <w:pgSz w:w="16834" w:h="11909" w:orient="landscape"/>
          <w:pgMar w:top="1169" w:right="541" w:bottom="360" w:left="540" w:header="720" w:footer="720" w:gutter="0"/>
          <w:cols w:num="3" w:space="720" w:equalWidth="0">
            <w:col w:w="720" w:space="6989"/>
            <w:col w:w="720" w:space="6605"/>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874"/>
        <w:gridCol w:w="1709"/>
        <w:gridCol w:w="1075"/>
        <w:gridCol w:w="7546"/>
        <w:gridCol w:w="2986"/>
      </w:tblGrid>
      <w:tr w:rsidR="00C244E3" w:rsidRPr="00C244E3" w:rsidTr="00C244E3">
        <w:trPr>
          <w:trHeight w:hRule="exact" w:val="154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43"/>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2"/>
                <w:sz w:val="16"/>
                <w:szCs w:val="16"/>
                <w:lang w:eastAsia="hr-HR"/>
              </w:rPr>
              <w:lastRenderedPageBreak/>
              <w:t>Prioritetna os</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39"/>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3"/>
                <w:sz w:val="16"/>
                <w:szCs w:val="16"/>
                <w:lang w:eastAsia="hr-HR"/>
              </w:rPr>
              <w:t>Fond</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 xml:space="preserve">Potpora Unije </w:t>
            </w:r>
            <w:r w:rsidRPr="00C244E3">
              <w:rPr>
                <w:rFonts w:ascii="Times New Roman" w:eastAsia="Times New Roman" w:hAnsi="Times New Roman" w:cs="Times New Roman"/>
                <w:color w:val="000000"/>
                <w:spacing w:val="1"/>
                <w:sz w:val="16"/>
                <w:szCs w:val="16"/>
                <w:lang w:eastAsia="hr-HR"/>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19" w:right="24"/>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Udio ukupne podrške EU-a za operativni program</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62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Tematski cilj / Investicijski prioritet / Specifični cilj</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67"/>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Zajednički i specifični pokazatelji rezultata za koje je postavljen cilj</w:t>
            </w:r>
          </w:p>
        </w:tc>
      </w:tr>
      <w:tr w:rsidR="00C244E3" w:rsidRPr="00C244E3" w:rsidTr="00C244E3">
        <w:trPr>
          <w:trHeight w:hRule="exact" w:val="1104"/>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7ii3 - Poboljšanje dostupnosti Dubrovnika zrakom</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7iii - Razvoj i obnova sveobuhvatnih, visokokvalitetnih i interoperabilnih željezničkih sustava te promicanje mjera za smanjenje buke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7iii1 - Unaprjeđivanje i poboljšanje željezničke mreže u cilju promocije modalnog prijelaza („modal shift“)</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C244E3" w:rsidRPr="00C244E3" w:rsidTr="00C244E3">
        <w:trPr>
          <w:trHeight w:hRule="exact" w:val="3360"/>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8</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376,500.000,00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6"/>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8"/>
                <w:sz w:val="16"/>
                <w:szCs w:val="16"/>
                <w:lang w:eastAsia="hr-HR"/>
              </w:rPr>
              <w:t>5,47%</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09 - Promicanje socijalne uključenosti, borba protiv siromaštva i svih oblika diskriminacije</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xml:space="preserve">■ 1 - Poboljšanje pristupa primarnoj i hitnoj zdravstvenoj zaštiti, s fokusom na udaljena i deprivirana područja </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2 - Poboljšanje učinkovitosti i dostupnosti bolničkog liječenja za ranjive skupine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3 - Promicanje socijalne uključenosti i smanjenje nejednakosti kroz poboljšani pristup socijalnim uslugama te prelazak s institucionalne skrbi na skrb u zajednici putem poboljšane socijalne infrastrukture</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9b - Pružanje podrške fizičkoj, gospodarskoj i socijalnoj obnovi ugroženih zajednica u urbanim i ruralnim područjima</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1 - Održiva fizička, socijalna i gospodarska regeneracija pet depriviranih pilot područja s ciljem smanjenja socijalnih nejednakosti, isključenosti i siromaštva</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C244E3">
              <w:rPr>
                <w:rFonts w:ascii="Times New Roman" w:eastAsia="Times New Roman" w:hAnsi="Times New Roman" w:cs="Times New Roman"/>
                <w:color w:val="000000"/>
                <w:spacing w:val="4"/>
                <w:sz w:val="16"/>
                <w:szCs w:val="16"/>
                <w:lang w:eastAsia="hr-HR"/>
              </w:rPr>
              <w:t>[9a11, 9a21, 9a31, 9b11]</w:t>
            </w:r>
          </w:p>
        </w:tc>
      </w:tr>
      <w:tr w:rsidR="00C244E3" w:rsidRPr="00C244E3" w:rsidTr="00C244E3">
        <w:trPr>
          <w:trHeight w:hRule="exact" w:val="2400"/>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9</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color w:val="000000"/>
                <w:spacing w:val="-2"/>
                <w:sz w:val="16"/>
                <w:szCs w:val="16"/>
                <w:lang w:eastAsia="hr-HR"/>
              </w:rPr>
              <w:t>259,914.791,00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7"/>
                <w:sz w:val="16"/>
                <w:szCs w:val="16"/>
                <w:lang w:eastAsia="hr-HR"/>
              </w:rPr>
              <w:t>3,78%</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autoSpaceDE w:val="0"/>
              <w:autoSpaceDN w:val="0"/>
              <w:adjustRightInd w:val="0"/>
              <w:spacing w:after="0" w:line="240" w:lineRule="auto"/>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10 - Ulaganje u obrazovanje, vještine i cjeloživotno učenje</w:t>
            </w:r>
          </w:p>
          <w:p w:rsidR="00C244E3" w:rsidRPr="00C244E3" w:rsidRDefault="00C244E3" w:rsidP="00C244E3">
            <w:pPr>
              <w:widowControl w:val="0"/>
              <w:autoSpaceDE w:val="0"/>
              <w:autoSpaceDN w:val="0"/>
              <w:adjustRightInd w:val="0"/>
              <w:spacing w:after="0" w:line="240" w:lineRule="auto"/>
              <w:ind w:left="258"/>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10a - Ulaganje u obrazovanje, vještine i cjeloživotno učenje kroz razvoj infrastrukture za obrazovanje i osposobljavanje</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1 - Razvoj digitalno zrelih škola koje su spremne za korištenje potencijala IKT-a u obrazovanju i razvoju vještina 21.stoljeća, neophodnih na tržištu rada</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2 - Modernizacija i unaprjeđenje infrastrukture studentskog smještaja u visokom obrazovanju s ciljem poboljšanja pristupa visokom obrazovanju te završetak studija za studente s lošim socioekonomskim statusom</w:t>
            </w:r>
          </w:p>
          <w:p w:rsidR="00C244E3" w:rsidRPr="00C244E3" w:rsidRDefault="00C244E3" w:rsidP="00C244E3">
            <w:pPr>
              <w:widowControl w:val="0"/>
              <w:autoSpaceDE w:val="0"/>
              <w:autoSpaceDN w:val="0"/>
              <w:adjustRightInd w:val="0"/>
              <w:spacing w:after="0" w:line="240" w:lineRule="auto"/>
              <w:ind w:left="400"/>
              <w:rPr>
                <w:rFonts w:ascii="Times New Roman" w:eastAsia="Times New Roman" w:hAnsi="Times New Roman" w:cs="Times New Roman"/>
                <w:spacing w:val="-4"/>
                <w:sz w:val="16"/>
                <w:szCs w:val="16"/>
                <w:lang w:eastAsia="hr-HR"/>
              </w:rPr>
            </w:pPr>
            <w:r w:rsidRPr="00C244E3">
              <w:rPr>
                <w:rFonts w:ascii="Times New Roman" w:eastAsia="Times New Roman" w:hAnsi="Times New Roman" w:cs="Times New Roman"/>
                <w:spacing w:val="-4"/>
                <w:sz w:val="16"/>
                <w:szCs w:val="16"/>
                <w:lang w:eastAsia="hr-HR"/>
              </w:rPr>
              <w:t>■ 3 - Povećanje relevantnosti</w:t>
            </w:r>
            <w:r w:rsidR="00D314B7">
              <w:rPr>
                <w:rFonts w:ascii="Times New Roman" w:eastAsia="Times New Roman" w:hAnsi="Times New Roman" w:cs="Times New Roman"/>
                <w:spacing w:val="-4"/>
                <w:sz w:val="16"/>
                <w:szCs w:val="16"/>
                <w:lang w:eastAsia="hr-HR"/>
              </w:rPr>
              <w:t xml:space="preserve"> srednjeg</w:t>
            </w:r>
            <w:r w:rsidRPr="00C244E3">
              <w:rPr>
                <w:rFonts w:ascii="Times New Roman" w:eastAsia="Times New Roman" w:hAnsi="Times New Roman" w:cs="Times New Roman"/>
                <w:spacing w:val="-4"/>
                <w:sz w:val="16"/>
                <w:szCs w:val="16"/>
                <w:lang w:eastAsia="hr-HR"/>
              </w:rPr>
              <w:t xml:space="preserve"> strukovnog obrazovanja kroz poboljšanje uvjeta za stjecanje praktičnih vještina u ciljanim sektorima</w:t>
            </w:r>
            <w:r w:rsidR="00D314B7">
              <w:rPr>
                <w:rFonts w:ascii="Times New Roman" w:eastAsia="Times New Roman" w:hAnsi="Times New Roman" w:cs="Times New Roman"/>
                <w:spacing w:val="-4"/>
                <w:sz w:val="16"/>
                <w:szCs w:val="16"/>
                <w:lang w:eastAsia="hr-HR"/>
              </w:rPr>
              <w:t xml:space="preserve"> srednjeg</w:t>
            </w:r>
            <w:r w:rsidRPr="00C244E3">
              <w:rPr>
                <w:rFonts w:ascii="Times New Roman" w:eastAsia="Times New Roman" w:hAnsi="Times New Roman" w:cs="Times New Roman"/>
                <w:spacing w:val="-4"/>
                <w:sz w:val="16"/>
                <w:szCs w:val="16"/>
                <w:lang w:eastAsia="hr-HR"/>
              </w:rPr>
              <w:t xml:space="preserve"> strukovnog obrazovanja i strukovnog obrazovanja na razini visokog obrazovanja</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C244E3">
              <w:rPr>
                <w:rFonts w:ascii="Times New Roman" w:eastAsia="Times New Roman" w:hAnsi="Times New Roman" w:cs="Times New Roman"/>
                <w:color w:val="000000"/>
                <w:sz w:val="16"/>
                <w:szCs w:val="16"/>
                <w:lang w:eastAsia="hr-HR"/>
              </w:rPr>
              <w:t>[10a11, 10a21, 10a22, 10a31]</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6834" w:h="11909" w:orient="landscape"/>
          <w:pgMar w:top="1171" w:right="541" w:bottom="360" w:left="540" w:header="720" w:footer="720" w:gutter="0"/>
          <w:cols w:space="60"/>
          <w:noEndnote/>
        </w:sect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C244E3" w:rsidRPr="00C244E3" w:rsidRDefault="00C244E3" w:rsidP="00C244E3">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C244E3" w:rsidRPr="00C244E3">
          <w:type w:val="continuous"/>
          <w:pgSz w:w="16834" w:h="11909" w:orient="landscape"/>
          <w:pgMar w:top="1171" w:right="541" w:bottom="360" w:left="540" w:header="720" w:footer="720" w:gutter="0"/>
          <w:cols w:num="3" w:space="720" w:equalWidth="0">
            <w:col w:w="720" w:space="6984"/>
            <w:col w:w="720" w:space="661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874"/>
        <w:gridCol w:w="1709"/>
        <w:gridCol w:w="1075"/>
        <w:gridCol w:w="7546"/>
        <w:gridCol w:w="2986"/>
      </w:tblGrid>
      <w:tr w:rsidR="00C244E3" w:rsidRPr="00C244E3" w:rsidTr="00C244E3">
        <w:trPr>
          <w:trHeight w:hRule="exact" w:val="154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43"/>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2"/>
                <w:sz w:val="16"/>
                <w:szCs w:val="16"/>
                <w:lang w:eastAsia="hr-HR"/>
              </w:rPr>
              <w:lastRenderedPageBreak/>
              <w:t>Prioritetna os</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39"/>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3"/>
                <w:sz w:val="16"/>
                <w:szCs w:val="16"/>
                <w:lang w:eastAsia="hr-HR"/>
              </w:rPr>
              <w:t>Fond</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 xml:space="preserve">Potpora Unije </w:t>
            </w:r>
            <w:r w:rsidRPr="00C244E3">
              <w:rPr>
                <w:rFonts w:ascii="Times New Roman" w:eastAsia="Times New Roman" w:hAnsi="Times New Roman" w:cs="Times New Roman"/>
                <w:color w:val="000000"/>
                <w:spacing w:val="1"/>
                <w:sz w:val="16"/>
                <w:szCs w:val="16"/>
                <w:lang w:eastAsia="hr-HR"/>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19" w:right="24"/>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Udio ukupne podrške EU-a za operativni program</w:t>
            </w:r>
          </w:p>
        </w:tc>
        <w:tc>
          <w:tcPr>
            <w:tcW w:w="754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162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1"/>
                <w:sz w:val="16"/>
                <w:szCs w:val="16"/>
                <w:lang w:eastAsia="hr-HR"/>
              </w:rPr>
              <w:t>Tematski cilj / Investicijski prioritet / Specifični cilj</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182" w:lineRule="exact"/>
              <w:ind w:left="48" w:right="67"/>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Zajednički i specifični pokazatelji rezultata za koje je postavljen cilj</w:t>
            </w:r>
          </w:p>
        </w:tc>
      </w:tr>
      <w:tr w:rsidR="00C244E3" w:rsidRPr="00C244E3" w:rsidTr="00C244E3">
        <w:trPr>
          <w:trHeight w:hRule="exact" w:val="73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24"/>
              <w:rPr>
                <w:rFonts w:ascii="Arial" w:eastAsia="Times New Roman" w:hAnsi="Arial" w:cs="Arial"/>
                <w:sz w:val="20"/>
                <w:szCs w:val="20"/>
                <w:lang w:eastAsia="hr-HR"/>
              </w:rPr>
            </w:pPr>
            <w:r w:rsidRPr="00C244E3">
              <w:rPr>
                <w:rFonts w:ascii="Times New Roman" w:eastAsia="Times New Roman" w:hAnsi="Times New Roman" w:cs="Times New Roman"/>
                <w:b/>
                <w:bCs/>
                <w:color w:val="000000"/>
                <w:sz w:val="16"/>
                <w:szCs w:val="16"/>
                <w:lang w:eastAsia="hr-HR"/>
              </w:rPr>
              <w:t>10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C244E3">
              <w:rPr>
                <w:rFonts w:ascii="Times New Roman" w:eastAsia="Times New Roman" w:hAnsi="Times New Roman" w:cs="Times New Roman"/>
                <w:color w:val="000000"/>
                <w:spacing w:val="-5"/>
                <w:sz w:val="16"/>
                <w:szCs w:val="16"/>
                <w:lang w:eastAsia="hr-HR"/>
              </w:rPr>
              <w:t>EFRR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85"/>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2"/>
                <w:sz w:val="16"/>
                <w:szCs w:val="16"/>
                <w:lang w:eastAsia="hr-HR"/>
              </w:rPr>
              <w:t>216,112.612,00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7"/>
                <w:sz w:val="16"/>
                <w:szCs w:val="16"/>
                <w:lang w:eastAsia="hr-HR"/>
              </w:rPr>
              <w:t>3,14%</w:t>
            </w:r>
          </w:p>
        </w:tc>
        <w:tc>
          <w:tcPr>
            <w:tcW w:w="7546" w:type="dxa"/>
            <w:tcBorders>
              <w:top w:val="single" w:sz="6" w:space="0" w:color="auto"/>
              <w:left w:val="single" w:sz="6" w:space="0" w:color="auto"/>
              <w:bottom w:val="single" w:sz="6" w:space="0" w:color="auto"/>
              <w:right w:val="single" w:sz="6" w:space="0" w:color="auto"/>
            </w:tcBorders>
            <w:shd w:val="clear" w:color="auto" w:fill="FFFFFF"/>
            <w:vAlign w:val="center"/>
          </w:tcPr>
          <w:p w:rsidR="00C244E3" w:rsidRPr="00C244E3" w:rsidRDefault="00D314B7" w:rsidP="00C244E3">
            <w:pPr>
              <w:widowControl w:val="0"/>
              <w:shd w:val="clear" w:color="auto" w:fill="FFFFFF"/>
              <w:autoSpaceDE w:val="0"/>
              <w:autoSpaceDN w:val="0"/>
              <w:adjustRightInd w:val="0"/>
              <w:spacing w:after="0" w:line="182" w:lineRule="exact"/>
              <w:ind w:right="749"/>
              <w:rPr>
                <w:rFonts w:ascii="Times New Roman" w:eastAsia="Times New Roman" w:hAnsi="Times New Roman" w:cs="Times New Roman"/>
                <w:color w:val="000000"/>
                <w:sz w:val="16"/>
                <w:szCs w:val="16"/>
                <w:lang w:eastAsia="hr-HR"/>
              </w:rPr>
            </w:pPr>
            <w:r>
              <w:rPr>
                <w:rFonts w:ascii="Times New Roman" w:eastAsia="Times New Roman" w:hAnsi="Times New Roman" w:cs="Times New Roman"/>
                <w:color w:val="000000"/>
                <w:sz w:val="16"/>
                <w:szCs w:val="16"/>
                <w:lang w:eastAsia="hr-HR"/>
              </w:rPr>
              <w:t>Tehnička pomoć 1 - Osigurana učinkovita koordinacija</w:t>
            </w:r>
            <w:r w:rsidR="00C244E3" w:rsidRPr="00C244E3">
              <w:rPr>
                <w:rFonts w:ascii="Times New Roman" w:eastAsia="Times New Roman" w:hAnsi="Times New Roman" w:cs="Times New Roman"/>
                <w:color w:val="000000"/>
                <w:sz w:val="16"/>
                <w:szCs w:val="16"/>
                <w:lang w:eastAsia="hr-HR"/>
              </w:rPr>
              <w:t xml:space="preserve"> i korištenj</w:t>
            </w:r>
            <w:r>
              <w:rPr>
                <w:rFonts w:ascii="Times New Roman" w:eastAsia="Times New Roman" w:hAnsi="Times New Roman" w:cs="Times New Roman"/>
                <w:color w:val="000000"/>
                <w:sz w:val="16"/>
                <w:szCs w:val="16"/>
                <w:lang w:eastAsia="hr-HR"/>
              </w:rPr>
              <w:t xml:space="preserve">e sredstava </w:t>
            </w:r>
            <w:r w:rsidR="00C244E3" w:rsidRPr="00C244E3">
              <w:rPr>
                <w:rFonts w:ascii="Times New Roman" w:eastAsia="Times New Roman" w:hAnsi="Times New Roman" w:cs="Times New Roman"/>
                <w:color w:val="000000"/>
                <w:sz w:val="16"/>
                <w:szCs w:val="16"/>
                <w:lang w:eastAsia="hr-HR"/>
              </w:rPr>
              <w:t>Kohezijske politike u Hrvatskoj</w:t>
            </w:r>
          </w:p>
          <w:p w:rsidR="00C244E3" w:rsidRPr="00C244E3" w:rsidRDefault="00C244E3" w:rsidP="00D314B7">
            <w:pPr>
              <w:widowControl w:val="0"/>
              <w:shd w:val="clear" w:color="auto" w:fill="FFFFFF"/>
              <w:autoSpaceDE w:val="0"/>
              <w:autoSpaceDN w:val="0"/>
              <w:adjustRightInd w:val="0"/>
              <w:spacing w:after="0" w:line="182" w:lineRule="exact"/>
              <w:ind w:right="749"/>
              <w:rPr>
                <w:rFonts w:ascii="Arial" w:eastAsia="Times New Roman" w:hAnsi="Arial" w:cs="Arial"/>
                <w:sz w:val="20"/>
                <w:szCs w:val="20"/>
                <w:lang w:eastAsia="hr-HR"/>
              </w:rPr>
            </w:pPr>
            <w:r w:rsidRPr="00C244E3">
              <w:rPr>
                <w:rFonts w:ascii="Times New Roman" w:eastAsia="Times New Roman" w:hAnsi="Times New Roman" w:cs="Times New Roman"/>
                <w:color w:val="000000"/>
                <w:sz w:val="16"/>
                <w:szCs w:val="16"/>
                <w:lang w:eastAsia="hr-HR"/>
              </w:rPr>
              <w:t xml:space="preserve">Tehnička pomoć 2 </w:t>
            </w:r>
            <w:r w:rsidR="00D314B7">
              <w:rPr>
                <w:rFonts w:ascii="Times New Roman" w:eastAsia="Times New Roman" w:hAnsi="Times New Roman" w:cs="Times New Roman"/>
                <w:color w:val="000000"/>
                <w:sz w:val="16"/>
                <w:szCs w:val="16"/>
                <w:lang w:eastAsia="hr-HR"/>
              </w:rPr>
              <w:t>–</w:t>
            </w:r>
            <w:r w:rsidRPr="00C244E3">
              <w:rPr>
                <w:rFonts w:ascii="Times New Roman" w:eastAsia="Times New Roman" w:hAnsi="Times New Roman" w:cs="Times New Roman"/>
                <w:color w:val="000000"/>
                <w:sz w:val="16"/>
                <w:szCs w:val="16"/>
                <w:lang w:eastAsia="hr-HR"/>
              </w:rPr>
              <w:t xml:space="preserve"> </w:t>
            </w:r>
            <w:r w:rsidR="00D314B7">
              <w:rPr>
                <w:rFonts w:ascii="Times New Roman" w:eastAsia="Times New Roman" w:hAnsi="Times New Roman" w:cs="Times New Roman"/>
                <w:color w:val="000000"/>
                <w:sz w:val="16"/>
                <w:szCs w:val="16"/>
                <w:lang w:eastAsia="hr-HR"/>
              </w:rPr>
              <w:t xml:space="preserve">Potencijalni korisnici i javnost učinkovito su informirani o provedbi ESI fondova </w:t>
            </w:r>
          </w:p>
        </w:tc>
        <w:tc>
          <w:tcPr>
            <w:tcW w:w="2986" w:type="dxa"/>
            <w:tcBorders>
              <w:top w:val="single" w:sz="6" w:space="0" w:color="auto"/>
              <w:left w:val="single" w:sz="6" w:space="0" w:color="auto"/>
              <w:bottom w:val="single" w:sz="6" w:space="0" w:color="auto"/>
              <w:right w:val="single" w:sz="6" w:space="0" w:color="auto"/>
            </w:tcBorders>
            <w:shd w:val="clear" w:color="auto" w:fill="FFFFFF"/>
          </w:tcPr>
          <w:p w:rsidR="00C244E3" w:rsidRPr="00C244E3" w:rsidRDefault="00C244E3" w:rsidP="00C244E3">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C244E3">
              <w:rPr>
                <w:rFonts w:ascii="Times New Roman" w:eastAsia="Times New Roman" w:hAnsi="Times New Roman" w:cs="Times New Roman"/>
                <w:b/>
                <w:bCs/>
                <w:color w:val="000000"/>
                <w:spacing w:val="-2"/>
                <w:sz w:val="16"/>
                <w:szCs w:val="16"/>
                <w:lang w:eastAsia="hr-HR"/>
              </w:rPr>
              <w:t>[TP1.1,TP2.1]</w:t>
            </w:r>
          </w:p>
        </w:tc>
      </w:tr>
    </w:tbl>
    <w:p w:rsidR="00C244E3" w:rsidRPr="00C244E3" w:rsidRDefault="00C244E3" w:rsidP="00C244E3">
      <w:pPr>
        <w:widowControl w:val="0"/>
        <w:autoSpaceDE w:val="0"/>
        <w:autoSpaceDN w:val="0"/>
        <w:adjustRightInd w:val="0"/>
        <w:spacing w:after="0" w:line="240" w:lineRule="auto"/>
        <w:rPr>
          <w:rFonts w:ascii="Arial" w:eastAsia="Times New Roman" w:hAnsi="Arial" w:cs="Arial"/>
          <w:sz w:val="20"/>
          <w:szCs w:val="20"/>
          <w:lang w:eastAsia="hr-HR"/>
        </w:rPr>
        <w:sectPr w:rsidR="00C244E3" w:rsidRPr="00C244E3">
          <w:pgSz w:w="16834" w:h="11909" w:orient="landscape"/>
          <w:pgMar w:top="1169" w:right="541" w:bottom="360" w:left="540" w:header="720" w:footer="720" w:gutter="0"/>
          <w:cols w:space="60"/>
          <w:noEndnote/>
        </w:sect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32151E" w:rsidRDefault="0032151E"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p>
    <w:p w:rsidR="006A290F" w:rsidRPr="006A290F" w:rsidRDefault="006A290F" w:rsidP="006A290F">
      <w:pPr>
        <w:widowControl w:val="0"/>
        <w:shd w:val="clear" w:color="auto" w:fill="FFFFFF"/>
        <w:autoSpaceDE w:val="0"/>
        <w:autoSpaceDN w:val="0"/>
        <w:adjustRightInd w:val="0"/>
        <w:spacing w:after="0" w:line="240" w:lineRule="auto"/>
        <w:ind w:left="538"/>
        <w:jc w:val="center"/>
        <w:rPr>
          <w:rFonts w:ascii="Times New Roman" w:eastAsia="Times New Roman" w:hAnsi="Times New Roman" w:cs="Times New Roman"/>
          <w:b/>
          <w:bCs/>
          <w:color w:val="000000"/>
          <w:spacing w:val="-4"/>
          <w:sz w:val="24"/>
          <w:szCs w:val="24"/>
          <w:u w:val="single"/>
          <w:lang w:eastAsia="hr-HR"/>
        </w:rPr>
      </w:pPr>
      <w:r w:rsidRPr="006A290F">
        <w:rPr>
          <w:rFonts w:ascii="Times New Roman" w:eastAsia="Times New Roman" w:hAnsi="Times New Roman" w:cs="Times New Roman"/>
          <w:b/>
          <w:bCs/>
          <w:color w:val="000000"/>
          <w:spacing w:val="-4"/>
          <w:sz w:val="24"/>
          <w:szCs w:val="24"/>
          <w:u w:val="single"/>
          <w:lang w:eastAsia="hr-HR"/>
        </w:rPr>
        <w:t>NACRT POGLAVLJA 2</w:t>
      </w:r>
      <w:r>
        <w:rPr>
          <w:rFonts w:ascii="Times New Roman" w:eastAsia="Times New Roman" w:hAnsi="Times New Roman" w:cs="Times New Roman"/>
          <w:b/>
          <w:bCs/>
          <w:color w:val="000000"/>
          <w:spacing w:val="-4"/>
          <w:sz w:val="24"/>
          <w:szCs w:val="24"/>
          <w:u w:val="single"/>
          <w:lang w:eastAsia="hr-HR"/>
        </w:rPr>
        <w:t>.</w:t>
      </w:r>
      <w:r w:rsidRPr="006A290F">
        <w:rPr>
          <w:rFonts w:ascii="Times New Roman" w:eastAsia="Times New Roman" w:hAnsi="Times New Roman" w:cs="Times New Roman"/>
          <w:b/>
          <w:bCs/>
          <w:color w:val="000000"/>
          <w:spacing w:val="-4"/>
          <w:sz w:val="24"/>
          <w:szCs w:val="24"/>
          <w:u w:val="single"/>
          <w:lang w:eastAsia="hr-HR"/>
        </w:rPr>
        <w:t xml:space="preserve"> OPERATIVNOG PROGRAMA KONKURENTNOST I KOHEZIJA 2014.-2020.</w:t>
      </w:r>
    </w:p>
    <w:p w:rsidR="006A290F" w:rsidRDefault="006A290F"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4"/>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24"/>
          <w:szCs w:val="24"/>
          <w:lang w:eastAsia="hr-HR"/>
        </w:rPr>
        <w:t>2. PRIORITETNE OSI</w:t>
      </w:r>
    </w:p>
    <w:p w:rsidR="00FC3F35" w:rsidRPr="00576C1D" w:rsidRDefault="00FC3F35" w:rsidP="00FC3F35">
      <w:pPr>
        <w:widowControl w:val="0"/>
        <w:shd w:val="clear" w:color="auto" w:fill="FFFFFF"/>
        <w:autoSpaceDE w:val="0"/>
        <w:autoSpaceDN w:val="0"/>
        <w:adjustRightInd w:val="0"/>
        <w:spacing w:before="350"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24"/>
          <w:szCs w:val="24"/>
          <w:lang w:eastAsia="hr-HR"/>
        </w:rPr>
        <w:t xml:space="preserve">2.A </w:t>
      </w:r>
      <w:r w:rsidRPr="00576C1D">
        <w:rPr>
          <w:rFonts w:ascii="Times New Roman" w:eastAsia="Times New Roman" w:hAnsi="Times New Roman" w:cs="Times New Roman"/>
          <w:b/>
          <w:bCs/>
          <w:smallCaps/>
          <w:color w:val="000000"/>
          <w:spacing w:val="-4"/>
          <w:sz w:val="24"/>
          <w:szCs w:val="24"/>
          <w:lang w:eastAsia="hr-HR"/>
        </w:rPr>
        <w:t>OPIS PRIORITETNIH OSI OSIM TEHNIČKE POMOĆI</w:t>
      </w:r>
    </w:p>
    <w:p w:rsidR="00FC3F35" w:rsidRPr="00576C1D" w:rsidRDefault="00FC3F35" w:rsidP="00FC3F35">
      <w:pPr>
        <w:widowControl w:val="0"/>
        <w:shd w:val="clear" w:color="auto" w:fill="FFFFFF"/>
        <w:autoSpaceDE w:val="0"/>
        <w:autoSpaceDN w:val="0"/>
        <w:adjustRightInd w:val="0"/>
        <w:spacing w:before="475"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2.A.1 Prioritetna os</w:t>
      </w:r>
    </w:p>
    <w:tbl>
      <w:tblPr>
        <w:tblStyle w:val="TableGrid"/>
        <w:tblW w:w="0" w:type="auto"/>
        <w:tblInd w:w="108" w:type="dxa"/>
        <w:tblLook w:val="04A0" w:firstRow="1" w:lastRow="0" w:firstColumn="1" w:lastColumn="0" w:noHBand="0" w:noVBand="1"/>
      </w:tblPr>
      <w:tblGrid>
        <w:gridCol w:w="4423"/>
        <w:gridCol w:w="10745"/>
      </w:tblGrid>
      <w:tr w:rsidR="00B153D3" w:rsidRPr="00576C1D" w:rsidTr="00B153D3">
        <w:tc>
          <w:tcPr>
            <w:tcW w:w="4423" w:type="dxa"/>
          </w:tcPr>
          <w:p w:rsidR="00B153D3" w:rsidRPr="00576C1D" w:rsidRDefault="00B153D3" w:rsidP="00B153D3">
            <w:pPr>
              <w:rPr>
                <w:rFonts w:ascii="Times New Roman" w:hAnsi="Times New Roman"/>
              </w:rPr>
            </w:pPr>
            <w:r w:rsidRPr="00576C1D">
              <w:rPr>
                <w:rFonts w:ascii="Times New Roman" w:hAnsi="Times New Roman"/>
              </w:rPr>
              <w:t>Oznaka Prioritetne osi</w:t>
            </w:r>
          </w:p>
        </w:tc>
        <w:tc>
          <w:tcPr>
            <w:tcW w:w="10745" w:type="dxa"/>
          </w:tcPr>
          <w:p w:rsidR="00B153D3" w:rsidRPr="00576C1D" w:rsidRDefault="00B153D3" w:rsidP="00B153D3">
            <w:pPr>
              <w:rPr>
                <w:rFonts w:ascii="Times New Roman" w:hAnsi="Times New Roman"/>
              </w:rPr>
            </w:pPr>
          </w:p>
        </w:tc>
      </w:tr>
      <w:tr w:rsidR="00B153D3" w:rsidRPr="00576C1D" w:rsidTr="00B153D3">
        <w:tc>
          <w:tcPr>
            <w:tcW w:w="4423" w:type="dxa"/>
          </w:tcPr>
          <w:p w:rsidR="00B153D3" w:rsidRPr="00576C1D" w:rsidRDefault="00B153D3" w:rsidP="00B153D3">
            <w:pPr>
              <w:rPr>
                <w:rFonts w:ascii="Times New Roman" w:hAnsi="Times New Roman"/>
              </w:rPr>
            </w:pPr>
            <w:r w:rsidRPr="00576C1D">
              <w:rPr>
                <w:rFonts w:ascii="Times New Roman" w:hAnsi="Times New Roman"/>
              </w:rPr>
              <w:t>Naziv Prioritetne osi</w:t>
            </w:r>
          </w:p>
        </w:tc>
        <w:tc>
          <w:tcPr>
            <w:tcW w:w="10745" w:type="dxa"/>
          </w:tcPr>
          <w:p w:rsidR="00B153D3" w:rsidRPr="00576C1D" w:rsidRDefault="00B153D3" w:rsidP="00B153D3">
            <w:pPr>
              <w:rPr>
                <w:rFonts w:ascii="Times New Roman" w:hAnsi="Times New Roman"/>
              </w:rPr>
            </w:pPr>
            <w:r w:rsidRPr="00576C1D">
              <w:rPr>
                <w:rFonts w:ascii="Times New Roman" w:hAnsi="Times New Roman"/>
                <w:color w:val="000000"/>
                <w:spacing w:val="-1"/>
                <w:sz w:val="18"/>
                <w:szCs w:val="18"/>
              </w:rPr>
              <w:t>Jačanje gospodarstva primjenom istraživanja i inovacija</w:t>
            </w:r>
          </w:p>
        </w:tc>
      </w:tr>
    </w:tbl>
    <w:p w:rsidR="00FC3F35" w:rsidRPr="00576C1D" w:rsidRDefault="00FC3F35" w:rsidP="00B153D3">
      <w:pPr>
        <w:widowControl w:val="0"/>
        <w:shd w:val="clear" w:color="auto" w:fill="FFFFFF"/>
        <w:tabs>
          <w:tab w:val="left" w:pos="826"/>
        </w:tabs>
        <w:autoSpaceDE w:val="0"/>
        <w:autoSpaceDN w:val="0"/>
        <w:adjustRightInd w:val="0"/>
        <w:spacing w:after="0" w:line="288" w:lineRule="exact"/>
        <w:ind w:left="557" w:firstLine="436"/>
        <w:rPr>
          <w:rFonts w:ascii="Times New Roman" w:eastAsia="Times New Roman" w:hAnsi="Times New Roman" w:cs="Times New Roman"/>
          <w:sz w:val="20"/>
          <w:szCs w:val="20"/>
          <w:lang w:eastAsia="hr-HR"/>
        </w:rPr>
      </w:pP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t>Cjelokupna Prioritetna os provodit će se isključivo putem financijskih instrumenata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t>Cjelokupna Prioritetna os provodit će se isključivo putem financijskih instrumenata uspostavljenih na razini Unije</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t>Cjelokupna Prioritetna os provodit će se putem društveno vođenog lokalnog razvoja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sz w:val="20"/>
          <w:szCs w:val="20"/>
          <w:lang w:eastAsia="hr-HR"/>
        </w:rPr>
        <w:t>Za Europski socijalni fond: Cjelokupna Prioritetna os posvećena je socijalnim inovacijama ili međudržavnoj suradnji, ili oboje</w:t>
      </w:r>
    </w:p>
    <w:p w:rsidR="00FC3F35" w:rsidRPr="00576C1D" w:rsidRDefault="00FC3F35" w:rsidP="00FC3F35">
      <w:pPr>
        <w:widowControl w:val="0"/>
        <w:shd w:val="clear" w:color="auto" w:fill="FFFFFF"/>
        <w:autoSpaceDE w:val="0"/>
        <w:autoSpaceDN w:val="0"/>
        <w:adjustRightInd w:val="0"/>
        <w:spacing w:before="514" w:after="0" w:line="278" w:lineRule="exact"/>
        <w:ind w:left="542" w:right="13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2.A.2 Opravdanje za uspostavu prioritetne osi koja obuhvaća više od jedne kategorije regije, tematskog cilja ili fonda (po potrebi)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2.A.3 Fond, kategorija regije i osnovica za obračun potpore Unije</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81"/>
        <w:gridCol w:w="4646"/>
        <w:gridCol w:w="4646"/>
        <w:gridCol w:w="4666"/>
      </w:tblGrid>
      <w:tr w:rsidR="00FC3F35" w:rsidRPr="00576C1D" w:rsidTr="00FC3F35">
        <w:trPr>
          <w:trHeight w:hRule="exact" w:val="682"/>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11"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Obračunska osnovica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11"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Kategorija regije za najudaljenije regije i sjeverne rijetko naseljene regije (po potrebi)</w:t>
            </w:r>
          </w:p>
        </w:tc>
      </w:tr>
      <w:tr w:rsidR="00FC3F35" w:rsidRPr="00576C1D" w:rsidTr="00FC3F35">
        <w:trPr>
          <w:trHeight w:hRule="exact" w:val="470"/>
        </w:trPr>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EFRR</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Manje razvijena</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Ukupno</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headerReference w:type="even" r:id="rId15"/>
          <w:headerReference w:type="default" r:id="rId16"/>
          <w:footerReference w:type="even" r:id="rId17"/>
          <w:footerReference w:type="default" r:id="rId18"/>
          <w:headerReference w:type="first" r:id="rId19"/>
          <w:footerReference w:type="first" r:id="rId20"/>
          <w:type w:val="continuous"/>
          <w:pgSz w:w="16834" w:h="11909" w:orient="landscape"/>
          <w:pgMar w:top="1296" w:right="541" w:bottom="360" w:left="540" w:header="720" w:footer="720" w:gutter="0"/>
          <w:cols w:space="60"/>
          <w:noEndnote/>
        </w:sectPr>
      </w:pPr>
    </w:p>
    <w:p w:rsidR="00FC3F35" w:rsidRPr="00576C1D" w:rsidRDefault="00FC3F35" w:rsidP="00B153D3">
      <w:pPr>
        <w:widowControl w:val="0"/>
        <w:shd w:val="clear" w:color="auto" w:fill="FFFFFF"/>
        <w:autoSpaceDE w:val="0"/>
        <w:autoSpaceDN w:val="0"/>
        <w:adjustRightInd w:val="0"/>
        <w:spacing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lastRenderedPageBreak/>
        <w:t>2.A.4 Investicijski prioritet</w:t>
      </w: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tbl>
      <w:tblPr>
        <w:tblStyle w:val="TableGrid"/>
        <w:tblW w:w="0" w:type="auto"/>
        <w:tblLook w:val="04A0" w:firstRow="1" w:lastRow="0" w:firstColumn="1" w:lastColumn="0" w:noHBand="0" w:noVBand="1"/>
      </w:tblPr>
      <w:tblGrid>
        <w:gridCol w:w="4531"/>
        <w:gridCol w:w="10745"/>
      </w:tblGrid>
      <w:tr w:rsidR="00576C1D" w:rsidRPr="00576C1D" w:rsidTr="00576C1D">
        <w:tc>
          <w:tcPr>
            <w:tcW w:w="4531" w:type="dxa"/>
          </w:tcPr>
          <w:p w:rsidR="00576C1D" w:rsidRPr="00576C1D" w:rsidRDefault="00576C1D" w:rsidP="004229A4">
            <w:pPr>
              <w:rPr>
                <w:rFonts w:ascii="Times New Roman" w:hAnsi="Times New Roman"/>
              </w:rPr>
            </w:pPr>
            <w:r w:rsidRPr="00576C1D">
              <w:rPr>
                <w:rFonts w:ascii="Times New Roman" w:hAnsi="Times New Roman"/>
              </w:rPr>
              <w:t>Oznaka specifičnog cilja</w:t>
            </w:r>
          </w:p>
        </w:tc>
        <w:tc>
          <w:tcPr>
            <w:tcW w:w="10745" w:type="dxa"/>
          </w:tcPr>
          <w:p w:rsidR="00576C1D" w:rsidRPr="00576C1D" w:rsidRDefault="00576C1D" w:rsidP="004229A4">
            <w:pPr>
              <w:rPr>
                <w:rFonts w:ascii="Times New Roman" w:hAnsi="Times New Roman"/>
              </w:rPr>
            </w:pPr>
            <w:r w:rsidRPr="00576C1D">
              <w:rPr>
                <w:rFonts w:ascii="Times New Roman" w:hAnsi="Times New Roman"/>
                <w:b/>
                <w:bCs/>
                <w:color w:val="000000"/>
                <w:sz w:val="18"/>
                <w:szCs w:val="18"/>
              </w:rPr>
              <w:t>1</w:t>
            </w:r>
          </w:p>
        </w:tc>
      </w:tr>
      <w:tr w:rsidR="00576C1D" w:rsidRPr="00576C1D" w:rsidTr="00576C1D">
        <w:tc>
          <w:tcPr>
            <w:tcW w:w="4531" w:type="dxa"/>
          </w:tcPr>
          <w:p w:rsidR="00576C1D" w:rsidRPr="00576C1D" w:rsidRDefault="00576C1D" w:rsidP="004229A4">
            <w:pPr>
              <w:rPr>
                <w:rFonts w:ascii="Times New Roman" w:hAnsi="Times New Roman"/>
              </w:rPr>
            </w:pPr>
            <w:r w:rsidRPr="00576C1D">
              <w:rPr>
                <w:rFonts w:ascii="Times New Roman" w:hAnsi="Times New Roman"/>
              </w:rPr>
              <w:t>Naziv specifičnog cilja</w:t>
            </w:r>
          </w:p>
        </w:tc>
        <w:tc>
          <w:tcPr>
            <w:tcW w:w="10745" w:type="dxa"/>
          </w:tcPr>
          <w:p w:rsidR="00576C1D" w:rsidRPr="00576C1D" w:rsidRDefault="00576C1D" w:rsidP="004229A4">
            <w:pPr>
              <w:rPr>
                <w:rFonts w:ascii="Times New Roman" w:hAnsi="Times New Roman"/>
              </w:rPr>
            </w:pPr>
            <w:r w:rsidRPr="00576C1D">
              <w:rPr>
                <w:rFonts w:ascii="Times New Roman" w:hAnsi="Times New Roman"/>
                <w:color w:val="000000"/>
                <w:spacing w:val="-1"/>
                <w:sz w:val="18"/>
                <w:szCs w:val="18"/>
              </w:rPr>
              <w:t>Povećana sposobnost sektora za istraživanje, razvoj i inovacije (IRI) za provođenje istraživanja vrhunske kvalitete i suradnju na nacionalnoj i međunarodnoj razini</w:t>
            </w:r>
          </w:p>
        </w:tc>
      </w:tr>
      <w:tr w:rsidR="00576C1D" w:rsidRPr="00576C1D" w:rsidTr="00576C1D">
        <w:tc>
          <w:tcPr>
            <w:tcW w:w="4531" w:type="dxa"/>
          </w:tcPr>
          <w:p w:rsidR="00576C1D" w:rsidRPr="00576C1D" w:rsidRDefault="00576C1D" w:rsidP="004229A4">
            <w:pPr>
              <w:widowControl w:val="0"/>
              <w:shd w:val="clear" w:color="auto" w:fill="FFFFFF"/>
              <w:autoSpaceDE w:val="0"/>
              <w:autoSpaceDN w:val="0"/>
              <w:adjustRightInd w:val="0"/>
              <w:spacing w:line="206" w:lineRule="exact"/>
              <w:ind w:left="10"/>
              <w:rPr>
                <w:rFonts w:ascii="Times New Roman" w:hAnsi="Times New Roman"/>
              </w:rPr>
            </w:pPr>
            <w:r w:rsidRPr="00576C1D">
              <w:rPr>
                <w:rFonts w:ascii="Times New Roman" w:hAnsi="Times New Roman"/>
              </w:rPr>
              <w:t>Rezultati koje države članice žele postići uz potporu Unije</w:t>
            </w:r>
          </w:p>
          <w:p w:rsidR="00576C1D" w:rsidRPr="00576C1D" w:rsidRDefault="00576C1D" w:rsidP="004229A4">
            <w:pPr>
              <w:rPr>
                <w:rFonts w:ascii="Times New Roman" w:hAnsi="Times New Roman"/>
              </w:rPr>
            </w:pPr>
          </w:p>
        </w:tc>
        <w:tc>
          <w:tcPr>
            <w:tcW w:w="10745" w:type="dxa"/>
          </w:tcPr>
          <w:p w:rsidR="00576C1D" w:rsidRPr="002176D9" w:rsidRDefault="00576C1D" w:rsidP="004229A4">
            <w:pPr>
              <w:widowControl w:val="0"/>
              <w:shd w:val="clear" w:color="auto" w:fill="FFFFFF"/>
              <w:autoSpaceDE w:val="0"/>
              <w:autoSpaceDN w:val="0"/>
              <w:adjustRightInd w:val="0"/>
              <w:spacing w:before="67" w:line="274" w:lineRule="exact"/>
              <w:rPr>
                <w:rFonts w:ascii="Times New Roman" w:hAnsi="Times New Roman"/>
                <w:color w:val="000000"/>
                <w:spacing w:val="-1"/>
                <w:sz w:val="24"/>
                <w:szCs w:val="24"/>
              </w:rPr>
            </w:pPr>
            <w:r w:rsidRPr="002176D9">
              <w:rPr>
                <w:rFonts w:ascii="Times New Roman" w:hAnsi="Times New Roman"/>
                <w:color w:val="000000"/>
                <w:spacing w:val="-1"/>
                <w:sz w:val="24"/>
                <w:szCs w:val="24"/>
              </w:rPr>
              <w:t>Unutar specifičnog cilja 1a poticat će se sustav istraživanja otvoren za inovacije, učinkovit i atraktivan najboljim talentima. To će biti postignuto kroz potporu projektima koji integriraju organizacijsku reformu, infrastrukturna ulaganja, razvoj ljudskih resursa u IRI području i istraživačke aktivnosti, a čiji je cilj osigurati provedbu vrhunskih znanstvenih istraživanja i potaknuti daljnji prijenos znanja i vještina koji mogu djelotvorno pridonijeti društvenom razvoju i gospodarskom rastu. Mali broj znanstvenih rezultata uzrokovan je slabom kvalitetom znanstveno-istraživačke opreme i povezane infrastrukture, neadekvatnim korištenjem znanstvenih potencijala (ljudskih resursa), organizacijskim preprekama i slabom kvalitetom provedenih istraživanja. Ulaganjima u IRI sektor kroz projekte koji integriraju sve spomenute komponente, uklonit će se ključne prepreke za provedbu vrhunskih znanstveno-istraživačkih aktivnosti u javnim i privatnim znanstvenim organizacijama (ZO) u Hrvatskoj. Nacrt Strategije za obrazovanje, znanost i tehnologiju naglašava potrebu za promjenama i strukturalnom preobrazbom hrvatske znanosti kako bi se u punom opsegu pridonijelo globalnom fondu znanja, ali i društvenom i gospodarskom razvoju, otvaranju radnih mjesta i poboljšanju kvalitete života. Jedan od ciljeva Strategije su preobrazba/reorganizacija ZO-a u međunarodno konkurentna javna i privatna visoka učilišta i znanstvene organizacije koji stvaraju nove znanstvene, društvene i gospodarske vrijednosti.</w:t>
            </w:r>
          </w:p>
          <w:p w:rsidR="00576C1D" w:rsidRPr="002176D9" w:rsidRDefault="00576C1D" w:rsidP="004229A4">
            <w:pPr>
              <w:widowControl w:val="0"/>
              <w:shd w:val="clear" w:color="auto" w:fill="FFFFFF"/>
              <w:autoSpaceDE w:val="0"/>
              <w:autoSpaceDN w:val="0"/>
              <w:adjustRightInd w:val="0"/>
              <w:spacing w:before="67" w:line="274" w:lineRule="exact"/>
              <w:rPr>
                <w:rFonts w:ascii="Times New Roman" w:hAnsi="Times New Roman"/>
                <w:sz w:val="24"/>
                <w:szCs w:val="24"/>
              </w:rPr>
            </w:pPr>
            <w:r w:rsidRPr="002176D9">
              <w:rPr>
                <w:rFonts w:ascii="Times New Roman" w:hAnsi="Times New Roman"/>
                <w:color w:val="000000"/>
                <w:spacing w:val="-1"/>
                <w:sz w:val="24"/>
                <w:szCs w:val="24"/>
              </w:rPr>
              <w:t>Plan razvoja istraživačke i inovacijske infrastrukture u Republici Hrvatskoj (Plan razvoja) sadrži službeni popis svih trenutačno raspoloživih jedinica kapitalne opreme u Hrvatskoj. Većina opreme i infrastrukture u IRI sektoru u Hrvatskoj je zastarjela i u tom smislu ne može služiti potrebama gospodarstva. Oprema i infrastruktura (uključujući e-infrastrukturu) u IRI području fragmentirana je i nedostupna, a mnoge institucije za istraživanje i razvoj uopće ne posjeduju kapitalnu opremu. Putem ulaganja u integrirane projekte kroz ovaj specifični cilj, taj će se problem uvelike smanjiti. Integrirani projekti također će omogućiti koncentraciju sredstava kroz organizacijske promjene u znanstvenim organizacijama, stvarajući efikasniji sustav istraživanja koji podupire prioritetna područja strategije pametne specijalizacije(S3).</w:t>
            </w:r>
          </w:p>
          <w:p w:rsidR="00576C1D" w:rsidRPr="00576C1D" w:rsidRDefault="00576C1D" w:rsidP="004229A4">
            <w:pPr>
              <w:rPr>
                <w:rFonts w:ascii="Times New Roman" w:hAnsi="Times New Roman"/>
              </w:rPr>
            </w:pPr>
          </w:p>
        </w:tc>
      </w:tr>
      <w:tr w:rsidR="00576C1D" w:rsidRPr="00576C1D" w:rsidTr="00576C1D">
        <w:tc>
          <w:tcPr>
            <w:tcW w:w="4531" w:type="dxa"/>
          </w:tcPr>
          <w:p w:rsidR="00576C1D" w:rsidRPr="00576C1D" w:rsidRDefault="00576C1D" w:rsidP="004229A4">
            <w:pPr>
              <w:rPr>
                <w:rFonts w:ascii="Times New Roman" w:hAnsi="Times New Roman"/>
              </w:rPr>
            </w:pPr>
            <w:r w:rsidRPr="00576C1D">
              <w:rPr>
                <w:rFonts w:ascii="Times New Roman" w:hAnsi="Times New Roman"/>
              </w:rPr>
              <w:t>Oznaka specifičnog cilja</w:t>
            </w:r>
          </w:p>
        </w:tc>
        <w:tc>
          <w:tcPr>
            <w:tcW w:w="10745" w:type="dxa"/>
          </w:tcPr>
          <w:p w:rsidR="00576C1D" w:rsidRPr="00576C1D" w:rsidRDefault="00576C1D" w:rsidP="004229A4">
            <w:pPr>
              <w:rPr>
                <w:rFonts w:ascii="Times New Roman" w:hAnsi="Times New Roman"/>
              </w:rPr>
            </w:pPr>
            <w:r w:rsidRPr="00576C1D">
              <w:rPr>
                <w:rFonts w:ascii="Times New Roman" w:hAnsi="Times New Roman"/>
                <w:color w:val="000000"/>
                <w:sz w:val="18"/>
                <w:szCs w:val="18"/>
              </w:rPr>
              <w:t>2</w:t>
            </w:r>
          </w:p>
        </w:tc>
      </w:tr>
      <w:tr w:rsidR="00576C1D" w:rsidRPr="00576C1D" w:rsidTr="00576C1D">
        <w:tc>
          <w:tcPr>
            <w:tcW w:w="4531" w:type="dxa"/>
          </w:tcPr>
          <w:p w:rsidR="00576C1D" w:rsidRPr="00576C1D" w:rsidRDefault="00576C1D" w:rsidP="004229A4">
            <w:pPr>
              <w:rPr>
                <w:rFonts w:ascii="Times New Roman" w:hAnsi="Times New Roman"/>
              </w:rPr>
            </w:pPr>
            <w:r w:rsidRPr="00576C1D">
              <w:rPr>
                <w:rFonts w:ascii="Times New Roman" w:hAnsi="Times New Roman"/>
              </w:rPr>
              <w:t>Naziv specifičnog cilja</w:t>
            </w:r>
          </w:p>
        </w:tc>
        <w:tc>
          <w:tcPr>
            <w:tcW w:w="10745" w:type="dxa"/>
          </w:tcPr>
          <w:p w:rsidR="00576C1D" w:rsidRPr="00576C1D" w:rsidRDefault="00576C1D" w:rsidP="004229A4">
            <w:pPr>
              <w:rPr>
                <w:rFonts w:ascii="Times New Roman" w:hAnsi="Times New Roman"/>
              </w:rPr>
            </w:pPr>
            <w:r w:rsidRPr="00576C1D">
              <w:rPr>
                <w:rFonts w:ascii="Times New Roman" w:hAnsi="Times New Roman"/>
                <w:color w:val="000000"/>
                <w:spacing w:val="-1"/>
                <w:sz w:val="18"/>
                <w:szCs w:val="18"/>
              </w:rPr>
              <w:t>Visokokvalitetna istraživanja Znanstvenih centara izvrsnosti</w:t>
            </w:r>
          </w:p>
        </w:tc>
      </w:tr>
      <w:tr w:rsidR="00576C1D" w:rsidRPr="00576C1D" w:rsidTr="00576C1D">
        <w:tc>
          <w:tcPr>
            <w:tcW w:w="4531" w:type="dxa"/>
          </w:tcPr>
          <w:p w:rsidR="00576C1D" w:rsidRPr="00576C1D" w:rsidRDefault="00576C1D" w:rsidP="004229A4">
            <w:pPr>
              <w:rPr>
                <w:rFonts w:ascii="Times New Roman" w:hAnsi="Times New Roman"/>
              </w:rPr>
            </w:pPr>
            <w:r w:rsidRPr="00576C1D">
              <w:rPr>
                <w:rFonts w:ascii="Times New Roman" w:hAnsi="Times New Roman"/>
              </w:rPr>
              <w:t>Rezultati koje države članice žele postići uz potporu Unije</w:t>
            </w:r>
          </w:p>
        </w:tc>
        <w:tc>
          <w:tcPr>
            <w:tcW w:w="10745" w:type="dxa"/>
          </w:tcPr>
          <w:p w:rsidR="00576C1D" w:rsidRPr="00576C1D" w:rsidRDefault="00576C1D" w:rsidP="004229A4">
            <w:pPr>
              <w:widowControl w:val="0"/>
              <w:shd w:val="clear" w:color="auto" w:fill="FFFFFF"/>
              <w:autoSpaceDE w:val="0"/>
              <w:autoSpaceDN w:val="0"/>
              <w:adjustRightInd w:val="0"/>
              <w:spacing w:line="274" w:lineRule="exact"/>
              <w:ind w:right="43" w:firstLine="5"/>
              <w:rPr>
                <w:rFonts w:ascii="Times New Roman" w:hAnsi="Times New Roman"/>
              </w:rPr>
            </w:pPr>
            <w:r w:rsidRPr="00576C1D">
              <w:rPr>
                <w:rFonts w:ascii="Times New Roman" w:hAnsi="Times New Roman"/>
                <w:color w:val="000000"/>
                <w:spacing w:val="-1"/>
                <w:sz w:val="24"/>
                <w:szCs w:val="24"/>
              </w:rPr>
              <w:t xml:space="preserve">Problem niske kvalitete rezultata hrvatskih znanstvenih organizacija koji koče put ka znanstvenoj izvrsnosti vidljiv je u nekoliko aspekata. U smislu znanstvene proizvodnje, citiranost se može smatrati pokazateljem kvalitete znanstvenog istraživanja. Prema jednom od pokazatelja Europska inovacijska ljestvica uspjeha, a </w:t>
            </w:r>
            <w:r w:rsidRPr="00576C1D">
              <w:rPr>
                <w:rFonts w:ascii="Times New Roman" w:hAnsi="Times New Roman"/>
                <w:color w:val="000000"/>
                <w:spacing w:val="-1"/>
                <w:sz w:val="24"/>
                <w:szCs w:val="24"/>
              </w:rPr>
              <w:lastRenderedPageBreak/>
              <w:t>koji označava postotak od ukupnih znanstvenih publikacija zemlje koji se nalazi među 10 % najcitiranijih publikacija u svijetu, hrvatska istraživačka uspješnost (3,2) značajno zaostaje za prosjekom Europske unije (10,9). Zaostajanje IRI organizacija prvenstveno je rezultat nedostatnog ulaganja u istraživanje i razvoj. Bruto izdaci u sektoru istraživanja i razvoja, kao postotak BDP-a u 2012., iznose 0,75 %, u usporedbi s prosjekom zemalja EU-28 od 2,07 %, što je rezultiralo manje konkurentnimIR sektorom nedovoljno otvorenim za suradnju. Nezadovoljavajuća razina sudjelovanja znanstvenih organizacija/istraživača u europskim projektima, programima i inicijativama (posebno kao vodećeg partnera) također predstavlja problem. Primjerice, u razdoblju od 2007. do 2012., sudjelovanje istraživača iz Hrvatske u okvirnom programu FP7 i njihova prosječna stopa uspješnosti od 17,04 %  nalazi se ispod prosjeka zemalja EU-28 (21,89 %). Spomenuti problemi trebaju se riješiti ciljanim institucionalnim pristupom temeljenim na načelu izvrsnosti putem potpora projektima koji provode Znanstveni centri izvrsnosti (ZCI</w:t>
            </w:r>
            <w:r w:rsidRPr="00576C1D">
              <w:rPr>
                <w:rFonts w:ascii="Times New Roman" w:hAnsi="Times New Roman"/>
                <w:color w:val="000000"/>
                <w:spacing w:val="-5"/>
                <w:sz w:val="24"/>
                <w:szCs w:val="24"/>
              </w:rPr>
              <w:t>).</w:t>
            </w:r>
          </w:p>
          <w:p w:rsidR="00576C1D" w:rsidRPr="00576C1D" w:rsidRDefault="00576C1D" w:rsidP="004229A4">
            <w:pPr>
              <w:widowControl w:val="0"/>
              <w:shd w:val="clear" w:color="auto" w:fill="FFFFFF"/>
              <w:autoSpaceDE w:val="0"/>
              <w:autoSpaceDN w:val="0"/>
              <w:adjustRightInd w:val="0"/>
              <w:spacing w:line="274" w:lineRule="exact"/>
              <w:ind w:right="48" w:firstLine="5"/>
              <w:rPr>
                <w:rFonts w:ascii="Times New Roman" w:hAnsi="Times New Roman"/>
                <w:color w:val="000000"/>
                <w:sz w:val="24"/>
                <w:szCs w:val="24"/>
              </w:rPr>
            </w:pPr>
            <w:r w:rsidRPr="00576C1D">
              <w:rPr>
                <w:rFonts w:ascii="Times New Roman" w:hAnsi="Times New Roman"/>
                <w:color w:val="000000"/>
                <w:sz w:val="24"/>
                <w:szCs w:val="24"/>
              </w:rPr>
              <w:t>U narednim godinama, u skladu sa Zakonom o znanstvenoj djelatnosti i visokom obrazovanju, Republika Hrvatska će uspostaviti nacionalne ZCI-e kao znanstvene organizacije ili njezin ustrojbeni dio ili skupinu znanstvenika, koji temeljem originalnosti, značaja i aktualnosti rezultata znanstvenog rada unutar određene znanstvene discipline mogu biti kvalificirani i uvršteni  među najuglednije znanstvene organizacija ili skupine u svijetu. ZCI će usmjeriti svoje aktivnosti na provođenje istraživanja u ključnim područjima utvrđenima sa stajališta mogućnosti razvoja hrvatskog i europskog gospodarstva.</w:t>
            </w:r>
          </w:p>
          <w:p w:rsidR="00576C1D" w:rsidRPr="00576C1D" w:rsidRDefault="00576C1D" w:rsidP="004229A4">
            <w:pPr>
              <w:widowControl w:val="0"/>
              <w:shd w:val="clear" w:color="auto" w:fill="FFFFFF"/>
              <w:autoSpaceDE w:val="0"/>
              <w:autoSpaceDN w:val="0"/>
              <w:adjustRightInd w:val="0"/>
              <w:spacing w:line="274" w:lineRule="exact"/>
              <w:ind w:right="48" w:firstLine="5"/>
              <w:rPr>
                <w:rFonts w:ascii="Times New Roman" w:hAnsi="Times New Roman"/>
                <w:color w:val="000000"/>
                <w:sz w:val="24"/>
                <w:szCs w:val="24"/>
              </w:rPr>
            </w:pPr>
          </w:p>
          <w:p w:rsidR="00576C1D" w:rsidRPr="00576C1D" w:rsidRDefault="00576C1D" w:rsidP="004229A4">
            <w:pPr>
              <w:widowControl w:val="0"/>
              <w:shd w:val="clear" w:color="auto" w:fill="FFFFFF"/>
              <w:autoSpaceDE w:val="0"/>
              <w:autoSpaceDN w:val="0"/>
              <w:adjustRightInd w:val="0"/>
              <w:spacing w:line="274" w:lineRule="exact"/>
              <w:ind w:right="48" w:firstLine="5"/>
              <w:rPr>
                <w:rFonts w:ascii="Times New Roman" w:hAnsi="Times New Roman"/>
                <w:color w:val="000000"/>
                <w:sz w:val="24"/>
                <w:szCs w:val="24"/>
              </w:rPr>
            </w:pPr>
            <w:r w:rsidRPr="00576C1D">
              <w:rPr>
                <w:rFonts w:ascii="Times New Roman" w:hAnsi="Times New Roman"/>
                <w:color w:val="000000"/>
                <w:sz w:val="24"/>
                <w:szCs w:val="24"/>
              </w:rPr>
              <w:t>Potpora unutar ovog specifičnog cilja bit će pružena nacionalnim ZCI-a koji provode projekte istraživanja koji su iznad pojedinačnih znanstvenih rezultata te za provedbu IRI aktivnosti na vrlo visokoj razini u smislu mjerljive znanstvene produkcije i tehnološke inovacije.</w:t>
            </w:r>
          </w:p>
          <w:p w:rsidR="00576C1D" w:rsidRPr="00576C1D" w:rsidRDefault="00576C1D" w:rsidP="004229A4">
            <w:pPr>
              <w:widowControl w:val="0"/>
              <w:shd w:val="clear" w:color="auto" w:fill="FFFFFF"/>
              <w:autoSpaceDE w:val="0"/>
              <w:autoSpaceDN w:val="0"/>
              <w:adjustRightInd w:val="0"/>
              <w:spacing w:line="274" w:lineRule="exact"/>
              <w:ind w:right="48" w:firstLine="5"/>
              <w:rPr>
                <w:rFonts w:ascii="Times New Roman" w:hAnsi="Times New Roman"/>
                <w:color w:val="000000"/>
                <w:sz w:val="24"/>
                <w:szCs w:val="24"/>
              </w:rPr>
            </w:pPr>
            <w:r w:rsidRPr="00576C1D">
              <w:rPr>
                <w:rFonts w:ascii="Times New Roman" w:hAnsi="Times New Roman"/>
                <w:color w:val="000000"/>
                <w:sz w:val="24"/>
                <w:szCs w:val="24"/>
              </w:rPr>
              <w:t>Jedan od glavnih ciljeva ZCI-a bit će razvoj suradnje s međunarodnim znanstvenim organizacijama, doprinos uspostavljanju specijaliziranih, globalno istaknutih znanstveno-istraživačkih timova u Hrvatskoj koji primjenjuju najbolju svjetsku praksu u smislu prepoznavanja istraživačkih programa i tema. Potpora će obuhvatiti IRI aktivnosti unutar projekta, posebice primijenjena istraživanja i eksperimentalni razvoj, suradnju između partnera, prijenos znanja i razvoj ljudskih potencijala u povezanim područjima.</w:t>
            </w:r>
          </w:p>
          <w:p w:rsidR="00576C1D" w:rsidRPr="00576C1D" w:rsidRDefault="00576C1D" w:rsidP="004229A4">
            <w:pPr>
              <w:widowControl w:val="0"/>
              <w:shd w:val="clear" w:color="auto" w:fill="FFFFFF"/>
              <w:autoSpaceDE w:val="0"/>
              <w:autoSpaceDN w:val="0"/>
              <w:adjustRightInd w:val="0"/>
              <w:spacing w:line="274" w:lineRule="exact"/>
              <w:ind w:right="48" w:firstLine="5"/>
              <w:rPr>
                <w:rFonts w:ascii="Times New Roman" w:hAnsi="Times New Roman"/>
                <w:color w:val="000000"/>
                <w:sz w:val="24"/>
                <w:szCs w:val="24"/>
              </w:rPr>
            </w:pPr>
          </w:p>
          <w:p w:rsidR="00576C1D" w:rsidRPr="00576C1D" w:rsidRDefault="00576C1D" w:rsidP="004229A4">
            <w:pPr>
              <w:widowControl w:val="0"/>
              <w:shd w:val="clear" w:color="auto" w:fill="FFFFFF"/>
              <w:autoSpaceDE w:val="0"/>
              <w:autoSpaceDN w:val="0"/>
              <w:adjustRightInd w:val="0"/>
              <w:spacing w:line="274" w:lineRule="exact"/>
              <w:ind w:right="48" w:firstLine="5"/>
              <w:rPr>
                <w:rFonts w:ascii="Times New Roman" w:hAnsi="Times New Roman"/>
                <w:color w:val="000000"/>
                <w:sz w:val="24"/>
                <w:szCs w:val="24"/>
              </w:rPr>
            </w:pPr>
            <w:r w:rsidRPr="00576C1D">
              <w:rPr>
                <w:rFonts w:ascii="Times New Roman" w:hAnsi="Times New Roman"/>
                <w:color w:val="000000"/>
                <w:sz w:val="24"/>
                <w:szCs w:val="24"/>
              </w:rPr>
              <w:t>S ciljem primanja potpore, istraživanje mora biti u skladu s prioritetima navedenim u nacionalnoj Strategiji pametne specijalizacije. U široj perspektivi, to će pozitivno pridonijeti ujedinjavanju europskog istraživačkog prostora kroz umrežavanje znanstvenika i protok ideja i znanja.</w:t>
            </w:r>
          </w:p>
          <w:p w:rsidR="00576C1D" w:rsidRPr="00576C1D" w:rsidRDefault="00576C1D" w:rsidP="004229A4">
            <w:pPr>
              <w:widowControl w:val="0"/>
              <w:shd w:val="clear" w:color="auto" w:fill="FFFFFF"/>
              <w:autoSpaceDE w:val="0"/>
              <w:autoSpaceDN w:val="0"/>
              <w:adjustRightInd w:val="0"/>
              <w:spacing w:line="274" w:lineRule="exact"/>
              <w:ind w:right="48" w:firstLine="5"/>
              <w:rPr>
                <w:rFonts w:ascii="Times New Roman" w:hAnsi="Times New Roman"/>
                <w:color w:val="000000"/>
                <w:sz w:val="24"/>
                <w:szCs w:val="24"/>
              </w:rPr>
            </w:pPr>
            <w:r w:rsidRPr="00576C1D">
              <w:rPr>
                <w:rFonts w:ascii="Times New Roman" w:hAnsi="Times New Roman"/>
                <w:color w:val="000000"/>
                <w:sz w:val="24"/>
                <w:szCs w:val="24"/>
              </w:rPr>
              <w:t>Rezultat intervencija temeljem ovog specifičnog cilja bit će brojni projekti ZCI-jeva koji će povećati kvalitetu znanstveno-istraživačkog rada u Hrvatskoj, mjereno temeljem porasta ukupnog broja znanstvenih publikacija objavljenih u časopisima indeksiranih u „Web ofScience“, kao pokazatelja kvalitete znanstvenog istraživanja.</w:t>
            </w:r>
          </w:p>
          <w:p w:rsidR="00576C1D" w:rsidRPr="00576C1D" w:rsidRDefault="00576C1D" w:rsidP="004229A4">
            <w:pPr>
              <w:rPr>
                <w:rFonts w:ascii="Times New Roman" w:hAnsi="Times New Roman"/>
              </w:rPr>
            </w:pPr>
          </w:p>
        </w:tc>
      </w:tr>
      <w:tr w:rsidR="00576C1D" w:rsidRPr="00576C1D" w:rsidTr="00576C1D">
        <w:tc>
          <w:tcPr>
            <w:tcW w:w="4531" w:type="dxa"/>
          </w:tcPr>
          <w:p w:rsidR="00576C1D" w:rsidRPr="00576C1D" w:rsidRDefault="00576C1D" w:rsidP="004229A4">
            <w:pPr>
              <w:rPr>
                <w:rFonts w:ascii="Times New Roman" w:hAnsi="Times New Roman"/>
              </w:rPr>
            </w:pPr>
            <w:r w:rsidRPr="00576C1D">
              <w:rPr>
                <w:rFonts w:ascii="Times New Roman" w:hAnsi="Times New Roman"/>
                <w:b/>
                <w:bCs/>
                <w:color w:val="000000"/>
                <w:sz w:val="18"/>
                <w:szCs w:val="18"/>
              </w:rPr>
              <w:lastRenderedPageBreak/>
              <w:t>Oznaka specifičnog cilja</w:t>
            </w:r>
          </w:p>
        </w:tc>
        <w:tc>
          <w:tcPr>
            <w:tcW w:w="10745" w:type="dxa"/>
          </w:tcPr>
          <w:p w:rsidR="00576C1D" w:rsidRPr="00576C1D" w:rsidRDefault="00576C1D" w:rsidP="004229A4">
            <w:pPr>
              <w:widowControl w:val="0"/>
              <w:shd w:val="clear" w:color="auto" w:fill="FFFFFF"/>
              <w:autoSpaceDE w:val="0"/>
              <w:autoSpaceDN w:val="0"/>
              <w:adjustRightInd w:val="0"/>
              <w:spacing w:line="274" w:lineRule="exact"/>
              <w:ind w:right="43" w:firstLine="5"/>
              <w:rPr>
                <w:rFonts w:ascii="Times New Roman" w:hAnsi="Times New Roman"/>
                <w:color w:val="000000"/>
                <w:spacing w:val="-1"/>
                <w:sz w:val="24"/>
                <w:szCs w:val="24"/>
              </w:rPr>
            </w:pPr>
            <w:r w:rsidRPr="00576C1D">
              <w:rPr>
                <w:rFonts w:ascii="Times New Roman" w:hAnsi="Times New Roman"/>
                <w:color w:val="000000"/>
                <w:spacing w:val="-1"/>
                <w:sz w:val="24"/>
                <w:szCs w:val="24"/>
              </w:rPr>
              <w:t>3</w:t>
            </w:r>
          </w:p>
        </w:tc>
      </w:tr>
      <w:tr w:rsidR="00576C1D" w:rsidRPr="00576C1D" w:rsidTr="00576C1D">
        <w:tc>
          <w:tcPr>
            <w:tcW w:w="4531" w:type="dxa"/>
          </w:tcPr>
          <w:p w:rsidR="00576C1D" w:rsidRPr="00576C1D" w:rsidRDefault="00576C1D" w:rsidP="004229A4">
            <w:pPr>
              <w:rPr>
                <w:rFonts w:ascii="Times New Roman" w:hAnsi="Times New Roman"/>
              </w:rPr>
            </w:pPr>
            <w:r w:rsidRPr="00576C1D">
              <w:rPr>
                <w:rFonts w:ascii="Times New Roman" w:hAnsi="Times New Roman"/>
                <w:b/>
                <w:bCs/>
                <w:color w:val="000000"/>
                <w:sz w:val="18"/>
                <w:szCs w:val="18"/>
              </w:rPr>
              <w:t>Naziv specifičnog cilja</w:t>
            </w:r>
          </w:p>
        </w:tc>
        <w:tc>
          <w:tcPr>
            <w:tcW w:w="10745" w:type="dxa"/>
          </w:tcPr>
          <w:p w:rsidR="00576C1D" w:rsidRPr="00576C1D" w:rsidRDefault="00576C1D" w:rsidP="004229A4">
            <w:pPr>
              <w:widowControl w:val="0"/>
              <w:shd w:val="clear" w:color="auto" w:fill="FFFFFF"/>
              <w:autoSpaceDE w:val="0"/>
              <w:autoSpaceDN w:val="0"/>
              <w:adjustRightInd w:val="0"/>
              <w:spacing w:line="274" w:lineRule="exact"/>
              <w:ind w:right="43" w:firstLine="5"/>
              <w:rPr>
                <w:rFonts w:ascii="Times New Roman" w:hAnsi="Times New Roman"/>
                <w:color w:val="000000"/>
                <w:spacing w:val="-1"/>
                <w:sz w:val="24"/>
                <w:szCs w:val="24"/>
              </w:rPr>
            </w:pPr>
            <w:r w:rsidRPr="00576C1D">
              <w:rPr>
                <w:rFonts w:ascii="Times New Roman" w:hAnsi="Times New Roman"/>
                <w:color w:val="000000"/>
                <w:spacing w:val="-1"/>
                <w:sz w:val="18"/>
                <w:szCs w:val="18"/>
              </w:rPr>
              <w:t>IRI aktivnosti znanstvenih organizacija usmjerene na potrebe gospodarstva</w:t>
            </w:r>
          </w:p>
        </w:tc>
      </w:tr>
      <w:tr w:rsidR="00576C1D" w:rsidRPr="00576C1D" w:rsidTr="00576C1D">
        <w:tc>
          <w:tcPr>
            <w:tcW w:w="4531" w:type="dxa"/>
          </w:tcPr>
          <w:p w:rsidR="00576C1D" w:rsidRPr="00576C1D" w:rsidRDefault="00576C1D" w:rsidP="004229A4">
            <w:pPr>
              <w:rPr>
                <w:rFonts w:ascii="Times New Roman" w:hAnsi="Times New Roman"/>
              </w:rPr>
            </w:pPr>
            <w:r w:rsidRPr="00576C1D">
              <w:rPr>
                <w:rFonts w:ascii="Times New Roman" w:hAnsi="Times New Roman"/>
                <w:b/>
                <w:bCs/>
                <w:color w:val="000000"/>
                <w:sz w:val="18"/>
                <w:szCs w:val="18"/>
              </w:rPr>
              <w:t>Rezultatikoje države članice žele postići uz potporu Unije</w:t>
            </w:r>
          </w:p>
        </w:tc>
        <w:tc>
          <w:tcPr>
            <w:tcW w:w="10745" w:type="dxa"/>
          </w:tcPr>
          <w:p w:rsidR="00576C1D" w:rsidRPr="00576C1D" w:rsidRDefault="00576C1D" w:rsidP="004229A4">
            <w:pPr>
              <w:widowControl w:val="0"/>
              <w:shd w:val="clear" w:color="auto" w:fill="FFFFFF"/>
              <w:autoSpaceDE w:val="0"/>
              <w:autoSpaceDN w:val="0"/>
              <w:adjustRightInd w:val="0"/>
              <w:spacing w:line="274" w:lineRule="exact"/>
              <w:ind w:right="331" w:firstLine="5"/>
              <w:rPr>
                <w:rFonts w:ascii="Times New Roman" w:hAnsi="Times New Roman"/>
                <w:color w:val="000000"/>
                <w:spacing w:val="-1"/>
                <w:sz w:val="24"/>
                <w:szCs w:val="24"/>
              </w:rPr>
            </w:pPr>
            <w:r w:rsidRPr="00576C1D">
              <w:rPr>
                <w:rFonts w:ascii="Times New Roman" w:hAnsi="Times New Roman"/>
                <w:color w:val="000000"/>
                <w:spacing w:val="-1"/>
                <w:sz w:val="24"/>
                <w:szCs w:val="24"/>
              </w:rPr>
              <w:t xml:space="preserve">Ovaj specifični cilj usmjeren je na financiranje IRI projekata znanstvenih organizacija s jasnim ciljem odgovaranja na potrebe gospodarstva. Podrška je predviđena samo za one IRI projekte visokoškolskih ustanova i znanstvenih organizacijakoji ispunjavaju te potrebe kroz poboljšanje produktivnosti istraživanja, razvoja i inovacija, širenje tehnologije i/ili usmjeravanje na rješavanje praktičnih problema industrije i društva, kako bi se ubrzao dolazak novih znanja i tehnologija na nacionalno tržište. </w:t>
            </w:r>
          </w:p>
          <w:p w:rsidR="00576C1D" w:rsidRPr="00576C1D" w:rsidRDefault="00576C1D" w:rsidP="004229A4">
            <w:pPr>
              <w:widowControl w:val="0"/>
              <w:shd w:val="clear" w:color="auto" w:fill="FFFFFF"/>
              <w:autoSpaceDE w:val="0"/>
              <w:autoSpaceDN w:val="0"/>
              <w:adjustRightInd w:val="0"/>
              <w:spacing w:line="274" w:lineRule="exact"/>
              <w:ind w:right="331" w:firstLine="5"/>
              <w:rPr>
                <w:rFonts w:ascii="Times New Roman" w:hAnsi="Times New Roman"/>
                <w:color w:val="000000"/>
                <w:spacing w:val="-1"/>
                <w:sz w:val="24"/>
                <w:szCs w:val="24"/>
              </w:rPr>
            </w:pPr>
            <w:r w:rsidRPr="00576C1D">
              <w:rPr>
                <w:rFonts w:ascii="Times New Roman" w:hAnsi="Times New Roman"/>
                <w:color w:val="000000"/>
                <w:spacing w:val="-1"/>
                <w:sz w:val="24"/>
                <w:szCs w:val="24"/>
              </w:rPr>
              <w:t>Osim spomenutog načina usmjeravanja znanstvenih organizacija na potrebe gospodarstva, u okviru ovog specifičnog cilja također je predviđeno pružanje potpore IRI projektima koje provode znanstvene organizacije u suradnji s poduzećima. Projekti su usmjereni na širenje baze znanja u područjima koja su , u skladu sa Strategijom pametne specijalizacije, prepoznata kao prioritetna za razvoj hrvatske znanosti te kao perspektivna sa stajališta gospodarstva. Prihvatljivi troškovi projekta će obuhvaćati i izdatke za zaštitu intelektualnog vlasništva stečenog kao rezultat IRI aktivnosti, kao i troškove usavršavanja osoblja koje je sudjelovalo u IRI aktivnostima.</w:t>
            </w:r>
          </w:p>
          <w:p w:rsidR="00576C1D" w:rsidRPr="00576C1D" w:rsidRDefault="00576C1D" w:rsidP="004229A4">
            <w:pPr>
              <w:widowControl w:val="0"/>
              <w:shd w:val="clear" w:color="auto" w:fill="FFFFFF"/>
              <w:autoSpaceDE w:val="0"/>
              <w:autoSpaceDN w:val="0"/>
              <w:adjustRightInd w:val="0"/>
              <w:spacing w:line="274" w:lineRule="exact"/>
              <w:ind w:right="331" w:firstLine="5"/>
              <w:rPr>
                <w:rFonts w:ascii="Times New Roman" w:hAnsi="Times New Roman"/>
                <w:color w:val="000000"/>
                <w:spacing w:val="-1"/>
                <w:sz w:val="24"/>
                <w:szCs w:val="24"/>
              </w:rPr>
            </w:pPr>
            <w:r w:rsidRPr="00576C1D">
              <w:rPr>
                <w:rFonts w:ascii="Times New Roman" w:hAnsi="Times New Roman"/>
                <w:color w:val="000000"/>
                <w:spacing w:val="-1"/>
                <w:sz w:val="24"/>
                <w:szCs w:val="24"/>
              </w:rPr>
              <w:t>Također je predviđena potpora uredima za transfer tehnologije (UTT) s ciljem poticanja suradnje između znanstvenih organizacija i poduzeća unutar regionalnog i nacionalnog sustava istraživanja i razvoja. Ova će potpora biti usmjerena na uvođenje kompleksnih usluga prijenosa znanja i tehnologija. U Hrvatskoj trenutačno rade 3 UTT-a osnovana pri sveučilištima (smješteni su u Zagrebu, Rijeci i Splitu), jedan UTT na javnom znanstveno-istraživačkom institutu (Ruđer inovacije), i dva znanstveno-tehnologijska parka (StepRi u Rijeci i TERA Tehnopolis u Osijeku), kao i brojni manji UTT-ovi na fakultetima. Ovi uredi rade na dnevnoj bazi s istraživačima i istraživačkim timovima, uspostavljajući veze između sveučilišta/fakulteta i potencijalnih poslovnih partnera te gradeći komercijalne potencijale na visokoškolskim ustanovama i javnim znanstvenim organizacijama. Tim će aktivnostima UTT-ovi potaknuti znanstvene organizacije i privatni sektor na zajednički rad u procesu pretvaranja znanstvenih rezultata u korisne proizvode i/ili usluge za poslovni sektor.</w:t>
            </w:r>
          </w:p>
          <w:p w:rsidR="00576C1D" w:rsidRPr="00576C1D" w:rsidRDefault="00576C1D" w:rsidP="004229A4">
            <w:pPr>
              <w:widowControl w:val="0"/>
              <w:shd w:val="clear" w:color="auto" w:fill="FFFFFF"/>
              <w:autoSpaceDE w:val="0"/>
              <w:autoSpaceDN w:val="0"/>
              <w:adjustRightInd w:val="0"/>
              <w:spacing w:line="274" w:lineRule="exact"/>
              <w:ind w:right="331" w:firstLine="5"/>
              <w:rPr>
                <w:rFonts w:ascii="Times New Roman" w:hAnsi="Times New Roman"/>
                <w:color w:val="000000"/>
                <w:spacing w:val="-1"/>
                <w:sz w:val="24"/>
                <w:szCs w:val="24"/>
              </w:rPr>
            </w:pPr>
            <w:r w:rsidRPr="00576C1D">
              <w:rPr>
                <w:rFonts w:ascii="Times New Roman" w:hAnsi="Times New Roman"/>
                <w:color w:val="000000"/>
                <w:spacing w:val="-1"/>
                <w:sz w:val="24"/>
                <w:szCs w:val="24"/>
              </w:rPr>
              <w:t>Intervencije u sklopu specifičnog cilja 1.a 3. bit će usmjerene na provedbu projekata koji daju hrvatski doprinos u izgradnji europskog istraživačkog prostora. Usklađivanje pravila za davanje potpore temeljem ovog specifičnog cilja s pravilima inicijative Horizont 2020. i strategijom S3 bitan je čimbenik koji pridonosi učinkovitoj primjeni ESI fondova.</w:t>
            </w:r>
          </w:p>
          <w:p w:rsidR="00576C1D" w:rsidRPr="00576C1D" w:rsidRDefault="00576C1D" w:rsidP="004229A4">
            <w:pPr>
              <w:widowControl w:val="0"/>
              <w:shd w:val="clear" w:color="auto" w:fill="FFFFFF"/>
              <w:autoSpaceDE w:val="0"/>
              <w:autoSpaceDN w:val="0"/>
              <w:adjustRightInd w:val="0"/>
              <w:spacing w:line="274" w:lineRule="exact"/>
              <w:ind w:right="331" w:firstLine="5"/>
              <w:rPr>
                <w:rFonts w:ascii="Times New Roman" w:hAnsi="Times New Roman"/>
                <w:color w:val="000000"/>
                <w:spacing w:val="-1"/>
                <w:sz w:val="24"/>
                <w:szCs w:val="24"/>
              </w:rPr>
            </w:pPr>
            <w:r w:rsidRPr="00576C1D">
              <w:rPr>
                <w:rFonts w:ascii="Times New Roman" w:hAnsi="Times New Roman"/>
                <w:color w:val="000000"/>
                <w:spacing w:val="-1"/>
                <w:sz w:val="24"/>
                <w:szCs w:val="24"/>
              </w:rPr>
              <w:t>Izravni očekivani rezultat do 2023. godine bit će povećani broj projekata pokrenutih od znanstvenih organizacija, koje na taj način izravno odgovaraju potrebama poslovnog sektora te dugoročno postižu znanstvene rezultate za daljnje aktivnosti vezane uz komercijalizaciju rezultata od strane industrijskog i poslovnog sektora. Na strateškoj razini, realizacija ovog cilja pomoći će u usmjeravanju znanstvenog sektora prema suradnji s poslovnim subjektima i njihovoj reorijentaciji na potrebe gospodarstva.</w:t>
            </w:r>
          </w:p>
          <w:p w:rsidR="00576C1D" w:rsidRPr="00576C1D" w:rsidRDefault="00576C1D" w:rsidP="004229A4">
            <w:pPr>
              <w:widowControl w:val="0"/>
              <w:shd w:val="clear" w:color="auto" w:fill="FFFFFF"/>
              <w:autoSpaceDE w:val="0"/>
              <w:autoSpaceDN w:val="0"/>
              <w:adjustRightInd w:val="0"/>
              <w:spacing w:line="274" w:lineRule="exact"/>
              <w:ind w:right="43" w:firstLine="5"/>
              <w:rPr>
                <w:rFonts w:ascii="Times New Roman" w:hAnsi="Times New Roman"/>
                <w:color w:val="000000"/>
                <w:spacing w:val="-1"/>
                <w:sz w:val="24"/>
                <w:szCs w:val="24"/>
              </w:rPr>
            </w:pPr>
          </w:p>
        </w:tc>
      </w:tr>
    </w:tbl>
    <w:p w:rsidR="00576C1D" w:rsidRPr="00576C1D" w:rsidRDefault="00576C1D" w:rsidP="00E24D4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hr-HR"/>
        </w:rPr>
        <w:sectPr w:rsidR="00576C1D" w:rsidRPr="00576C1D">
          <w:pgSz w:w="16834" w:h="11909" w:orient="landscape"/>
          <w:pgMar w:top="1236" w:right="541" w:bottom="360" w:left="540" w:header="720" w:footer="720" w:gutter="0"/>
          <w:cols w:space="60"/>
          <w:noEndnote/>
        </w:sectPr>
      </w:pPr>
    </w:p>
    <w:p w:rsidR="00576C1D" w:rsidRDefault="00576C1D">
      <w:pPr>
        <w:rPr>
          <w:rFonts w:ascii="Times New Roman" w:eastAsia="Times New Roman" w:hAnsi="Times New Roman" w:cs="Times New Roman"/>
          <w:b/>
          <w:bCs/>
          <w:color w:val="000000"/>
          <w:spacing w:val="-1"/>
          <w:sz w:val="24"/>
          <w:szCs w:val="24"/>
          <w:lang w:eastAsia="hr-HR"/>
        </w:rPr>
      </w:pPr>
      <w:r>
        <w:rPr>
          <w:rFonts w:ascii="Times New Roman" w:eastAsia="Times New Roman" w:hAnsi="Times New Roman" w:cs="Times New Roman"/>
          <w:b/>
          <w:bCs/>
          <w:color w:val="000000"/>
          <w:spacing w:val="-1"/>
          <w:sz w:val="24"/>
          <w:szCs w:val="24"/>
          <w:lang w:eastAsia="hr-HR"/>
        </w:rPr>
        <w:lastRenderedPageBreak/>
        <w:br w:type="page"/>
      </w:r>
    </w:p>
    <w:p w:rsidR="00E24D45" w:rsidRPr="00576C1D" w:rsidRDefault="00E24D45" w:rsidP="00E24D4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Tablica 3: Specifični pokazatelji rezultata, prikazani po specifičnom cilju (za EFRR i Kohezijski Fond)</w:t>
      </w:r>
    </w:p>
    <w:p w:rsidR="00E24D45" w:rsidRPr="00576C1D" w:rsidRDefault="00E24D45" w:rsidP="00E24D4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E24D45" w:rsidRPr="00576C1D" w:rsidTr="00235DF3">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1- Povećana sposobnost sektora za istraživanje, razvoj i inovacije (IRI) za provođenje istraživanja vrhunske kvalitete i suradnju na nacionalnoj i međunarodnoj razini</w:t>
            </w:r>
          </w:p>
        </w:tc>
      </w:tr>
      <w:tr w:rsidR="00E24D45" w:rsidRPr="00576C1D" w:rsidTr="00235DF3">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ID</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E24D45" w:rsidRPr="00576C1D" w:rsidTr="00235DF3">
        <w:trPr>
          <w:trHeight w:hRule="exact" w:val="87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7"/>
                <w:sz w:val="16"/>
                <w:szCs w:val="16"/>
                <w:lang w:eastAsia="hr-HR"/>
              </w:rPr>
              <w:t>1.all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2" w:lineRule="exact"/>
              <w:ind w:right="30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projekata suradnje s poduzećima i znanstvenim organizacijama u ciljanim institucijama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Projekti suradnje</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1.394,00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2.700,00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Baza podataka MZOS-a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Godišnje</w:t>
            </w:r>
          </w:p>
        </w:tc>
      </w:tr>
      <w:tr w:rsidR="00E24D45" w:rsidRPr="00576C1D" w:rsidTr="00235DF3">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0"/>
                <w:szCs w:val="20"/>
                <w:lang w:eastAsia="hr-HR"/>
              </w:rPr>
              <w:t xml:space="preserve">2 - </w:t>
            </w:r>
            <w:r w:rsidRPr="00576C1D">
              <w:rPr>
                <w:rFonts w:ascii="Times New Roman" w:eastAsia="Times New Roman" w:hAnsi="Times New Roman" w:cs="Times New Roman"/>
                <w:color w:val="000000"/>
                <w:spacing w:val="-1"/>
                <w:sz w:val="18"/>
                <w:szCs w:val="18"/>
                <w:lang w:eastAsia="hr-HR"/>
              </w:rPr>
              <w:t>Visokokvalitetna istraživanja Znanstvenih centara izvrsnosti</w:t>
            </w:r>
          </w:p>
        </w:tc>
      </w:tr>
      <w:tr w:rsidR="00E24D45" w:rsidRPr="00576C1D" w:rsidTr="00235DF3">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ID</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7"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7"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7"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E24D45" w:rsidRPr="00576C1D" w:rsidTr="00235DF3">
        <w:trPr>
          <w:trHeight w:hRule="exact" w:val="837"/>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1a21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2" w:lineRule="exact"/>
              <w:ind w:right="5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 znanstvenih publikacija objavljenih u znanstvenim časopisima indeksiranim na platformi „Web ofScience“</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2" w:lineRule="exact"/>
              <w:ind w:right="1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znanstvenih publikacija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3.993,00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4.293,00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Baza podataka MZOS-a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Godišnje</w:t>
            </w:r>
          </w:p>
        </w:tc>
      </w:tr>
      <w:tr w:rsidR="00E24D45" w:rsidRPr="00576C1D" w:rsidTr="00235DF3">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3 - IRI aktivnosti ZO-a usmjerene na potrebe gospodarstva</w:t>
            </w:r>
          </w:p>
        </w:tc>
      </w:tr>
      <w:tr w:rsidR="00E24D45" w:rsidRPr="00576C1D" w:rsidTr="00235DF3">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ID</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7"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7"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7"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E24D45" w:rsidRPr="00576C1D" w:rsidTr="00235DF3">
        <w:trPr>
          <w:trHeight w:hRule="exact" w:val="1066"/>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1a31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2" w:lineRule="exact"/>
              <w:ind w:right="29"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 znanstvenih rezultata (koncepti, proizvodi, usluge, prijave patenata, žigovi, licence itd.) spremnih za daljnji razvoj u poslovnom sektoru</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182" w:lineRule="exact"/>
              <w:ind w:right="1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znanstvenih rezultata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17,00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66,00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Baza podataka MZOS-a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24D45" w:rsidRPr="00576C1D" w:rsidRDefault="00E24D45" w:rsidP="00235DF3">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Godišnje</w:t>
            </w:r>
          </w:p>
        </w:tc>
      </w:tr>
    </w:tbl>
    <w:p w:rsidR="00E24D45" w:rsidRPr="00576C1D" w:rsidRDefault="00E24D45" w:rsidP="00E24D4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E24D45" w:rsidRPr="00576C1D" w:rsidSect="00576C1D">
          <w:type w:val="continuous"/>
          <w:pgSz w:w="16834" w:h="11909" w:orient="landscape"/>
          <w:pgMar w:top="1236"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6" w:right="541" w:bottom="360" w:left="540" w:header="720" w:footer="720" w:gutter="0"/>
          <w:cols w:num="3" w:space="720" w:equalWidth="0">
            <w:col w:w="720" w:space="6984"/>
            <w:col w:w="720" w:space="6610"/>
            <w:col w:w="720"/>
          </w:cols>
          <w:noEndnote/>
        </w:sectPr>
      </w:pPr>
    </w:p>
    <w:p w:rsidR="00FC3F35" w:rsidRPr="00576C1D" w:rsidRDefault="00FC3F35" w:rsidP="00E24D4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2.A.6 Aktivnosti koje će se podržati u okviru prioriteta ulaganja (po prioritetu ulaganja)</w:t>
      </w:r>
    </w:p>
    <w:p w:rsidR="00FC3F35"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i/>
          <w:iCs/>
          <w:color w:val="000000"/>
          <w:sz w:val="24"/>
          <w:szCs w:val="24"/>
          <w:lang w:eastAsia="hr-HR"/>
        </w:rPr>
      </w:pPr>
      <w:r w:rsidRPr="00576C1D">
        <w:rPr>
          <w:rFonts w:ascii="Times New Roman" w:eastAsia="Times New Roman" w:hAnsi="Times New Roman" w:cs="Times New Roman"/>
          <w:i/>
          <w:iCs/>
          <w:color w:val="000000"/>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1"/>
        <w:gridCol w:w="10745"/>
      </w:tblGrid>
      <w:tr w:rsidR="00576C1D" w:rsidTr="00576C1D">
        <w:tc>
          <w:tcPr>
            <w:tcW w:w="4531" w:type="dxa"/>
          </w:tcPr>
          <w:p w:rsidR="00576C1D" w:rsidRDefault="00576C1D" w:rsidP="004229A4">
            <w:r w:rsidRPr="00576C1D">
              <w:rPr>
                <w:rFonts w:ascii="Times New Roman" w:hAnsi="Times New Roman"/>
                <w:b/>
                <w:bCs/>
                <w:color w:val="000000"/>
                <w:spacing w:val="-1"/>
                <w:sz w:val="18"/>
                <w:szCs w:val="18"/>
              </w:rPr>
              <w:t>Investicijski prioritet</w:t>
            </w:r>
          </w:p>
        </w:tc>
        <w:tc>
          <w:tcPr>
            <w:tcW w:w="10745" w:type="dxa"/>
          </w:tcPr>
          <w:p w:rsidR="00576C1D" w:rsidRDefault="00576C1D" w:rsidP="004229A4">
            <w:r w:rsidRPr="00576C1D">
              <w:rPr>
                <w:rFonts w:ascii="Times New Roman" w:hAnsi="Times New Roman"/>
                <w:color w:val="000000"/>
                <w:spacing w:val="-1"/>
                <w:sz w:val="18"/>
                <w:szCs w:val="18"/>
              </w:rPr>
              <w:t>1a - Poboljšanje infrastrukture i kapaciteta za istraživanje i inovacije s ciljem razvijanja uspješnosti u istraživanju i inovacijama te promoviranje centara za kompetencije, posebice onih od europskog interesa</w:t>
            </w:r>
          </w:p>
        </w:tc>
      </w:tr>
      <w:tr w:rsidR="00576C1D" w:rsidTr="00576C1D">
        <w:tc>
          <w:tcPr>
            <w:tcW w:w="15276" w:type="dxa"/>
            <w:gridSpan w:val="2"/>
          </w:tcPr>
          <w:p w:rsidR="00576C1D" w:rsidRPr="00576C1D" w:rsidRDefault="00576C1D" w:rsidP="004229A4">
            <w:pPr>
              <w:widowControl w:val="0"/>
              <w:shd w:val="clear" w:color="auto" w:fill="FFFFFF"/>
              <w:autoSpaceDE w:val="0"/>
              <w:autoSpaceDN w:val="0"/>
              <w:adjustRightInd w:val="0"/>
              <w:spacing w:before="192"/>
              <w:ind w:left="638"/>
              <w:rPr>
                <w:rFonts w:ascii="Times New Roman" w:hAnsi="Times New Roman"/>
                <w:sz w:val="24"/>
                <w:szCs w:val="24"/>
              </w:rPr>
            </w:pPr>
            <w:r w:rsidRPr="00576C1D">
              <w:rPr>
                <w:rFonts w:ascii="Times New Roman" w:hAnsi="Times New Roman"/>
                <w:sz w:val="24"/>
                <w:szCs w:val="24"/>
              </w:rPr>
              <w:t>Aktivnosti koje će biti podržane u sklopu specifičnog cilja</w:t>
            </w:r>
            <w:r w:rsidRPr="00576C1D">
              <w:rPr>
                <w:rFonts w:ascii="Times New Roman" w:hAnsi="Times New Roman"/>
                <w:b/>
                <w:bCs/>
                <w:color w:val="000000"/>
                <w:sz w:val="24"/>
                <w:szCs w:val="24"/>
              </w:rPr>
              <w:t xml:space="preserve"> 1.a1.</w:t>
            </w:r>
          </w:p>
          <w:p w:rsidR="00576C1D" w:rsidRPr="00576C1D" w:rsidRDefault="00576C1D" w:rsidP="00576C1D">
            <w:pPr>
              <w:widowControl w:val="0"/>
              <w:numPr>
                <w:ilvl w:val="0"/>
                <w:numId w:val="2"/>
              </w:numPr>
              <w:shd w:val="clear" w:color="auto" w:fill="FFFFFF"/>
              <w:tabs>
                <w:tab w:val="left" w:pos="1358"/>
              </w:tabs>
              <w:autoSpaceDE w:val="0"/>
              <w:autoSpaceDN w:val="0"/>
              <w:adjustRightInd w:val="0"/>
              <w:spacing w:before="278" w:line="274" w:lineRule="exact"/>
              <w:ind w:left="1358" w:hanging="322"/>
              <w:rPr>
                <w:rFonts w:ascii="Times New Roman" w:hAnsi="Times New Roman"/>
                <w:color w:val="000000"/>
                <w:sz w:val="24"/>
                <w:szCs w:val="24"/>
              </w:rPr>
            </w:pPr>
            <w:r w:rsidRPr="00576C1D">
              <w:rPr>
                <w:rFonts w:ascii="Times New Roman" w:hAnsi="Times New Roman"/>
                <w:color w:val="000000"/>
                <w:sz w:val="24"/>
                <w:szCs w:val="24"/>
              </w:rPr>
              <w:t>Ulaganja u integrirane IRI projekte koji uključuju infrastrukturna ulaganja (gradnju nove, renovaciju i razvoj postojeće IRI infrastrukture), uključujući e-infrastrukturu, organizacijsku reformu, razvoj ljudskih resursa i istraživačke aktivnosti. Glavni korisnici utvrđeni u sklopu ove aktivnosti su javne i privatne visokoškolske ustanove, javne i privatne znanstvene organizacije, znanstveno- tehnologijski parkovi te jedinice regionalne i lokalne samouprave. Potpora će biti usmjerena na projekte od strateške važnosti, s državnim i međunarodnim karakterom, koji su utvrđeni u Planu razvoja istraživačke i inovacijske infrastrukture u Republici Hrvatskoj i u skladu sa Strategijom pametne specijalizacije, predstavljajući obvezujući znanstveno-istraživački program</w:t>
            </w:r>
            <w:r w:rsidRPr="00576C1D">
              <w:rPr>
                <w:rFonts w:ascii="Times New Roman" w:hAnsi="Times New Roman"/>
                <w:color w:val="000000"/>
                <w:spacing w:val="-2"/>
                <w:sz w:val="24"/>
                <w:szCs w:val="24"/>
              </w:rPr>
              <w:t>.</w:t>
            </w:r>
          </w:p>
          <w:p w:rsidR="00576C1D" w:rsidRPr="00576C1D" w:rsidRDefault="00576C1D" w:rsidP="00576C1D">
            <w:pPr>
              <w:widowControl w:val="0"/>
              <w:numPr>
                <w:ilvl w:val="0"/>
                <w:numId w:val="2"/>
              </w:numPr>
              <w:shd w:val="clear" w:color="auto" w:fill="FFFFFF"/>
              <w:tabs>
                <w:tab w:val="left" w:pos="1358"/>
              </w:tabs>
              <w:autoSpaceDE w:val="0"/>
              <w:autoSpaceDN w:val="0"/>
              <w:adjustRightInd w:val="0"/>
              <w:spacing w:before="125" w:line="274" w:lineRule="exact"/>
              <w:ind w:left="1358" w:hanging="322"/>
              <w:rPr>
                <w:rFonts w:ascii="Times New Roman" w:hAnsi="Times New Roman"/>
                <w:color w:val="000000"/>
                <w:sz w:val="24"/>
                <w:szCs w:val="24"/>
              </w:rPr>
            </w:pPr>
            <w:r w:rsidRPr="00576C1D">
              <w:rPr>
                <w:rFonts w:ascii="Times New Roman" w:hAnsi="Times New Roman"/>
                <w:color w:val="000000"/>
                <w:spacing w:val="-1"/>
                <w:sz w:val="24"/>
                <w:szCs w:val="24"/>
              </w:rPr>
              <w:t>Budući da su informacijske i komunikacijske tehnologije (IKT) postale neizbježno sredstvo u razvoju kapaciteta i mogućnosti istraživanja, razvoja i inovacija, a uzimajući u obzir njihovu koheziju s obrazovanjem, također su potrebna i ulaganja u razvoj e-infrastrukture. Ulaganja u integrirane IRI projekte prihvatljivih znanstvenih organizacija povećat će kapacitete za istraživanje, razvoj i inovacije i stvoriti temelje znanstvene izvrsnosti. To će znatno pridonijeti dosljednom sudjelovanju hrvatskih znanstvenih istraživača u međunarodnim istraživačkim projektima i njihovoj održivosti</w:t>
            </w:r>
            <w:r w:rsidRPr="00576C1D">
              <w:rPr>
                <w:rFonts w:ascii="Times New Roman" w:hAnsi="Times New Roman"/>
                <w:color w:val="000000"/>
                <w:sz w:val="24"/>
                <w:szCs w:val="24"/>
              </w:rPr>
              <w:t>.</w:t>
            </w:r>
          </w:p>
          <w:p w:rsidR="00576C1D" w:rsidRPr="00576C1D" w:rsidRDefault="00576C1D" w:rsidP="00576C1D">
            <w:pPr>
              <w:widowControl w:val="0"/>
              <w:numPr>
                <w:ilvl w:val="0"/>
                <w:numId w:val="2"/>
              </w:numPr>
              <w:shd w:val="clear" w:color="auto" w:fill="FFFFFF"/>
              <w:tabs>
                <w:tab w:val="left" w:pos="1358"/>
              </w:tabs>
              <w:autoSpaceDE w:val="0"/>
              <w:autoSpaceDN w:val="0"/>
              <w:adjustRightInd w:val="0"/>
              <w:spacing w:before="120" w:line="274" w:lineRule="exact"/>
              <w:ind w:left="1358" w:hanging="322"/>
              <w:rPr>
                <w:rFonts w:ascii="Times New Roman" w:hAnsi="Times New Roman"/>
                <w:color w:val="000000"/>
                <w:sz w:val="24"/>
                <w:szCs w:val="24"/>
              </w:rPr>
            </w:pPr>
            <w:r w:rsidRPr="00576C1D">
              <w:rPr>
                <w:rFonts w:ascii="Times New Roman" w:hAnsi="Times New Roman"/>
                <w:color w:val="000000"/>
                <w:sz w:val="24"/>
                <w:szCs w:val="24"/>
              </w:rPr>
              <w:t>Osim toga, jedna aktivnost će biti usredotočena na davanje potpore za razvoj ukupne projektne dokumentacije potrebne za uspješnu primjenu i daljnju provedbu infrastrukturnih IRI projekata. Korisnici potpore također će biti javne i privatne visokoškolske ustanove, javne i privatne znanstvene organizacije, znanstveno-tehnologijski parkovi te jedinice regionalne i lokalne samouprave.</w:t>
            </w:r>
          </w:p>
          <w:p w:rsidR="00576C1D" w:rsidRPr="00576C1D" w:rsidRDefault="00576C1D" w:rsidP="00576C1D">
            <w:pPr>
              <w:widowControl w:val="0"/>
              <w:numPr>
                <w:ilvl w:val="0"/>
                <w:numId w:val="2"/>
              </w:numPr>
              <w:shd w:val="clear" w:color="auto" w:fill="FFFFFF"/>
              <w:tabs>
                <w:tab w:val="left" w:pos="1358"/>
              </w:tabs>
              <w:autoSpaceDE w:val="0"/>
              <w:autoSpaceDN w:val="0"/>
              <w:adjustRightInd w:val="0"/>
              <w:spacing w:before="120" w:line="274" w:lineRule="exact"/>
              <w:ind w:left="1358" w:hanging="322"/>
              <w:rPr>
                <w:rFonts w:ascii="Times New Roman" w:hAnsi="Times New Roman"/>
              </w:rPr>
            </w:pPr>
            <w:r w:rsidRPr="00576C1D">
              <w:rPr>
                <w:rFonts w:ascii="Times New Roman" w:hAnsi="Times New Roman"/>
                <w:color w:val="000000"/>
                <w:sz w:val="24"/>
                <w:szCs w:val="24"/>
              </w:rPr>
              <w:t>Projekt Znanstvenog i tehnološkog predviđanja s ciljem omogućavanja sustavne analize potencijala znanosti i tehnologije Republike Hrvatske. Potpora će također biti pružena za mapiranje i  procjenu kapaciteta IRI sektora. To će se postići putem ulaganja u integriranu, dosljednu i trajno ažuriranu bazu podataka koja sadržava skup statističkih podataka i pokazatelja koji su osnova za razvoj javnih politika zasnovanih na analizi stvarne situacije. Ovim projektom bit će razvijena snažna analitička osnova, temeljena na dubinskom uvidu u izvršene aktivnosti, raspoložive resurse (ljudske i materijalne) i rezultate (publikacije, patente, licence, žigovi, broj ugovornih istraživanju, prihodi od istraživanja itd.) koji su nužni za evaluaciju i praćenje nacionalnog sustava istraživanja (institucionalni uvjeti i interakcijski sustavi) kako bi se izmjerila izvrsnost sustava istraživanja i učinci nacionalne politike na osuvremenjivanje znanstvenih organizacija, vitalnost znanstveno-istraživačkog okružja i kvalitetu znanstvenih rezultata.</w:t>
            </w:r>
          </w:p>
          <w:p w:rsidR="00576C1D" w:rsidRDefault="00576C1D" w:rsidP="004229A4"/>
        </w:tc>
      </w:tr>
      <w:tr w:rsidR="00576C1D" w:rsidTr="00576C1D">
        <w:tc>
          <w:tcPr>
            <w:tcW w:w="4531" w:type="dxa"/>
          </w:tcPr>
          <w:p w:rsidR="00576C1D" w:rsidRDefault="00576C1D" w:rsidP="004229A4">
            <w:r w:rsidRPr="00576C1D">
              <w:rPr>
                <w:rFonts w:ascii="Times New Roman" w:hAnsi="Times New Roman"/>
                <w:b/>
                <w:bCs/>
                <w:color w:val="000000"/>
                <w:spacing w:val="-1"/>
                <w:sz w:val="18"/>
                <w:szCs w:val="18"/>
              </w:rPr>
              <w:t>Investicijski prioritet</w:t>
            </w:r>
          </w:p>
        </w:tc>
        <w:tc>
          <w:tcPr>
            <w:tcW w:w="10745" w:type="dxa"/>
          </w:tcPr>
          <w:p w:rsidR="00576C1D" w:rsidRDefault="00576C1D" w:rsidP="004229A4">
            <w:r w:rsidRPr="00576C1D">
              <w:rPr>
                <w:rFonts w:ascii="Times New Roman" w:hAnsi="Times New Roman"/>
                <w:color w:val="000000"/>
                <w:spacing w:val="-1"/>
                <w:sz w:val="18"/>
                <w:szCs w:val="18"/>
              </w:rPr>
              <w:t>1a - Poboljšanje infrastrukture i kapaciteta za istraživanje i inovacije s ciljem razvijanja uspješnosti istraživanja i inovacija te promoviranje centara za kompetencije, posebice onih od europskog interesa</w:t>
            </w:r>
          </w:p>
        </w:tc>
      </w:tr>
      <w:tr w:rsidR="00576C1D" w:rsidTr="00576C1D">
        <w:tc>
          <w:tcPr>
            <w:tcW w:w="15276" w:type="dxa"/>
            <w:gridSpan w:val="2"/>
          </w:tcPr>
          <w:p w:rsidR="00576C1D" w:rsidRPr="00576C1D" w:rsidRDefault="00576C1D" w:rsidP="004229A4">
            <w:pPr>
              <w:widowControl w:val="0"/>
              <w:shd w:val="clear" w:color="auto" w:fill="FFFFFF"/>
              <w:autoSpaceDE w:val="0"/>
              <w:autoSpaceDN w:val="0"/>
              <w:adjustRightInd w:val="0"/>
              <w:spacing w:before="72" w:line="274" w:lineRule="exact"/>
              <w:ind w:left="1363"/>
              <w:rPr>
                <w:rFonts w:ascii="Times New Roman" w:hAnsi="Times New Roman"/>
                <w:sz w:val="24"/>
                <w:szCs w:val="24"/>
              </w:rPr>
            </w:pPr>
            <w:r w:rsidRPr="00576C1D">
              <w:rPr>
                <w:rFonts w:ascii="Times New Roman" w:hAnsi="Times New Roman"/>
                <w:sz w:val="24"/>
                <w:szCs w:val="24"/>
              </w:rPr>
              <w:lastRenderedPageBreak/>
              <w:t>Utvrđivanje potencijala i prioritetnih IRI područja koji će služiti budućim potrebama gospodarstva bit će moguće kroz ulaganja u predviđene aktivnosti iz područja znanosti i tehnologije koje će služiti MZOS-u i ostalim tijelima javne uprave kao statistički, nadzorni i prognostički alat. Jedini korisnik bit će Ministarstvo znanosti, obrazovanja i sporta, ali analiza će se vršiti u širokoj suradnji s bitnim dionicima iz područja znanosti, akademske zajednice i industrije</w:t>
            </w:r>
            <w:r w:rsidRPr="00576C1D">
              <w:rPr>
                <w:rFonts w:ascii="Times New Roman" w:hAnsi="Times New Roman"/>
                <w:color w:val="000000"/>
                <w:sz w:val="24"/>
                <w:szCs w:val="24"/>
              </w:rPr>
              <w:t>.</w:t>
            </w:r>
          </w:p>
          <w:p w:rsidR="00576C1D" w:rsidRPr="00576C1D" w:rsidRDefault="00576C1D" w:rsidP="004229A4">
            <w:pPr>
              <w:widowControl w:val="0"/>
              <w:shd w:val="clear" w:color="auto" w:fill="FFFFFF"/>
              <w:autoSpaceDE w:val="0"/>
              <w:autoSpaceDN w:val="0"/>
              <w:adjustRightInd w:val="0"/>
              <w:spacing w:before="274"/>
              <w:ind w:left="638"/>
              <w:rPr>
                <w:rFonts w:ascii="Times New Roman" w:hAnsi="Times New Roman"/>
              </w:rPr>
            </w:pPr>
            <w:r w:rsidRPr="00576C1D">
              <w:rPr>
                <w:rFonts w:ascii="Times New Roman" w:hAnsi="Times New Roman"/>
                <w:b/>
                <w:bCs/>
                <w:color w:val="000000"/>
                <w:sz w:val="24"/>
                <w:szCs w:val="24"/>
              </w:rPr>
              <w:t>Aktivnosti koje će biti podržane u sklopu specifičnog cilja 1.a2.</w:t>
            </w:r>
          </w:p>
          <w:p w:rsidR="00576C1D" w:rsidRPr="00576C1D" w:rsidRDefault="00576C1D" w:rsidP="004229A4">
            <w:pPr>
              <w:widowControl w:val="0"/>
              <w:shd w:val="clear" w:color="auto" w:fill="FFFFFF"/>
              <w:tabs>
                <w:tab w:val="left" w:pos="1358"/>
              </w:tabs>
              <w:autoSpaceDE w:val="0"/>
              <w:autoSpaceDN w:val="0"/>
              <w:adjustRightInd w:val="0"/>
              <w:spacing w:before="278" w:line="274" w:lineRule="exact"/>
              <w:ind w:left="1358" w:hanging="322"/>
              <w:rPr>
                <w:rFonts w:ascii="Times New Roman" w:hAnsi="Times New Roman"/>
              </w:rPr>
            </w:pPr>
            <w:r w:rsidRPr="00576C1D">
              <w:rPr>
                <w:rFonts w:ascii="Times New Roman" w:hAnsi="Times New Roman"/>
                <w:color w:val="000000"/>
                <w:sz w:val="24"/>
                <w:szCs w:val="24"/>
              </w:rPr>
              <w:t>•</w:t>
            </w:r>
            <w:r w:rsidRPr="00576C1D">
              <w:rPr>
                <w:rFonts w:ascii="Times New Roman" w:hAnsi="Times New Roman"/>
                <w:color w:val="000000"/>
                <w:sz w:val="24"/>
                <w:szCs w:val="24"/>
              </w:rPr>
              <w:tab/>
              <w:t>Podrška IRI projektima Znanstvenih centara izvrsnosti od nacionalne i europske važnosti. Predviđeno je financiranje provedbe aktivnosti istraživanja, uključujući kupnju opreme nužne za provođenje pojedinačnih projekata. Ciljna skupina u sklopu ove aktivnosti su CZI-jevi uspostavljeni na nacionalnoj razini. Prioritet će imati projekti koji su u skladu s prioritetima navedenim u Strategiji pametne specijalizacije za Hrvatsku i/ili koji razvijaju međunarodnu suradnju ZCI-jeva. Korisnici: Nacionalni centri znanstvene izvrsnosti.</w:t>
            </w:r>
          </w:p>
          <w:p w:rsidR="00576C1D" w:rsidRPr="00576C1D" w:rsidRDefault="00576C1D" w:rsidP="004229A4">
            <w:pPr>
              <w:widowControl w:val="0"/>
              <w:shd w:val="clear" w:color="auto" w:fill="FFFFFF"/>
              <w:autoSpaceDE w:val="0"/>
              <w:autoSpaceDN w:val="0"/>
              <w:adjustRightInd w:val="0"/>
              <w:spacing w:before="278"/>
              <w:ind w:left="638"/>
              <w:rPr>
                <w:rFonts w:ascii="Times New Roman" w:hAnsi="Times New Roman"/>
              </w:rPr>
            </w:pPr>
            <w:r w:rsidRPr="00576C1D">
              <w:rPr>
                <w:rFonts w:ascii="Times New Roman" w:hAnsi="Times New Roman"/>
                <w:b/>
                <w:bCs/>
                <w:color w:val="000000"/>
                <w:sz w:val="24"/>
                <w:szCs w:val="24"/>
              </w:rPr>
              <w:t>Aktivnosti koje će biti podržane u sklopu specifičnog cilja 1.a3.</w:t>
            </w:r>
          </w:p>
          <w:p w:rsidR="00576C1D" w:rsidRPr="00576C1D" w:rsidRDefault="00576C1D" w:rsidP="00576C1D">
            <w:pPr>
              <w:widowControl w:val="0"/>
              <w:numPr>
                <w:ilvl w:val="0"/>
                <w:numId w:val="2"/>
              </w:numPr>
              <w:shd w:val="clear" w:color="auto" w:fill="FFFFFF"/>
              <w:tabs>
                <w:tab w:val="left" w:pos="1358"/>
              </w:tabs>
              <w:autoSpaceDE w:val="0"/>
              <w:autoSpaceDN w:val="0"/>
              <w:adjustRightInd w:val="0"/>
              <w:spacing w:before="274" w:line="274" w:lineRule="exact"/>
              <w:ind w:left="1358" w:hanging="322"/>
              <w:rPr>
                <w:rFonts w:ascii="Times New Roman" w:hAnsi="Times New Roman"/>
                <w:b/>
                <w:bCs/>
                <w:color w:val="000000"/>
                <w:sz w:val="24"/>
                <w:szCs w:val="24"/>
              </w:rPr>
            </w:pPr>
            <w:r w:rsidRPr="00576C1D">
              <w:rPr>
                <w:rFonts w:ascii="Times New Roman" w:hAnsi="Times New Roman"/>
                <w:b/>
                <w:bCs/>
                <w:color w:val="000000"/>
                <w:sz w:val="24"/>
                <w:szCs w:val="24"/>
              </w:rPr>
              <w:t xml:space="preserve">Shema za alokaciju bespovratnih sredstava za primijenjeno istraživanje, eksperimentalni razvoj i inovacijske projekte koje iniciraju javne i privatne visokoškolske ustanove i znanstvene organizacije, a provode se u suradnji s drugim ZO-ima- </w:t>
            </w:r>
            <w:r w:rsidRPr="00576C1D">
              <w:rPr>
                <w:rFonts w:ascii="Times New Roman" w:hAnsi="Times New Roman"/>
                <w:bCs/>
                <w:color w:val="000000"/>
                <w:sz w:val="24"/>
                <w:szCs w:val="24"/>
              </w:rPr>
              <w:t xml:space="preserve">Navedeni projekti </w:t>
            </w:r>
            <w:r w:rsidRPr="00576C1D">
              <w:rPr>
                <w:rFonts w:ascii="Times New Roman" w:hAnsi="Times New Roman"/>
                <w:color w:val="000000"/>
                <w:sz w:val="24"/>
                <w:szCs w:val="24"/>
              </w:rPr>
              <w:t>moraju biti usmjereni na potrebama industrije/poslovnog sektora, a u cilju poboljšanja utjecaj IRI sektora na gospodarski rast kroz povećanje IRI produktivnosti i tehnološke diseminacije. Uspješni će projekti morati pokazati da postoji potražnja za rezultatima projekta u poslovnom sektoru i/ili društvu. Korisnici: javne i privatne visokoškolske ustanove i znanstvene organizacije.</w:t>
            </w:r>
          </w:p>
          <w:p w:rsidR="00576C1D" w:rsidRDefault="00576C1D" w:rsidP="004229A4">
            <w:r w:rsidRPr="00576C1D">
              <w:rPr>
                <w:rFonts w:ascii="Times New Roman" w:hAnsi="Times New Roman"/>
                <w:b/>
                <w:bCs/>
                <w:color w:val="000000"/>
                <w:sz w:val="24"/>
                <w:szCs w:val="24"/>
              </w:rPr>
              <w:t xml:space="preserve">Podrška projektima Ureda za transfer tehnologije (UTT) u </w:t>
            </w:r>
            <w:r w:rsidRPr="00576C1D">
              <w:rPr>
                <w:rFonts w:ascii="Times New Roman" w:hAnsi="Times New Roman"/>
                <w:color w:val="000000"/>
                <w:sz w:val="24"/>
                <w:szCs w:val="24"/>
              </w:rPr>
              <w:t>provedbi složenih usluga transfera znanja i tehnologija za projektnu mrežu i tržište. To uključuje aktivnosti kao što su: zapošljavanje novog i usavršavanje postojećeg osoblja, poboljšavanje pristupa i znanja poslovnog sektora u području tehnologije i usluga razvoja poslovanja, nadogradnja aktivnosti transfera tehnologije od visokoškolskih ustanova i javnih znanstvenih organizacija prema industriji/poduzećima, poboljšanje strateškog upravljanja intelektualnim vlasništvom (IV) i poboljšanje kapaciteta visokoškolskih ustanova i javnih znanstvenih organizacija vezanih uz aktivnosti komercijalizacije rezultata istraživanja. Tim će aktivnostima UTT-ovi potaknuti znanstvene organizacije i privatni sektor na zajednički rad u procesu pretvaranja znanstvenih rezultata u korisne proizvode i/ili usluge za društvo. UTT-ovi će pomagati visokoškolskim ustanovama i javnim znanstvenim organizacijama u razvoju strategije komercijalizacije, procjeni inovacijskog potencijala istraživanja i pronalazaka (provjera tehnologije), te će pomoći u pristupanju zainteresiranim poduzećima, provođenju analize tržišta, razvoju poslovnih planova i IV strategije, troškovima licenciranja, ugovaranju, pravnim  pitanjima, troškovima potpore novim/novoizdvojenim/novonastalim poduzećima, certifikaciji proizvoda, proizvodnji uzoraka, dizajniranju proizvoda i razvoju robnih marki itd</w:t>
            </w:r>
          </w:p>
        </w:tc>
      </w:tr>
      <w:tr w:rsidR="00576C1D" w:rsidTr="00576C1D">
        <w:tc>
          <w:tcPr>
            <w:tcW w:w="4531" w:type="dxa"/>
          </w:tcPr>
          <w:p w:rsidR="00576C1D" w:rsidRDefault="00576C1D" w:rsidP="004229A4">
            <w:r w:rsidRPr="00576C1D">
              <w:rPr>
                <w:rFonts w:ascii="Times New Roman" w:hAnsi="Times New Roman"/>
                <w:b/>
                <w:bCs/>
                <w:color w:val="000000"/>
                <w:spacing w:val="-1"/>
                <w:sz w:val="18"/>
                <w:szCs w:val="18"/>
              </w:rPr>
              <w:t>Investicijski prioritet</w:t>
            </w:r>
          </w:p>
        </w:tc>
        <w:tc>
          <w:tcPr>
            <w:tcW w:w="10745" w:type="dxa"/>
          </w:tcPr>
          <w:p w:rsidR="00576C1D" w:rsidRDefault="00576C1D" w:rsidP="004229A4">
            <w:r w:rsidRPr="00576C1D">
              <w:rPr>
                <w:rFonts w:ascii="Times New Roman" w:hAnsi="Times New Roman"/>
                <w:color w:val="000000"/>
                <w:spacing w:val="-1"/>
                <w:sz w:val="18"/>
                <w:szCs w:val="18"/>
              </w:rPr>
              <w:t>1.a - Poboljšanje infrastrukture i kapaciteta za istraživanje i inovacije s ciljem razvijanja uspješnosti istraživanja i inovacija te promoviranje centara za kompetencije, posebice onih od europskog interesa</w:t>
            </w:r>
          </w:p>
        </w:tc>
      </w:tr>
      <w:tr w:rsidR="00576C1D" w:rsidTr="00576C1D">
        <w:tc>
          <w:tcPr>
            <w:tcW w:w="15276" w:type="dxa"/>
            <w:gridSpan w:val="2"/>
          </w:tcPr>
          <w:p w:rsidR="00576C1D" w:rsidRPr="00576C1D" w:rsidRDefault="00576C1D" w:rsidP="004229A4">
            <w:pPr>
              <w:widowControl w:val="0"/>
              <w:shd w:val="clear" w:color="auto" w:fill="FFFFFF"/>
              <w:autoSpaceDE w:val="0"/>
              <w:autoSpaceDN w:val="0"/>
              <w:adjustRightInd w:val="0"/>
              <w:spacing w:before="72" w:line="274" w:lineRule="exact"/>
              <w:ind w:left="1363"/>
              <w:rPr>
                <w:rFonts w:ascii="Times New Roman" w:hAnsi="Times New Roman"/>
                <w:sz w:val="24"/>
                <w:szCs w:val="24"/>
              </w:rPr>
            </w:pPr>
            <w:r w:rsidRPr="00576C1D">
              <w:rPr>
                <w:rFonts w:ascii="Times New Roman" w:hAnsi="Times New Roman"/>
                <w:sz w:val="24"/>
                <w:szCs w:val="24"/>
              </w:rPr>
              <w:t>Druga važna aktivnost vezana je uz povezivanje istraživačke zajednice s poduzećima i umrežavanjem. Ovo se može promatrati kao izravna pomoć u povezivanju potencijalnih partnera kroz organizaciju sektorskih i posredničkih događanja</w:t>
            </w:r>
            <w:r w:rsidRPr="00576C1D">
              <w:rPr>
                <w:rFonts w:ascii="Times New Roman" w:hAnsi="Times New Roman"/>
                <w:color w:val="000000"/>
                <w:sz w:val="24"/>
                <w:szCs w:val="24"/>
              </w:rPr>
              <w:t>.</w:t>
            </w:r>
          </w:p>
          <w:p w:rsidR="00576C1D" w:rsidRPr="00576C1D" w:rsidRDefault="00576C1D" w:rsidP="004229A4">
            <w:pPr>
              <w:widowControl w:val="0"/>
              <w:shd w:val="clear" w:color="auto" w:fill="FFFFFF"/>
              <w:autoSpaceDE w:val="0"/>
              <w:autoSpaceDN w:val="0"/>
              <w:adjustRightInd w:val="0"/>
              <w:spacing w:before="278"/>
              <w:ind w:left="1066"/>
              <w:rPr>
                <w:rFonts w:ascii="Times New Roman" w:hAnsi="Times New Roman"/>
              </w:rPr>
            </w:pPr>
            <w:r w:rsidRPr="00576C1D">
              <w:rPr>
                <w:rFonts w:ascii="Times New Roman" w:hAnsi="Times New Roman"/>
                <w:b/>
                <w:bCs/>
                <w:color w:val="000000"/>
                <w:sz w:val="24"/>
                <w:szCs w:val="24"/>
              </w:rPr>
              <w:t>Korisnici: Uredi za transfer tehnologije.</w:t>
            </w:r>
          </w:p>
          <w:p w:rsidR="00576C1D" w:rsidRPr="00576C1D" w:rsidRDefault="00576C1D" w:rsidP="004229A4">
            <w:pPr>
              <w:widowControl w:val="0"/>
              <w:shd w:val="clear" w:color="auto" w:fill="FFFFFF"/>
              <w:autoSpaceDE w:val="0"/>
              <w:autoSpaceDN w:val="0"/>
              <w:adjustRightInd w:val="0"/>
              <w:spacing w:before="274" w:line="274" w:lineRule="exact"/>
              <w:ind w:left="1358" w:hanging="322"/>
              <w:rPr>
                <w:rFonts w:ascii="Times New Roman" w:hAnsi="Times New Roman"/>
              </w:rPr>
            </w:pPr>
            <w:r w:rsidRPr="00576C1D">
              <w:rPr>
                <w:rFonts w:ascii="Times New Roman" w:hAnsi="Times New Roman"/>
                <w:b/>
                <w:bCs/>
                <w:color w:val="000000"/>
                <w:sz w:val="24"/>
                <w:szCs w:val="24"/>
              </w:rPr>
              <w:lastRenderedPageBreak/>
              <w:t xml:space="preserve">• Sheme za alokaciju bespovratnih sredstava za projekte suradnje između javnih i privatnih visokoškolskih ustanova i znanstvenih organizacija i industrije </w:t>
            </w:r>
            <w:r w:rsidRPr="00576C1D">
              <w:rPr>
                <w:rFonts w:ascii="Times New Roman" w:hAnsi="Times New Roman"/>
                <w:color w:val="000000"/>
                <w:sz w:val="24"/>
                <w:szCs w:val="24"/>
              </w:rPr>
              <w:t>(uključujući MSP-ove) koji imaju ulogu partnera na projektu, kako bi se ubrzalo korištenje novih znanja i tehnologija na nacionalnoj razini, s ciljem rješavanja industrijskih i društvenih problema: primijenjena istraživanja, eksperimentalni razvoj, pred-komercijalizacija rezultata istraživanja, financiranje dokazivanja koncepta, tehničke izvedivosti i aktivnosti zaštite prava intelektualnog vlasništva. Korisnici: javne i privatne visokoškolske ustanove i znanstvene organizacije, partneri: poslovni subjekti (posebno MSP-ovi</w:t>
            </w:r>
            <w:r w:rsidRPr="00576C1D">
              <w:rPr>
                <w:rFonts w:ascii="Times New Roman" w:hAnsi="Times New Roman"/>
                <w:color w:val="000000"/>
                <w:spacing w:val="-7"/>
                <w:sz w:val="24"/>
                <w:szCs w:val="24"/>
              </w:rPr>
              <w:t>).</w:t>
            </w:r>
          </w:p>
          <w:p w:rsidR="00576C1D" w:rsidRPr="00576C1D" w:rsidRDefault="00576C1D" w:rsidP="004229A4">
            <w:pPr>
              <w:widowControl w:val="0"/>
              <w:shd w:val="clear" w:color="auto" w:fill="FFFFFF"/>
              <w:autoSpaceDE w:val="0"/>
              <w:autoSpaceDN w:val="0"/>
              <w:adjustRightInd w:val="0"/>
              <w:spacing w:before="274"/>
              <w:ind w:left="643"/>
              <w:rPr>
                <w:rFonts w:ascii="Times New Roman" w:hAnsi="Times New Roman"/>
                <w:color w:val="000000"/>
                <w:sz w:val="24"/>
                <w:szCs w:val="24"/>
              </w:rPr>
            </w:pPr>
            <w:r w:rsidRPr="00576C1D">
              <w:rPr>
                <w:rFonts w:ascii="Times New Roman" w:hAnsi="Times New Roman"/>
                <w:color w:val="000000"/>
                <w:sz w:val="24"/>
                <w:szCs w:val="24"/>
              </w:rPr>
              <w:t>Učinke aktivnosti pokrenutih u sklopu ovog investicijskog prioriteta trebalo bi sagledati ne samo u kontekstu kreiranja uvjeta za bolje funkcioniranje znanstvenog sektora, već prvenstveno kao doprinos procesu izgradnje gospodarstva znanja u Hrvatskoj s učinkovitim korištenjem vlastitih resursa, tj. iz perspektive koristi za poduzeća i društvo općenito.</w:t>
            </w:r>
          </w:p>
          <w:p w:rsidR="00576C1D" w:rsidRPr="00576C1D" w:rsidRDefault="00576C1D" w:rsidP="004229A4">
            <w:pPr>
              <w:widowControl w:val="0"/>
              <w:shd w:val="clear" w:color="auto" w:fill="FFFFFF"/>
              <w:autoSpaceDE w:val="0"/>
              <w:autoSpaceDN w:val="0"/>
              <w:adjustRightInd w:val="0"/>
              <w:spacing w:before="274"/>
              <w:ind w:left="643"/>
              <w:rPr>
                <w:rFonts w:ascii="Times New Roman" w:hAnsi="Times New Roman"/>
              </w:rPr>
            </w:pPr>
            <w:r w:rsidRPr="00576C1D">
              <w:rPr>
                <w:rFonts w:ascii="Times New Roman" w:hAnsi="Times New Roman"/>
                <w:color w:val="000000"/>
                <w:sz w:val="24"/>
                <w:szCs w:val="24"/>
              </w:rPr>
              <w:t>Ulaganja u istraživanje, razvoj i inovacije u okviru ovog investicijskog prioriteta pridonijet će postizanju sinergije s aktivnostima programa Horizont 2020.</w:t>
            </w:r>
          </w:p>
          <w:p w:rsidR="00576C1D" w:rsidRDefault="00576C1D" w:rsidP="004229A4"/>
        </w:tc>
      </w:tr>
    </w:tbl>
    <w:p w:rsidR="00FC3F35" w:rsidRPr="00576C1D" w:rsidRDefault="00FC3F35" w:rsidP="00FC3F35">
      <w:pPr>
        <w:widowControl w:val="0"/>
        <w:shd w:val="clear" w:color="auto" w:fill="FFFFFF"/>
        <w:autoSpaceDE w:val="0"/>
        <w:autoSpaceDN w:val="0"/>
        <w:adjustRightInd w:val="0"/>
        <w:spacing w:before="1008" w:after="182" w:line="240" w:lineRule="auto"/>
        <w:ind w:left="5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z w:val="24"/>
          <w:szCs w:val="24"/>
          <w:lang w:eastAsia="hr-HR"/>
        </w:rPr>
        <w:lastRenderedPageBreak/>
        <w:t xml:space="preserve">2.A.6.2 </w:t>
      </w:r>
      <w:r w:rsidRPr="00576C1D">
        <w:rPr>
          <w:rFonts w:ascii="Times New Roman" w:eastAsia="Times New Roman" w:hAnsi="Times New Roman" w:cs="Times New Roman"/>
          <w:b/>
          <w:bCs/>
          <w:i/>
          <w:iCs/>
          <w:color w:val="000000"/>
          <w:sz w:val="24"/>
          <w:szCs w:val="24"/>
          <w:lang w:eastAsia="hr-HR"/>
        </w:rPr>
        <w:t>Vodeća načela za odabir operacija</w:t>
      </w:r>
    </w:p>
    <w:tbl>
      <w:tblPr>
        <w:tblStyle w:val="TableGrid"/>
        <w:tblW w:w="0" w:type="auto"/>
        <w:tblLook w:val="04A0" w:firstRow="1" w:lastRow="0" w:firstColumn="1" w:lastColumn="0" w:noHBand="0" w:noVBand="1"/>
      </w:tblPr>
      <w:tblGrid>
        <w:gridCol w:w="4531"/>
        <w:gridCol w:w="14"/>
        <w:gridCol w:w="10731"/>
      </w:tblGrid>
      <w:tr w:rsidR="00576C1D" w:rsidRPr="005E763C" w:rsidTr="00576C1D">
        <w:tc>
          <w:tcPr>
            <w:tcW w:w="4531" w:type="dxa"/>
          </w:tcPr>
          <w:p w:rsidR="00576C1D" w:rsidRPr="005E763C" w:rsidRDefault="00576C1D" w:rsidP="004229A4">
            <w:pPr>
              <w:rPr>
                <w:sz w:val="24"/>
                <w:szCs w:val="24"/>
              </w:rPr>
            </w:pPr>
            <w:r w:rsidRPr="005E763C">
              <w:rPr>
                <w:rFonts w:ascii="Times New Roman" w:hAnsi="Times New Roman"/>
                <w:b/>
                <w:bCs/>
                <w:color w:val="000000"/>
                <w:spacing w:val="-1"/>
                <w:sz w:val="24"/>
                <w:szCs w:val="24"/>
              </w:rPr>
              <w:t>Investicijski prioritet</w:t>
            </w:r>
          </w:p>
        </w:tc>
        <w:tc>
          <w:tcPr>
            <w:tcW w:w="10745" w:type="dxa"/>
            <w:gridSpan w:val="2"/>
          </w:tcPr>
          <w:p w:rsidR="00576C1D" w:rsidRPr="005E763C" w:rsidRDefault="00576C1D" w:rsidP="004229A4">
            <w:pPr>
              <w:rPr>
                <w:sz w:val="24"/>
                <w:szCs w:val="24"/>
              </w:rPr>
            </w:pPr>
            <w:r w:rsidRPr="005E763C">
              <w:rPr>
                <w:rFonts w:ascii="Times New Roman" w:hAnsi="Times New Roman"/>
                <w:color w:val="000000"/>
                <w:spacing w:val="-1"/>
                <w:sz w:val="24"/>
                <w:szCs w:val="24"/>
              </w:rPr>
              <w:t>1a -Poboljšanje infrastrukture i kapaciteta za istraživanje i inovacije s ciljem razvijanja uspješnosti istraživnja i inovacija te promoviranje centara za kompetencije, posebice onih od europskog interesa</w:t>
            </w:r>
          </w:p>
        </w:tc>
      </w:tr>
      <w:tr w:rsidR="00576C1D" w:rsidRPr="005E763C" w:rsidTr="00576C1D">
        <w:tc>
          <w:tcPr>
            <w:tcW w:w="15276" w:type="dxa"/>
            <w:gridSpan w:val="3"/>
          </w:tcPr>
          <w:p w:rsidR="00576C1D" w:rsidRPr="005E763C" w:rsidRDefault="00576C1D" w:rsidP="004229A4">
            <w:pPr>
              <w:rPr>
                <w:sz w:val="24"/>
                <w:szCs w:val="24"/>
              </w:rPr>
            </w:pPr>
            <w:r w:rsidRPr="005E763C">
              <w:rPr>
                <w:rFonts w:ascii="Times New Roman" w:hAnsi="Times New Roman"/>
                <w:color w:val="000000"/>
                <w:sz w:val="24"/>
                <w:szCs w:val="24"/>
              </w:rPr>
              <w:t>Svi podržani projekti podliježu kriterijima odabira prihvaćenim od strane nadzornog odbora. Svi projekti moraju biti u skladu s načelima transparentnosti i nediskriminacije (čl. 7. i 8. Uredbe o zajedničkim odredbama Europskih strukturnih i investicijskih fondova).</w:t>
            </w:r>
          </w:p>
        </w:tc>
      </w:tr>
      <w:tr w:rsidR="00576C1D" w:rsidRPr="005E763C" w:rsidTr="00576C1D">
        <w:tc>
          <w:tcPr>
            <w:tcW w:w="4545" w:type="dxa"/>
            <w:gridSpan w:val="2"/>
          </w:tcPr>
          <w:p w:rsidR="00576C1D" w:rsidRPr="005E763C" w:rsidRDefault="00576C1D"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b/>
                <w:bCs/>
                <w:color w:val="000000"/>
                <w:spacing w:val="-1"/>
                <w:sz w:val="24"/>
                <w:szCs w:val="24"/>
              </w:rPr>
              <w:t>Investicijski prioritet</w:t>
            </w:r>
          </w:p>
          <w:p w:rsidR="00576C1D" w:rsidRPr="005E763C" w:rsidRDefault="00576C1D" w:rsidP="004229A4">
            <w:pPr>
              <w:rPr>
                <w:rFonts w:ascii="Times New Roman" w:hAnsi="Times New Roman"/>
                <w:color w:val="000000"/>
                <w:sz w:val="24"/>
                <w:szCs w:val="24"/>
              </w:rPr>
            </w:pPr>
          </w:p>
        </w:tc>
        <w:tc>
          <w:tcPr>
            <w:tcW w:w="10731" w:type="dxa"/>
          </w:tcPr>
          <w:p w:rsidR="00576C1D" w:rsidRPr="005E763C" w:rsidRDefault="00576C1D" w:rsidP="004229A4">
            <w:pPr>
              <w:rPr>
                <w:rFonts w:ascii="Times New Roman" w:hAnsi="Times New Roman"/>
                <w:color w:val="000000"/>
                <w:sz w:val="24"/>
                <w:szCs w:val="24"/>
              </w:rPr>
            </w:pPr>
            <w:r w:rsidRPr="005E763C">
              <w:rPr>
                <w:rFonts w:ascii="Times New Roman" w:hAnsi="Times New Roman"/>
                <w:color w:val="000000"/>
                <w:sz w:val="24"/>
                <w:szCs w:val="24"/>
              </w:rPr>
              <w:t>1a - Poboljšanje infrastrukture i kapaciteta za istraživanje i inovacije s ciljem razvijanja uspješnosti istraživanja i inovacija te promoviranje centara za kompetencije, posebice onih od europskog interesa</w:t>
            </w:r>
          </w:p>
        </w:tc>
      </w:tr>
      <w:tr w:rsidR="00576C1D" w:rsidRPr="005E763C" w:rsidTr="00576C1D">
        <w:tc>
          <w:tcPr>
            <w:tcW w:w="15276" w:type="dxa"/>
            <w:gridSpan w:val="3"/>
          </w:tcPr>
          <w:p w:rsidR="00576C1D" w:rsidRPr="005E763C" w:rsidRDefault="00576C1D" w:rsidP="004229A4">
            <w:pPr>
              <w:rPr>
                <w:rFonts w:ascii="Times New Roman" w:hAnsi="Times New Roman"/>
                <w:color w:val="000000"/>
                <w:sz w:val="24"/>
                <w:szCs w:val="24"/>
              </w:rPr>
            </w:pPr>
            <w:r w:rsidRPr="005E763C">
              <w:rPr>
                <w:rFonts w:ascii="Times New Roman" w:hAnsi="Times New Roman"/>
                <w:color w:val="000000"/>
                <w:sz w:val="24"/>
                <w:szCs w:val="24"/>
              </w:rPr>
              <w:t>Operacije odabrane u sklopu predviđenih aktivnosti podliježu sljedećim kriterijima:</w:t>
            </w:r>
          </w:p>
          <w:p w:rsidR="00576C1D" w:rsidRPr="005E763C" w:rsidRDefault="00576C1D" w:rsidP="004229A4">
            <w:pPr>
              <w:rPr>
                <w:rFonts w:ascii="Times New Roman" w:hAnsi="Times New Roman"/>
                <w:color w:val="000000"/>
                <w:sz w:val="24"/>
                <w:szCs w:val="24"/>
              </w:rPr>
            </w:pPr>
            <w:r w:rsidRPr="005E763C">
              <w:rPr>
                <w:rFonts w:ascii="Times New Roman" w:hAnsi="Times New Roman"/>
                <w:color w:val="000000"/>
                <w:sz w:val="24"/>
                <w:szCs w:val="24"/>
              </w:rPr>
              <w:t>(1)</w:t>
            </w:r>
            <w:r w:rsidRPr="005E763C">
              <w:rPr>
                <w:rFonts w:ascii="Times New Roman" w:hAnsi="Times New Roman"/>
                <w:color w:val="000000"/>
                <w:sz w:val="24"/>
                <w:szCs w:val="24"/>
              </w:rPr>
              <w:tab/>
              <w:t>znanstveno-istraživačka područja moraju biti u skladu sa strategijom pametne specijalizacije;</w:t>
            </w:r>
          </w:p>
          <w:p w:rsidR="00576C1D" w:rsidRPr="005E763C" w:rsidRDefault="00576C1D" w:rsidP="004229A4">
            <w:pPr>
              <w:rPr>
                <w:rFonts w:ascii="Times New Roman" w:hAnsi="Times New Roman"/>
                <w:color w:val="000000"/>
                <w:sz w:val="24"/>
                <w:szCs w:val="24"/>
              </w:rPr>
            </w:pPr>
            <w:r w:rsidRPr="005E763C">
              <w:rPr>
                <w:rFonts w:ascii="Times New Roman" w:hAnsi="Times New Roman"/>
                <w:color w:val="000000"/>
                <w:sz w:val="24"/>
                <w:szCs w:val="24"/>
              </w:rPr>
              <w:t>(2)</w:t>
            </w:r>
            <w:r w:rsidRPr="005E763C">
              <w:rPr>
                <w:rFonts w:ascii="Times New Roman" w:hAnsi="Times New Roman"/>
                <w:color w:val="000000"/>
                <w:sz w:val="24"/>
                <w:szCs w:val="24"/>
              </w:rPr>
              <w:tab/>
              <w:t>mora postojati opravdavanje načina korištenja rezultata istraživanja u cilju ostvarivanja koristi u gospodarskom razvoju zemlje;</w:t>
            </w:r>
          </w:p>
          <w:p w:rsidR="00576C1D" w:rsidRPr="005E763C" w:rsidRDefault="00576C1D" w:rsidP="004229A4">
            <w:pPr>
              <w:rPr>
                <w:rFonts w:ascii="Times New Roman" w:hAnsi="Times New Roman"/>
                <w:color w:val="000000"/>
                <w:sz w:val="24"/>
                <w:szCs w:val="24"/>
              </w:rPr>
            </w:pPr>
            <w:r w:rsidRPr="005E763C">
              <w:rPr>
                <w:rFonts w:ascii="Times New Roman" w:hAnsi="Times New Roman"/>
                <w:color w:val="000000"/>
                <w:sz w:val="24"/>
                <w:szCs w:val="24"/>
              </w:rPr>
              <w:t>(3)</w:t>
            </w:r>
            <w:r w:rsidRPr="005E763C">
              <w:rPr>
                <w:rFonts w:ascii="Times New Roman" w:hAnsi="Times New Roman"/>
                <w:color w:val="000000"/>
                <w:sz w:val="24"/>
                <w:szCs w:val="24"/>
              </w:rPr>
              <w:tab/>
              <w:t>u slučaju integriranih projekata koji će biti podržani kroz specifični cilj 1.a1. i koji uključuju infrastrukturne elemente, prednost se daje projektima u skladu s kriterijima definiranim u hrvatskom Planu razvoja: (a) strateška uklopljenost, (b) znanstveni potencijal, (c) korištenje, veličina i raspoloživost baze korisnika, (d) relevantnost za Hrvatsku i (e) održivost. U skladu sa spomenutim kriterijima, projekti moraju jasno pokazati doprinos visokokvalitetnim aktivnostima istraživanja i razvoja usmjerenim ka potrebama nacionalnog gospodarstva i omogućiti postignuća europskih ciljeva (kao što je porast izdataka za istraživanje i razvoj).</w:t>
            </w:r>
          </w:p>
          <w:p w:rsidR="00576C1D" w:rsidRPr="005E763C" w:rsidRDefault="00576C1D" w:rsidP="004229A4">
            <w:pPr>
              <w:rPr>
                <w:rFonts w:ascii="Times New Roman" w:hAnsi="Times New Roman"/>
                <w:color w:val="000000"/>
                <w:sz w:val="24"/>
                <w:szCs w:val="24"/>
              </w:rPr>
            </w:pPr>
            <w:r w:rsidRPr="005E763C">
              <w:rPr>
                <w:rFonts w:ascii="Times New Roman" w:hAnsi="Times New Roman"/>
                <w:color w:val="000000"/>
                <w:sz w:val="24"/>
                <w:szCs w:val="24"/>
              </w:rPr>
              <w:t>(4)</w:t>
            </w:r>
            <w:r w:rsidRPr="005E763C">
              <w:rPr>
                <w:rFonts w:ascii="Times New Roman" w:hAnsi="Times New Roman"/>
                <w:color w:val="000000"/>
                <w:sz w:val="24"/>
                <w:szCs w:val="24"/>
              </w:rPr>
              <w:tab/>
              <w:t>doprinos postignuću očekivanog rezultata za specifične ciljeve u sklopu kojih je predviđena potpora;</w:t>
            </w:r>
          </w:p>
          <w:p w:rsidR="00576C1D" w:rsidRPr="005E763C" w:rsidRDefault="00576C1D" w:rsidP="004229A4">
            <w:pPr>
              <w:rPr>
                <w:rFonts w:ascii="Times New Roman" w:hAnsi="Times New Roman"/>
                <w:color w:val="000000"/>
                <w:sz w:val="24"/>
                <w:szCs w:val="24"/>
              </w:rPr>
            </w:pPr>
            <w:r w:rsidRPr="005E763C">
              <w:rPr>
                <w:rFonts w:ascii="Times New Roman" w:hAnsi="Times New Roman"/>
                <w:color w:val="000000"/>
                <w:sz w:val="24"/>
                <w:szCs w:val="24"/>
              </w:rPr>
              <w:lastRenderedPageBreak/>
              <w:t>(5)</w:t>
            </w:r>
            <w:r w:rsidRPr="005E763C">
              <w:rPr>
                <w:rFonts w:ascii="Times New Roman" w:hAnsi="Times New Roman"/>
                <w:color w:val="000000"/>
                <w:sz w:val="24"/>
                <w:szCs w:val="24"/>
              </w:rPr>
              <w:tab/>
              <w:t>doprinos izgradnji "puta ka izvrsnosti" za omogućavanje sudjelovanja u programu Horizont 2020.</w:t>
            </w:r>
          </w:p>
          <w:p w:rsidR="00576C1D" w:rsidRPr="005E763C" w:rsidRDefault="00576C1D" w:rsidP="004229A4">
            <w:pPr>
              <w:rPr>
                <w:rFonts w:ascii="Times New Roman" w:hAnsi="Times New Roman"/>
                <w:color w:val="000000"/>
                <w:sz w:val="24"/>
                <w:szCs w:val="24"/>
              </w:rPr>
            </w:pPr>
            <w:r w:rsidRPr="005E763C">
              <w:rPr>
                <w:rFonts w:ascii="Times New Roman" w:hAnsi="Times New Roman"/>
                <w:color w:val="000000"/>
                <w:sz w:val="24"/>
                <w:szCs w:val="24"/>
              </w:rPr>
              <w:t>Sredstva će biti alocirana na načelu konkurentnog procesa na temelju nagrađivanja znanstvene izvrsnosti.</w:t>
            </w:r>
          </w:p>
        </w:tc>
      </w:tr>
    </w:tbl>
    <w:p w:rsidR="00FC3F35" w:rsidRDefault="00FC3F35" w:rsidP="00FC3F35">
      <w:pPr>
        <w:widowControl w:val="0"/>
        <w:shd w:val="clear" w:color="auto" w:fill="FFFFFF"/>
        <w:autoSpaceDE w:val="0"/>
        <w:autoSpaceDN w:val="0"/>
        <w:adjustRightInd w:val="0"/>
        <w:spacing w:before="1008" w:after="182" w:line="240" w:lineRule="auto"/>
        <w:ind w:left="590"/>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before="955" w:after="182"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t>2.A.6.3 Planirano korištenje financijskih instrumenata (po potrebi)</w:t>
      </w:r>
    </w:p>
    <w:tbl>
      <w:tblPr>
        <w:tblStyle w:val="TableGrid"/>
        <w:tblW w:w="0" w:type="auto"/>
        <w:tblLook w:val="04A0" w:firstRow="1" w:lastRow="0" w:firstColumn="1" w:lastColumn="0" w:noHBand="0" w:noVBand="1"/>
      </w:tblPr>
      <w:tblGrid>
        <w:gridCol w:w="4531"/>
        <w:gridCol w:w="10603"/>
      </w:tblGrid>
      <w:tr w:rsidR="00576C1D" w:rsidRPr="005E763C" w:rsidTr="00576C1D">
        <w:tc>
          <w:tcPr>
            <w:tcW w:w="4531" w:type="dxa"/>
          </w:tcPr>
          <w:p w:rsidR="00576C1D" w:rsidRPr="005E763C" w:rsidRDefault="00576C1D" w:rsidP="004229A4">
            <w:pPr>
              <w:rPr>
                <w:sz w:val="24"/>
                <w:szCs w:val="24"/>
              </w:rPr>
            </w:pPr>
            <w:r w:rsidRPr="005E763C">
              <w:rPr>
                <w:rFonts w:ascii="Times New Roman" w:hAnsi="Times New Roman"/>
                <w:b/>
                <w:bCs/>
                <w:color w:val="000000"/>
                <w:spacing w:val="-1"/>
                <w:sz w:val="24"/>
                <w:szCs w:val="24"/>
              </w:rPr>
              <w:t>Investicijski prioritet</w:t>
            </w:r>
          </w:p>
        </w:tc>
        <w:tc>
          <w:tcPr>
            <w:tcW w:w="10603" w:type="dxa"/>
          </w:tcPr>
          <w:p w:rsidR="00576C1D" w:rsidRPr="005E763C" w:rsidRDefault="00576C1D" w:rsidP="004229A4">
            <w:pPr>
              <w:rPr>
                <w:sz w:val="24"/>
                <w:szCs w:val="24"/>
              </w:rPr>
            </w:pPr>
            <w:r w:rsidRPr="005E763C">
              <w:rPr>
                <w:rFonts w:ascii="Times New Roman" w:hAnsi="Times New Roman"/>
                <w:color w:val="000000"/>
                <w:spacing w:val="-1"/>
                <w:sz w:val="24"/>
                <w:szCs w:val="24"/>
              </w:rPr>
              <w:t>1a - Poboljšanje infrastrukture i kapaciteta za istraživanje i inovacije s ciljem razvijanja uspješnosti istraživanja i inovacija te promoviranje centara za kompetencije, posebice onih od europskog interesa</w:t>
            </w:r>
          </w:p>
        </w:tc>
      </w:tr>
      <w:tr w:rsidR="00576C1D" w:rsidRPr="005E763C" w:rsidTr="00576C1D">
        <w:tc>
          <w:tcPr>
            <w:tcW w:w="15134" w:type="dxa"/>
            <w:gridSpan w:val="2"/>
          </w:tcPr>
          <w:p w:rsidR="00576C1D" w:rsidRPr="005E763C" w:rsidRDefault="00576C1D" w:rsidP="004229A4">
            <w:pPr>
              <w:rPr>
                <w:sz w:val="24"/>
                <w:szCs w:val="24"/>
              </w:rPr>
            </w:pPr>
            <w:r w:rsidRPr="00576C1D">
              <w:rPr>
                <w:rFonts w:ascii="Times New Roman" w:hAnsi="Times New Roman"/>
                <w:sz w:val="24"/>
                <w:szCs w:val="24"/>
              </w:rPr>
              <w:t>Nije predviđen</w:t>
            </w:r>
          </w:p>
        </w:tc>
      </w:tr>
    </w:tbl>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z w:val="24"/>
          <w:szCs w:val="24"/>
          <w:lang w:eastAsia="hr-HR"/>
        </w:rPr>
        <w:t>2.A.6.4 Planirano korištenje velikih projekata (po potrebi)</w:t>
      </w:r>
    </w:p>
    <w:tbl>
      <w:tblPr>
        <w:tblStyle w:val="TableGrid"/>
        <w:tblW w:w="0" w:type="auto"/>
        <w:tblLook w:val="04A0" w:firstRow="1" w:lastRow="0" w:firstColumn="1" w:lastColumn="0" w:noHBand="0" w:noVBand="1"/>
      </w:tblPr>
      <w:tblGrid>
        <w:gridCol w:w="4515"/>
        <w:gridCol w:w="16"/>
        <w:gridCol w:w="10603"/>
      </w:tblGrid>
      <w:tr w:rsidR="00576C1D" w:rsidRPr="005E763C" w:rsidTr="00C650DE">
        <w:tc>
          <w:tcPr>
            <w:tcW w:w="4531" w:type="dxa"/>
            <w:gridSpan w:val="2"/>
          </w:tcPr>
          <w:p w:rsidR="00576C1D" w:rsidRPr="00C650DE" w:rsidRDefault="00576C1D" w:rsidP="00C650DE">
            <w:pPr>
              <w:rPr>
                <w:rFonts w:ascii="Times New Roman" w:hAnsi="Times New Roman"/>
                <w:sz w:val="24"/>
                <w:szCs w:val="24"/>
              </w:rPr>
            </w:pPr>
            <w:r w:rsidRPr="00C650DE">
              <w:rPr>
                <w:rFonts w:ascii="Times New Roman" w:hAnsi="Times New Roman"/>
                <w:b/>
                <w:bCs/>
                <w:color w:val="000000"/>
                <w:spacing w:val="-1"/>
                <w:sz w:val="24"/>
                <w:szCs w:val="24"/>
              </w:rPr>
              <w:t>Investicijski prioritet</w:t>
            </w:r>
          </w:p>
        </w:tc>
        <w:tc>
          <w:tcPr>
            <w:tcW w:w="10603" w:type="dxa"/>
          </w:tcPr>
          <w:p w:rsidR="00576C1D" w:rsidRPr="00C650DE" w:rsidRDefault="00576C1D" w:rsidP="00C650DE">
            <w:pPr>
              <w:rPr>
                <w:rFonts w:ascii="Times New Roman" w:hAnsi="Times New Roman"/>
                <w:sz w:val="24"/>
                <w:szCs w:val="24"/>
              </w:rPr>
            </w:pPr>
            <w:r w:rsidRPr="00C650DE">
              <w:rPr>
                <w:rFonts w:ascii="Times New Roman" w:hAnsi="Times New Roman"/>
                <w:color w:val="000000"/>
                <w:spacing w:val="-1"/>
                <w:sz w:val="24"/>
                <w:szCs w:val="24"/>
              </w:rPr>
              <w:t>1a - Poboljšanje infrastrukture i kapaciteta za istraživanje i inovacije s ciljem razvijanja uspješnosti istraživanja i inovacija te promoviranje centara za kompetencije, posebice onih od europskog interesa</w:t>
            </w:r>
          </w:p>
        </w:tc>
      </w:tr>
      <w:tr w:rsidR="00576C1D" w:rsidRPr="005E763C" w:rsidTr="00C650DE">
        <w:tc>
          <w:tcPr>
            <w:tcW w:w="15134" w:type="dxa"/>
            <w:gridSpan w:val="3"/>
          </w:tcPr>
          <w:p w:rsidR="00576C1D" w:rsidRPr="00C650DE" w:rsidRDefault="00576C1D" w:rsidP="00C650DE">
            <w:pPr>
              <w:widowControl w:val="0"/>
              <w:shd w:val="clear" w:color="auto" w:fill="FFFFFF"/>
              <w:autoSpaceDE w:val="0"/>
              <w:autoSpaceDN w:val="0"/>
              <w:adjustRightInd w:val="0"/>
              <w:rPr>
                <w:rFonts w:ascii="Times New Roman" w:hAnsi="Times New Roman"/>
                <w:b/>
                <w:bCs/>
                <w:color w:val="000000"/>
                <w:spacing w:val="-1"/>
                <w:sz w:val="24"/>
                <w:szCs w:val="24"/>
              </w:rPr>
            </w:pPr>
            <w:r w:rsidRPr="00C650DE">
              <w:rPr>
                <w:rFonts w:ascii="Times New Roman" w:hAnsi="Times New Roman"/>
                <w:color w:val="000000"/>
                <w:spacing w:val="-1"/>
                <w:sz w:val="24"/>
                <w:szCs w:val="24"/>
              </w:rPr>
              <w:t xml:space="preserve">Naziv projekta: </w:t>
            </w:r>
            <w:r w:rsidRPr="00C650DE">
              <w:rPr>
                <w:rFonts w:ascii="Times New Roman" w:hAnsi="Times New Roman"/>
                <w:b/>
                <w:bCs/>
                <w:color w:val="000000"/>
                <w:spacing w:val="-1"/>
                <w:sz w:val="24"/>
                <w:szCs w:val="24"/>
              </w:rPr>
              <w:t xml:space="preserve">Otvorena znanstvena infrastrukturna platforma za inovativne primjene u gospodarstvu i društvu - O-ZIP; </w:t>
            </w:r>
          </w:p>
          <w:p w:rsidR="00576C1D" w:rsidRPr="00C650DE" w:rsidRDefault="00576C1D" w:rsidP="00C650DE">
            <w:pPr>
              <w:widowControl w:val="0"/>
              <w:shd w:val="clear" w:color="auto" w:fill="FFFFFF"/>
              <w:autoSpaceDE w:val="0"/>
              <w:autoSpaceDN w:val="0"/>
              <w:adjustRightInd w:val="0"/>
              <w:rPr>
                <w:rFonts w:ascii="Times New Roman" w:hAnsi="Times New Roman"/>
                <w:sz w:val="24"/>
                <w:szCs w:val="24"/>
              </w:rPr>
            </w:pPr>
            <w:r w:rsidRPr="00C650DE">
              <w:rPr>
                <w:rFonts w:ascii="Times New Roman" w:hAnsi="Times New Roman"/>
                <w:color w:val="000000"/>
                <w:sz w:val="24"/>
                <w:szCs w:val="24"/>
              </w:rPr>
              <w:t xml:space="preserve">Korisnik: </w:t>
            </w:r>
            <w:r w:rsidRPr="00C650DE">
              <w:rPr>
                <w:rFonts w:ascii="Times New Roman" w:hAnsi="Times New Roman"/>
                <w:b/>
                <w:bCs/>
                <w:color w:val="000000"/>
                <w:sz w:val="24"/>
                <w:szCs w:val="24"/>
              </w:rPr>
              <w:t>Institut Ruđer Bošković (IRB)</w:t>
            </w:r>
          </w:p>
          <w:p w:rsidR="00576C1D" w:rsidRPr="00C650DE" w:rsidRDefault="00576C1D" w:rsidP="00C650DE">
            <w:pPr>
              <w:widowControl w:val="0"/>
              <w:shd w:val="clear" w:color="auto" w:fill="FFFFFF"/>
              <w:autoSpaceDE w:val="0"/>
              <w:autoSpaceDN w:val="0"/>
              <w:adjustRightInd w:val="0"/>
              <w:rPr>
                <w:rFonts w:ascii="Times New Roman" w:hAnsi="Times New Roman"/>
                <w:sz w:val="24"/>
                <w:szCs w:val="24"/>
              </w:rPr>
            </w:pPr>
            <w:r w:rsidRPr="00C650DE">
              <w:rPr>
                <w:rFonts w:ascii="Times New Roman" w:hAnsi="Times New Roman"/>
                <w:color w:val="000000"/>
                <w:spacing w:val="-1"/>
                <w:sz w:val="24"/>
                <w:szCs w:val="24"/>
              </w:rPr>
              <w:t xml:space="preserve">Kroz ovaj projekt IRB namjerava stvoriti četiri "istraživačke infrastrukturne platforme" (IIP): IIP za biološke i medicinske znanosti, IIP za napredne tehnologije i materijale, IIP za more i ekologiju te IIP za informacijsko-komunikacijske znanstvene tehnologije. Ove platforme predstavljaju funkcionalne cjeline organizirane unutar multidisciplinarne okoline s ciljem pružanja potpore hrvatskim prioritetnim sektorima: zdravlju, biotehnologiji, održivom okolišu i inženjerstvu, koji će služiti za istraživanje, primjenu i prijenos znanja i tehnologija. </w:t>
            </w:r>
            <w:r w:rsidRPr="00C650DE">
              <w:rPr>
                <w:rFonts w:ascii="Times New Roman" w:hAnsi="Times New Roman"/>
                <w:b/>
                <w:color w:val="000000"/>
                <w:spacing w:val="-1"/>
                <w:sz w:val="24"/>
                <w:szCs w:val="24"/>
              </w:rPr>
              <w:t>IIP za biološke i medicinske znanosti</w:t>
            </w:r>
            <w:r w:rsidRPr="00C650DE">
              <w:rPr>
                <w:rFonts w:ascii="Times New Roman" w:hAnsi="Times New Roman"/>
                <w:color w:val="000000"/>
                <w:spacing w:val="-1"/>
                <w:sz w:val="24"/>
                <w:szCs w:val="24"/>
              </w:rPr>
              <w:t xml:space="preserve"> poboljšat će aktivnosti u područjima crvene, zelene, bijele i plave biotehnologije i nanomedicine. </w:t>
            </w:r>
            <w:r w:rsidRPr="00C650DE">
              <w:rPr>
                <w:rFonts w:ascii="Times New Roman" w:hAnsi="Times New Roman"/>
                <w:b/>
                <w:color w:val="000000"/>
                <w:spacing w:val="-1"/>
                <w:sz w:val="24"/>
                <w:szCs w:val="24"/>
              </w:rPr>
              <w:t>IIP za napredne tehnologije i materijale</w:t>
            </w:r>
            <w:r w:rsidRPr="00C650DE">
              <w:rPr>
                <w:rFonts w:ascii="Times New Roman" w:hAnsi="Times New Roman"/>
                <w:color w:val="000000"/>
                <w:spacing w:val="-1"/>
                <w:sz w:val="24"/>
                <w:szCs w:val="24"/>
              </w:rPr>
              <w:t xml:space="preserve"> podržat će razvoj hrvatske industrije obrane, prehrambene i drvne industrije te proizvodnje farmaceutskih proizvoda, medicinske opreme, električnih i mehaničkih strojeva. </w:t>
            </w:r>
            <w:r w:rsidRPr="00C650DE">
              <w:rPr>
                <w:rFonts w:ascii="Times New Roman" w:hAnsi="Times New Roman"/>
                <w:b/>
                <w:color w:val="000000"/>
                <w:spacing w:val="-1"/>
                <w:sz w:val="24"/>
                <w:szCs w:val="24"/>
              </w:rPr>
              <w:t>IIP za more i ekologiju</w:t>
            </w:r>
            <w:r w:rsidRPr="00C650DE">
              <w:rPr>
                <w:rFonts w:ascii="Times New Roman" w:hAnsi="Times New Roman"/>
                <w:color w:val="000000"/>
                <w:spacing w:val="-1"/>
                <w:sz w:val="24"/>
                <w:szCs w:val="24"/>
              </w:rPr>
              <w:t xml:space="preserve"> pridonijet će održivom razvoju, zaštiti ekosustava i ljudskom zdravlju. </w:t>
            </w:r>
            <w:r w:rsidRPr="00C650DE">
              <w:rPr>
                <w:rFonts w:ascii="Times New Roman" w:hAnsi="Times New Roman"/>
                <w:b/>
                <w:color w:val="000000"/>
                <w:spacing w:val="-1"/>
                <w:sz w:val="24"/>
                <w:szCs w:val="24"/>
              </w:rPr>
              <w:t>IIP za informacijsko-komunikacijske znanstvene tehnologije</w:t>
            </w:r>
            <w:r w:rsidRPr="00C650DE">
              <w:rPr>
                <w:rFonts w:ascii="Times New Roman" w:hAnsi="Times New Roman"/>
                <w:color w:val="000000"/>
                <w:spacing w:val="-1"/>
                <w:sz w:val="24"/>
                <w:szCs w:val="24"/>
              </w:rPr>
              <w:t xml:space="preserve"> predstavlja e-znanstvenu tehnološku platformu za razvoj novih tehnologija i usluga za biotehnologiju i farmaceutsku industriju, prehrambenu industriju i zdravstveni sektor. Ciljno jačanje, osuvremenjivanje i povećanje dostupnosti ovih platformi značajno će poboljšati suradnju s poslovnim i javnim sektorima, unaprijediti transfer tehnologije, komercijalizaciju rezultata istraživanja i zaštitu intelektualnog vlasništva</w:t>
            </w:r>
            <w:r w:rsidRPr="00C650DE">
              <w:rPr>
                <w:rFonts w:ascii="Times New Roman" w:hAnsi="Times New Roman"/>
                <w:color w:val="000000"/>
                <w:sz w:val="24"/>
                <w:szCs w:val="24"/>
              </w:rPr>
              <w:t>.</w:t>
            </w:r>
          </w:p>
          <w:p w:rsidR="00576C1D" w:rsidRPr="00C650DE" w:rsidRDefault="00576C1D" w:rsidP="00C650DE">
            <w:pPr>
              <w:widowControl w:val="0"/>
              <w:shd w:val="clear" w:color="auto" w:fill="FFFFFF"/>
              <w:autoSpaceDE w:val="0"/>
              <w:autoSpaceDN w:val="0"/>
              <w:adjustRightInd w:val="0"/>
              <w:rPr>
                <w:rFonts w:ascii="Times New Roman" w:hAnsi="Times New Roman"/>
                <w:b/>
                <w:bCs/>
                <w:color w:val="000000"/>
                <w:spacing w:val="-1"/>
                <w:sz w:val="24"/>
                <w:szCs w:val="24"/>
              </w:rPr>
            </w:pPr>
            <w:r w:rsidRPr="00C650DE">
              <w:rPr>
                <w:rFonts w:ascii="Times New Roman" w:hAnsi="Times New Roman"/>
                <w:color w:val="000000"/>
                <w:spacing w:val="-1"/>
                <w:sz w:val="24"/>
                <w:szCs w:val="24"/>
              </w:rPr>
              <w:t xml:space="preserve">Naziv projekta: </w:t>
            </w:r>
            <w:r w:rsidRPr="00C650DE">
              <w:rPr>
                <w:rFonts w:ascii="Times New Roman" w:hAnsi="Times New Roman"/>
                <w:b/>
                <w:bCs/>
                <w:color w:val="000000"/>
                <w:spacing w:val="-1"/>
                <w:sz w:val="24"/>
                <w:szCs w:val="24"/>
              </w:rPr>
              <w:t xml:space="preserve">Centar za stručnost za translacijsku medicinu u Dječjoj bolnici Srebrnjak - CSTM; </w:t>
            </w:r>
          </w:p>
          <w:p w:rsidR="00576C1D" w:rsidRPr="00C650DE" w:rsidRDefault="00576C1D" w:rsidP="00C650DE">
            <w:pPr>
              <w:widowControl w:val="0"/>
              <w:shd w:val="clear" w:color="auto" w:fill="FFFFFF"/>
              <w:autoSpaceDE w:val="0"/>
              <w:autoSpaceDN w:val="0"/>
              <w:adjustRightInd w:val="0"/>
              <w:rPr>
                <w:rFonts w:ascii="Times New Roman" w:hAnsi="Times New Roman"/>
                <w:sz w:val="24"/>
                <w:szCs w:val="24"/>
              </w:rPr>
            </w:pPr>
            <w:r w:rsidRPr="00C650DE">
              <w:rPr>
                <w:rFonts w:ascii="Times New Roman" w:hAnsi="Times New Roman"/>
                <w:color w:val="000000"/>
                <w:sz w:val="24"/>
                <w:szCs w:val="24"/>
              </w:rPr>
              <w:t xml:space="preserve">Korisnik: </w:t>
            </w:r>
            <w:r w:rsidRPr="00C650DE">
              <w:rPr>
                <w:rFonts w:ascii="Times New Roman" w:hAnsi="Times New Roman"/>
                <w:b/>
                <w:bCs/>
                <w:color w:val="000000"/>
                <w:sz w:val="24"/>
                <w:szCs w:val="24"/>
              </w:rPr>
              <w:t>Dječja bolnica Srebrnjak</w:t>
            </w:r>
          </w:p>
          <w:p w:rsidR="00576C1D" w:rsidRPr="00C650DE" w:rsidRDefault="00576C1D" w:rsidP="00C650DE">
            <w:pPr>
              <w:widowControl w:val="0"/>
              <w:shd w:val="clear" w:color="auto" w:fill="FFFFFF"/>
              <w:autoSpaceDE w:val="0"/>
              <w:autoSpaceDN w:val="0"/>
              <w:adjustRightInd w:val="0"/>
              <w:rPr>
                <w:rFonts w:ascii="Times New Roman" w:hAnsi="Times New Roman"/>
                <w:sz w:val="24"/>
                <w:szCs w:val="24"/>
              </w:rPr>
            </w:pPr>
            <w:r w:rsidRPr="00C650DE">
              <w:rPr>
                <w:rFonts w:ascii="Times New Roman" w:hAnsi="Times New Roman"/>
                <w:color w:val="000000"/>
                <w:spacing w:val="-1"/>
                <w:sz w:val="24"/>
                <w:szCs w:val="24"/>
              </w:rPr>
              <w:t xml:space="preserve">Kroz ovaj projekt, Dječja bolnica Srebrnjak uspostavit će konkurentno i inovativno postrojenje za translacijsku medicinu koje kombinira osnovna i klinička istraživanja i praksu, stvarajući tako multidisciplinarne skupine koje surađuju na važnim medicinskim i znanstvenim problemima. Vršenjem ugovorenih i </w:t>
            </w:r>
            <w:r w:rsidRPr="00C650DE">
              <w:rPr>
                <w:rFonts w:ascii="Times New Roman" w:hAnsi="Times New Roman"/>
                <w:color w:val="000000"/>
                <w:spacing w:val="-1"/>
                <w:sz w:val="24"/>
                <w:szCs w:val="24"/>
              </w:rPr>
              <w:lastRenderedPageBreak/>
              <w:t>kliničkih istraživanja, kao i kroz javno financirana istraživanja, razvoj i inovacije, CSTM će biti usmjeren prema potrebama gospodarstva, primjenjujući svoj potencijal na poboljšanje novih dijagnostičkih, terapeutskih i preventivnih strategija te razvoj novih lijekova. CSTM usko integrira vrhunsku pedijatrijsku medicinu u području astme, alergija, reumatologije, kardiologije, kardio-operacija, lijekova za uho, grlo i nos, rehabilitaciju i klinička istraživanja s temeljnim biomedicinskim znanstveno-istraživačkim jedinicama koje će raditi na ublažavanju kroničnih dječjih bolesti te na razvoju inovativnih lijekova i dijagnostičkih postupaka.</w:t>
            </w:r>
          </w:p>
        </w:tc>
      </w:tr>
      <w:tr w:rsidR="00576C1D" w:rsidRPr="005E763C" w:rsidTr="00C650DE">
        <w:tc>
          <w:tcPr>
            <w:tcW w:w="4515" w:type="dxa"/>
          </w:tcPr>
          <w:p w:rsidR="00576C1D" w:rsidRPr="00C650DE" w:rsidRDefault="00576C1D" w:rsidP="004229A4">
            <w:pPr>
              <w:widowControl w:val="0"/>
              <w:shd w:val="clear" w:color="auto" w:fill="FFFFFF"/>
              <w:autoSpaceDE w:val="0"/>
              <w:autoSpaceDN w:val="0"/>
              <w:adjustRightInd w:val="0"/>
              <w:spacing w:line="557" w:lineRule="exact"/>
              <w:ind w:right="99"/>
              <w:rPr>
                <w:rFonts w:ascii="Times New Roman" w:hAnsi="Times New Roman"/>
                <w:color w:val="000000"/>
                <w:spacing w:val="-1"/>
                <w:sz w:val="24"/>
                <w:szCs w:val="24"/>
              </w:rPr>
            </w:pPr>
            <w:r w:rsidRPr="00C650DE">
              <w:rPr>
                <w:rFonts w:ascii="Times New Roman" w:hAnsi="Times New Roman"/>
                <w:b/>
                <w:bCs/>
                <w:color w:val="000000"/>
                <w:spacing w:val="-1"/>
                <w:sz w:val="24"/>
                <w:szCs w:val="24"/>
              </w:rPr>
              <w:lastRenderedPageBreak/>
              <w:t>Investicijski prioritet</w:t>
            </w:r>
          </w:p>
        </w:tc>
        <w:tc>
          <w:tcPr>
            <w:tcW w:w="10619" w:type="dxa"/>
            <w:gridSpan w:val="2"/>
          </w:tcPr>
          <w:p w:rsidR="00576C1D" w:rsidRPr="00C650DE" w:rsidRDefault="00576C1D" w:rsidP="00C650DE">
            <w:pPr>
              <w:widowControl w:val="0"/>
              <w:shd w:val="clear" w:color="auto" w:fill="FFFFFF"/>
              <w:autoSpaceDE w:val="0"/>
              <w:autoSpaceDN w:val="0"/>
              <w:adjustRightInd w:val="0"/>
              <w:rPr>
                <w:rFonts w:ascii="Times New Roman" w:hAnsi="Times New Roman"/>
                <w:color w:val="000000"/>
                <w:spacing w:val="-1"/>
                <w:sz w:val="24"/>
                <w:szCs w:val="24"/>
              </w:rPr>
            </w:pPr>
            <w:r w:rsidRPr="00C650DE">
              <w:rPr>
                <w:rFonts w:ascii="Times New Roman" w:hAnsi="Times New Roman"/>
                <w:color w:val="000000"/>
                <w:spacing w:val="-1"/>
                <w:sz w:val="24"/>
                <w:szCs w:val="24"/>
              </w:rPr>
              <w:t>1a - Poboljšanje infrastrukture i kapaciteta za istraživanje i inovacije s ciljem razvijanja uspješnosti istraživanja i inovacija te promoviranje centara za kompetencije, posebice onih od europskog interesa</w:t>
            </w:r>
          </w:p>
        </w:tc>
      </w:tr>
      <w:tr w:rsidR="00576C1D" w:rsidRPr="005E763C" w:rsidTr="00C650DE">
        <w:tc>
          <w:tcPr>
            <w:tcW w:w="15134" w:type="dxa"/>
            <w:gridSpan w:val="3"/>
          </w:tcPr>
          <w:p w:rsidR="00576C1D" w:rsidRPr="00C650DE" w:rsidRDefault="00576C1D" w:rsidP="00C650DE">
            <w:pPr>
              <w:widowControl w:val="0"/>
              <w:shd w:val="clear" w:color="auto" w:fill="FFFFFF"/>
              <w:autoSpaceDE w:val="0"/>
              <w:autoSpaceDN w:val="0"/>
              <w:adjustRightInd w:val="0"/>
              <w:rPr>
                <w:rFonts w:ascii="Times New Roman" w:hAnsi="Times New Roman"/>
                <w:color w:val="000000"/>
                <w:spacing w:val="-1"/>
                <w:sz w:val="24"/>
                <w:szCs w:val="24"/>
              </w:rPr>
            </w:pPr>
            <w:r w:rsidRPr="00C650DE">
              <w:rPr>
                <w:rFonts w:ascii="Times New Roman" w:hAnsi="Times New Roman"/>
                <w:color w:val="000000"/>
                <w:spacing w:val="-1"/>
                <w:sz w:val="24"/>
                <w:szCs w:val="24"/>
              </w:rPr>
              <w:t>Uz tim vrlo iskusnih stručnjaka, CSTM će promicati znanstvena otkrića i olakšavati njihovu kliničku primjenu za povećanje zdravlja djece u personaliziranom bolničkom okruženju te će snažno usmjeravati istraživačke ustanove ka stvaranju i širenju znanja. Stručni centar za translacijsku medicinu je mehanizam usmjeren na osiguravanje bogatog kanala biomedicinskih otkrića, infrastruktura za olakšavanje prijenosa inovativnih znanstvenih otkrića od osnovnih i laboratorijskih istraživanja u profesionalnu kliničku praksu te snažni tim kliničkih istraživača koji omogućavaju testiranje novih dijagnostičkih, terapeutskih i preventivnih strategija kod većeg broja pacijenata.</w:t>
            </w:r>
          </w:p>
        </w:tc>
      </w:tr>
    </w:tbl>
    <w:p w:rsidR="00C650DE" w:rsidRDefault="00C650DE">
      <w:pP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br w:type="page"/>
      </w:r>
    </w:p>
    <w:p w:rsidR="00FC3F35" w:rsidRPr="00576C1D" w:rsidRDefault="00FC3F35" w:rsidP="00FC3F35">
      <w:pPr>
        <w:widowControl w:val="0"/>
        <w:shd w:val="clear" w:color="auto" w:fill="FFFFFF"/>
        <w:autoSpaceDE w:val="0"/>
        <w:autoSpaceDN w:val="0"/>
        <w:adjustRightInd w:val="0"/>
        <w:spacing w:before="1008"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lastRenderedPageBreak/>
        <w:t>2.A.6.5 Pokazatelji neposrednih rezultata po investicijskom prioritetu i, po mogućnosti,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regija za ESF i, po potrebi, za EFRR)</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1a </w:t>
            </w:r>
            <w:r w:rsidRPr="00576C1D">
              <w:rPr>
                <w:rFonts w:ascii="Times New Roman" w:eastAsia="Times New Roman" w:hAnsi="Times New Roman" w:cs="Times New Roman"/>
                <w:color w:val="000000"/>
                <w:spacing w:val="-1"/>
                <w:sz w:val="16"/>
                <w:szCs w:val="16"/>
                <w:lang w:eastAsia="hr-HR"/>
              </w:rPr>
              <w:t>- Poboljšanje infrastrukture i kapaciteta za istraživanje i inovacije s ciljem razvijanja uspješnosti istraživanja i inovacija te promoviranje centara za kompetencije, posebice onih od europskog interesa</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989"/>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6"/>
                <w:sz w:val="16"/>
                <w:szCs w:val="16"/>
                <w:lang w:eastAsia="hr-HR"/>
              </w:rPr>
              <w:t>1all</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 integriranih projekata istraživanja, razvoja i inovacija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4,00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9"/>
                <w:sz w:val="16"/>
                <w:szCs w:val="16"/>
                <w:lang w:eastAsia="hr-HR"/>
              </w:rPr>
              <w:t>Godišnje</w:t>
            </w:r>
          </w:p>
        </w:tc>
      </w:tr>
      <w:tr w:rsidR="00FC3F35" w:rsidRPr="00576C1D" w:rsidTr="00FC3F35">
        <w:trPr>
          <w:trHeight w:hRule="exact" w:val="1373"/>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7"/>
                <w:sz w:val="16"/>
                <w:szCs w:val="16"/>
                <w:lang w:eastAsia="hr-HR"/>
              </w:rPr>
              <w:t>1a21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 projekata provedenih u Znanstvenim centrima znanstvene izvrsnosti</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9"/>
                <w:sz w:val="16"/>
                <w:szCs w:val="16"/>
                <w:lang w:eastAsia="hr-HR"/>
              </w:rPr>
              <w:t>Godišnje</w:t>
            </w:r>
          </w:p>
        </w:tc>
      </w:tr>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1a </w:t>
            </w:r>
            <w:r w:rsidRPr="00576C1D">
              <w:rPr>
                <w:rFonts w:ascii="Times New Roman" w:eastAsia="Times New Roman" w:hAnsi="Times New Roman" w:cs="Times New Roman"/>
                <w:color w:val="000000"/>
                <w:spacing w:val="-1"/>
                <w:sz w:val="16"/>
                <w:szCs w:val="16"/>
                <w:lang w:eastAsia="hr-HR"/>
              </w:rPr>
              <w:t>- Poboljšanje infrastrukture i kapaciteta za istraživanje i inovacije s ciljem razvijanja uspješnosti istraživnja i inovacija te promoviranje centara za kompetencije, posebice onih od europskog interesa</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138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1a31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hanging="5"/>
              <w:rPr>
                <w:rFonts w:ascii="Times New Roman" w:eastAsia="Times New Roman" w:hAnsi="Times New Roman" w:cs="Times New Roman"/>
                <w:sz w:val="16"/>
                <w:szCs w:val="16"/>
                <w:lang w:eastAsia="hr-HR"/>
              </w:rPr>
            </w:pPr>
            <w:r w:rsidRPr="00576C1D">
              <w:rPr>
                <w:rFonts w:ascii="Times New Roman" w:eastAsia="Times New Roman" w:hAnsi="Times New Roman" w:cs="Times New Roman"/>
                <w:color w:val="000000"/>
                <w:spacing w:val="1"/>
                <w:sz w:val="16"/>
                <w:szCs w:val="16"/>
                <w:lang w:eastAsia="hr-HR"/>
              </w:rPr>
              <w:t>Broj provedenih projekata visokoškolskih ustanova i znanstvenih organizacija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bl>
    <w:p w:rsidR="00C650DE" w:rsidRDefault="00C650DE" w:rsidP="00FC3F35">
      <w:pPr>
        <w:widowControl w:val="0"/>
        <w:shd w:val="clear" w:color="auto" w:fill="FFFFFF"/>
        <w:autoSpaceDE w:val="0"/>
        <w:autoSpaceDN w:val="0"/>
        <w:adjustRightInd w:val="0"/>
        <w:spacing w:before="509" w:after="178" w:line="240" w:lineRule="auto"/>
        <w:ind w:left="538"/>
        <w:rPr>
          <w:rFonts w:ascii="Times New Roman" w:eastAsia="Times New Roman" w:hAnsi="Times New Roman" w:cs="Times New Roman"/>
          <w:b/>
          <w:bCs/>
          <w:color w:val="000000"/>
          <w:spacing w:val="-2"/>
          <w:sz w:val="24"/>
          <w:szCs w:val="24"/>
          <w:lang w:eastAsia="hr-HR"/>
        </w:rPr>
      </w:pPr>
    </w:p>
    <w:p w:rsidR="00C650DE" w:rsidRDefault="00C650DE" w:rsidP="00FC3F35">
      <w:pPr>
        <w:widowControl w:val="0"/>
        <w:shd w:val="clear" w:color="auto" w:fill="FFFFFF"/>
        <w:autoSpaceDE w:val="0"/>
        <w:autoSpaceDN w:val="0"/>
        <w:adjustRightInd w:val="0"/>
        <w:spacing w:before="509" w:after="178" w:line="240" w:lineRule="auto"/>
        <w:ind w:left="538"/>
        <w:rPr>
          <w:rFonts w:ascii="Times New Roman" w:eastAsia="Times New Roman" w:hAnsi="Times New Roman" w:cs="Times New Roman"/>
          <w:b/>
          <w:bCs/>
          <w:color w:val="000000"/>
          <w:spacing w:val="-2"/>
          <w:sz w:val="24"/>
          <w:szCs w:val="24"/>
          <w:lang w:eastAsia="hr-HR"/>
        </w:rPr>
      </w:pPr>
    </w:p>
    <w:p w:rsidR="00C650DE" w:rsidRDefault="00C650DE" w:rsidP="00FC3F35">
      <w:pPr>
        <w:widowControl w:val="0"/>
        <w:shd w:val="clear" w:color="auto" w:fill="FFFFFF"/>
        <w:autoSpaceDE w:val="0"/>
        <w:autoSpaceDN w:val="0"/>
        <w:adjustRightInd w:val="0"/>
        <w:spacing w:before="509" w:after="178" w:line="240" w:lineRule="auto"/>
        <w:ind w:left="538"/>
        <w:rPr>
          <w:rFonts w:ascii="Times New Roman" w:eastAsia="Times New Roman" w:hAnsi="Times New Roman" w:cs="Times New Roman"/>
          <w:b/>
          <w:bCs/>
          <w:color w:val="000000"/>
          <w:spacing w:val="-2"/>
          <w:sz w:val="24"/>
          <w:szCs w:val="24"/>
          <w:lang w:eastAsia="hr-HR"/>
        </w:rPr>
      </w:pPr>
    </w:p>
    <w:p w:rsidR="00FC3F35" w:rsidRDefault="00FC3F35" w:rsidP="00FC3F35">
      <w:pPr>
        <w:widowControl w:val="0"/>
        <w:shd w:val="clear" w:color="auto" w:fill="FFFFFF"/>
        <w:autoSpaceDE w:val="0"/>
        <w:autoSpaceDN w:val="0"/>
        <w:adjustRightInd w:val="0"/>
        <w:spacing w:before="509"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bl>
      <w:tblPr>
        <w:tblStyle w:val="TableGrid"/>
        <w:tblW w:w="0" w:type="auto"/>
        <w:tblLook w:val="04A0" w:firstRow="1" w:lastRow="0" w:firstColumn="1" w:lastColumn="0" w:noHBand="0" w:noVBand="1"/>
      </w:tblPr>
      <w:tblGrid>
        <w:gridCol w:w="4531"/>
        <w:gridCol w:w="10745"/>
      </w:tblGrid>
      <w:tr w:rsidR="00C650DE" w:rsidRPr="005E763C" w:rsidTr="00C650DE">
        <w:tc>
          <w:tcPr>
            <w:tcW w:w="4531" w:type="dxa"/>
          </w:tcPr>
          <w:p w:rsidR="00C650DE" w:rsidRPr="005E763C" w:rsidRDefault="00C650DE" w:rsidP="00C650DE">
            <w:pPr>
              <w:rPr>
                <w:rFonts w:ascii="Times New Roman" w:hAnsi="Times New Roman"/>
                <w:sz w:val="24"/>
                <w:szCs w:val="24"/>
              </w:rPr>
            </w:pPr>
            <w:r w:rsidRPr="005E763C">
              <w:rPr>
                <w:rFonts w:ascii="Times New Roman" w:hAnsi="Times New Roman"/>
                <w:b/>
                <w:bCs/>
                <w:color w:val="000000"/>
                <w:spacing w:val="-1"/>
                <w:sz w:val="24"/>
                <w:szCs w:val="24"/>
              </w:rPr>
              <w:t>Investicijski prioritet</w:t>
            </w:r>
          </w:p>
        </w:tc>
        <w:tc>
          <w:tcPr>
            <w:tcW w:w="10745" w:type="dxa"/>
          </w:tcPr>
          <w:p w:rsidR="00C650DE" w:rsidRPr="005E763C" w:rsidRDefault="00C650DE" w:rsidP="00C650DE">
            <w:pPr>
              <w:rPr>
                <w:rFonts w:ascii="Times New Roman" w:hAnsi="Times New Roman"/>
                <w:sz w:val="24"/>
                <w:szCs w:val="24"/>
              </w:rPr>
            </w:pPr>
            <w:r w:rsidRPr="005E763C">
              <w:rPr>
                <w:rFonts w:ascii="Times New Roman" w:hAnsi="Times New Roman"/>
                <w:color w:val="000000"/>
                <w:spacing w:val="-1"/>
                <w:sz w:val="24"/>
                <w:szCs w:val="24"/>
              </w:rPr>
              <w:t xml:space="preserve">1b - </w:t>
            </w:r>
          </w:p>
        </w:tc>
      </w:tr>
      <w:tr w:rsidR="00C650DE" w:rsidRPr="005E763C" w:rsidTr="00C650DE">
        <w:trPr>
          <w:trHeight w:val="1913"/>
        </w:trPr>
        <w:tc>
          <w:tcPr>
            <w:tcW w:w="4531" w:type="dxa"/>
          </w:tcPr>
          <w:p w:rsidR="00C650DE" w:rsidRPr="005E763C" w:rsidRDefault="00C650DE" w:rsidP="00C650DE">
            <w:pPr>
              <w:widowControl w:val="0"/>
              <w:shd w:val="clear" w:color="auto" w:fill="FFFFFF"/>
              <w:autoSpaceDE w:val="0"/>
              <w:autoSpaceDN w:val="0"/>
              <w:adjustRightInd w:val="0"/>
              <w:spacing w:line="274" w:lineRule="exact"/>
              <w:rPr>
                <w:rFonts w:ascii="Times New Roman" w:hAnsi="Times New Roman"/>
                <w:sz w:val="24"/>
                <w:szCs w:val="24"/>
              </w:rPr>
            </w:pPr>
            <w:r w:rsidRPr="005E763C">
              <w:rPr>
                <w:rFonts w:ascii="Times New Roman" w:hAnsi="Times New Roman"/>
                <w:b/>
                <w:bCs/>
                <w:color w:val="000000"/>
                <w:spacing w:val="-1"/>
                <w:sz w:val="24"/>
                <w:szCs w:val="24"/>
              </w:rPr>
              <w:t>Naziv investicijskog prioriteta</w:t>
            </w:r>
          </w:p>
        </w:tc>
        <w:tc>
          <w:tcPr>
            <w:tcW w:w="10745" w:type="dxa"/>
          </w:tcPr>
          <w:p w:rsidR="00C650DE" w:rsidRPr="005E763C" w:rsidRDefault="00C650DE" w:rsidP="00C650DE">
            <w:pPr>
              <w:widowControl w:val="0"/>
              <w:shd w:val="clear" w:color="auto" w:fill="FFFFFF"/>
              <w:autoSpaceDE w:val="0"/>
              <w:autoSpaceDN w:val="0"/>
              <w:adjustRightInd w:val="0"/>
              <w:spacing w:line="274" w:lineRule="exact"/>
              <w:rPr>
                <w:rFonts w:ascii="Times New Roman" w:hAnsi="Times New Roman"/>
                <w:sz w:val="24"/>
                <w:szCs w:val="24"/>
              </w:rPr>
            </w:pPr>
            <w:r w:rsidRPr="005E763C">
              <w:rPr>
                <w:rFonts w:ascii="Times New Roman" w:hAnsi="Times New Roman"/>
                <w:sz w:val="24"/>
                <w:szCs w:val="24"/>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bl>
    <w:p w:rsidR="00FC3F35" w:rsidRPr="00576C1D" w:rsidRDefault="00FC3F35" w:rsidP="00FC3F35">
      <w:pPr>
        <w:widowControl w:val="0"/>
        <w:shd w:val="clear" w:color="auto" w:fill="FFFFFF"/>
        <w:autoSpaceDE w:val="0"/>
        <w:autoSpaceDN w:val="0"/>
        <w:adjustRightInd w:val="0"/>
        <w:spacing w:before="566"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15876" w:type="dxa"/>
        <w:tblInd w:w="40" w:type="dxa"/>
        <w:tblLayout w:type="fixed"/>
        <w:tblCellMar>
          <w:left w:w="40" w:type="dxa"/>
          <w:right w:w="40" w:type="dxa"/>
        </w:tblCellMar>
        <w:tblLook w:val="0000" w:firstRow="0" w:lastRow="0" w:firstColumn="0" w:lastColumn="0" w:noHBand="0" w:noVBand="0"/>
      </w:tblPr>
      <w:tblGrid>
        <w:gridCol w:w="2410"/>
        <w:gridCol w:w="13466"/>
      </w:tblGrid>
      <w:tr w:rsidR="00FC3F35" w:rsidRPr="00C650DE" w:rsidTr="00B201EA">
        <w:tc>
          <w:tcPr>
            <w:tcW w:w="2410" w:type="dxa"/>
            <w:tcBorders>
              <w:top w:val="single" w:sz="6" w:space="0" w:color="auto"/>
              <w:left w:val="single" w:sz="6" w:space="0" w:color="auto"/>
              <w:bottom w:val="single" w:sz="6" w:space="0" w:color="auto"/>
              <w:right w:val="single" w:sz="6" w:space="0" w:color="auto"/>
            </w:tcBorders>
            <w:shd w:val="clear" w:color="auto" w:fill="FFFFFF"/>
          </w:tcPr>
          <w:p w:rsidR="00FC3F35" w:rsidRPr="00C650DE" w:rsidRDefault="00FC3F35" w:rsidP="00C650D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C650DE">
              <w:rPr>
                <w:rFonts w:ascii="Times New Roman" w:eastAsia="Times New Roman" w:hAnsi="Times New Roman" w:cs="Times New Roman"/>
                <w:b/>
                <w:bCs/>
                <w:color w:val="000000"/>
                <w:sz w:val="24"/>
                <w:szCs w:val="24"/>
                <w:lang w:eastAsia="hr-HR"/>
              </w:rPr>
              <w:t>Oznaka specifičnog cilja</w:t>
            </w:r>
          </w:p>
        </w:tc>
        <w:tc>
          <w:tcPr>
            <w:tcW w:w="13466" w:type="dxa"/>
            <w:tcBorders>
              <w:top w:val="single" w:sz="6" w:space="0" w:color="auto"/>
              <w:left w:val="single" w:sz="6" w:space="0" w:color="auto"/>
              <w:bottom w:val="single" w:sz="6" w:space="0" w:color="auto"/>
              <w:right w:val="single" w:sz="6" w:space="0" w:color="auto"/>
            </w:tcBorders>
            <w:shd w:val="clear" w:color="auto" w:fill="FFFFFF"/>
          </w:tcPr>
          <w:p w:rsidR="00FC3F35" w:rsidRPr="00C650DE" w:rsidRDefault="00FC3F35" w:rsidP="00C650D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C650DE">
              <w:rPr>
                <w:rFonts w:ascii="Times New Roman" w:eastAsia="Times New Roman" w:hAnsi="Times New Roman" w:cs="Times New Roman"/>
                <w:color w:val="000000"/>
                <w:sz w:val="24"/>
                <w:szCs w:val="24"/>
                <w:lang w:eastAsia="hr-HR"/>
              </w:rPr>
              <w:t>1</w:t>
            </w:r>
          </w:p>
        </w:tc>
      </w:tr>
      <w:tr w:rsidR="00FC3F35" w:rsidRPr="00C650DE" w:rsidTr="00B201EA">
        <w:tc>
          <w:tcPr>
            <w:tcW w:w="2410" w:type="dxa"/>
            <w:tcBorders>
              <w:top w:val="single" w:sz="6" w:space="0" w:color="auto"/>
              <w:left w:val="single" w:sz="6" w:space="0" w:color="auto"/>
              <w:bottom w:val="single" w:sz="6" w:space="0" w:color="auto"/>
              <w:right w:val="single" w:sz="6" w:space="0" w:color="auto"/>
            </w:tcBorders>
            <w:shd w:val="clear" w:color="auto" w:fill="FFFFFF"/>
          </w:tcPr>
          <w:p w:rsidR="00FC3F35" w:rsidRPr="00C650DE" w:rsidRDefault="00FC3F35" w:rsidP="00C650D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C650DE">
              <w:rPr>
                <w:rFonts w:ascii="Times New Roman" w:eastAsia="Times New Roman" w:hAnsi="Times New Roman" w:cs="Times New Roman"/>
                <w:b/>
                <w:bCs/>
                <w:color w:val="000000"/>
                <w:sz w:val="24"/>
                <w:szCs w:val="24"/>
                <w:lang w:eastAsia="hr-HR"/>
              </w:rPr>
              <w:t>Naziv specifičnog cilja</w:t>
            </w:r>
          </w:p>
        </w:tc>
        <w:tc>
          <w:tcPr>
            <w:tcW w:w="13466" w:type="dxa"/>
            <w:tcBorders>
              <w:top w:val="single" w:sz="6" w:space="0" w:color="auto"/>
              <w:left w:val="single" w:sz="6" w:space="0" w:color="auto"/>
              <w:bottom w:val="single" w:sz="6" w:space="0" w:color="auto"/>
              <w:right w:val="single" w:sz="6" w:space="0" w:color="auto"/>
            </w:tcBorders>
            <w:shd w:val="clear" w:color="auto" w:fill="FFFFFF"/>
          </w:tcPr>
          <w:p w:rsidR="00FC3F35" w:rsidRPr="00C650DE" w:rsidRDefault="00FC3F35" w:rsidP="00C650D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C650DE">
              <w:rPr>
                <w:rFonts w:ascii="Times New Roman" w:eastAsia="Times New Roman" w:hAnsi="Times New Roman" w:cs="Times New Roman"/>
                <w:color w:val="000000"/>
                <w:spacing w:val="-1"/>
                <w:sz w:val="24"/>
                <w:szCs w:val="24"/>
                <w:lang w:eastAsia="hr-HR"/>
              </w:rPr>
              <w:t>Jačanje djelatnosti istraživanja, razvoja i inovacija (IRI) u poduzećima</w:t>
            </w:r>
          </w:p>
        </w:tc>
      </w:tr>
      <w:tr w:rsidR="00FC3F35" w:rsidRPr="00C650DE" w:rsidTr="00B201EA">
        <w:tc>
          <w:tcPr>
            <w:tcW w:w="2410" w:type="dxa"/>
            <w:tcBorders>
              <w:top w:val="single" w:sz="6" w:space="0" w:color="auto"/>
              <w:left w:val="single" w:sz="6" w:space="0" w:color="auto"/>
              <w:bottom w:val="single" w:sz="6" w:space="0" w:color="auto"/>
              <w:right w:val="single" w:sz="6" w:space="0" w:color="auto"/>
            </w:tcBorders>
            <w:shd w:val="clear" w:color="auto" w:fill="FFFFFF"/>
          </w:tcPr>
          <w:p w:rsidR="00FC3F35" w:rsidRPr="00C650DE" w:rsidRDefault="00FC3F35" w:rsidP="00C650DE">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sz w:val="24"/>
                <w:szCs w:val="24"/>
                <w:lang w:eastAsia="hr-HR"/>
              </w:rPr>
            </w:pPr>
            <w:r w:rsidRPr="00C650DE">
              <w:rPr>
                <w:rFonts w:ascii="Times New Roman" w:eastAsia="Times New Roman" w:hAnsi="Times New Roman" w:cs="Times New Roman"/>
                <w:b/>
                <w:bCs/>
                <w:color w:val="000000"/>
                <w:spacing w:val="-1"/>
                <w:sz w:val="24"/>
                <w:szCs w:val="24"/>
                <w:lang w:eastAsia="hr-HR"/>
              </w:rPr>
              <w:t>Rezultati koje države članice žele postići uz potporu Unije</w:t>
            </w:r>
          </w:p>
        </w:tc>
        <w:tc>
          <w:tcPr>
            <w:tcW w:w="13466" w:type="dxa"/>
            <w:tcBorders>
              <w:top w:val="single" w:sz="6" w:space="0" w:color="auto"/>
              <w:left w:val="single" w:sz="6" w:space="0" w:color="auto"/>
              <w:bottom w:val="single" w:sz="6" w:space="0" w:color="auto"/>
              <w:right w:val="single" w:sz="6" w:space="0" w:color="auto"/>
            </w:tcBorders>
            <w:shd w:val="clear" w:color="auto" w:fill="FFFFFF"/>
          </w:tcPr>
          <w:p w:rsidR="00FC3F35" w:rsidRPr="00C650DE" w:rsidRDefault="00FC3F35" w:rsidP="00C650DE">
            <w:pPr>
              <w:widowControl w:val="0"/>
              <w:shd w:val="clear" w:color="auto" w:fill="FFFFFF"/>
              <w:autoSpaceDE w:val="0"/>
              <w:autoSpaceDN w:val="0"/>
              <w:adjustRightInd w:val="0"/>
              <w:spacing w:after="0" w:line="240" w:lineRule="auto"/>
              <w:ind w:hanging="10"/>
              <w:rPr>
                <w:rFonts w:ascii="Times New Roman" w:eastAsia="Times New Roman" w:hAnsi="Times New Roman" w:cs="Times New Roman"/>
                <w:sz w:val="24"/>
                <w:szCs w:val="24"/>
                <w:lang w:eastAsia="hr-HR"/>
              </w:rPr>
            </w:pPr>
            <w:r w:rsidRPr="00C650DE">
              <w:rPr>
                <w:rFonts w:ascii="Times New Roman" w:eastAsia="Times New Roman" w:hAnsi="Times New Roman" w:cs="Times New Roman"/>
                <w:color w:val="000000"/>
                <w:spacing w:val="-1"/>
                <w:sz w:val="24"/>
                <w:szCs w:val="24"/>
                <w:lang w:eastAsia="hr-HR"/>
              </w:rPr>
              <w:t>Poboljšanje inovativnosti hrvatskog gospodarstva stimuliranjem poslovnog istraživanja, razvoja i inovacija te unapređenja znanstveno-industrijske suradnje i transfera tehnologija nalaze se među hrvatskim investicijskim prioritetima za razdoblje 2014. - 2020. U sklopu specifičnog cilja 1.2.1., podržat će se aktivnosti istraživanja i razvoja u poduzećima. Inovacija se smatra jednim od ključeva održivosti konkurentnosti na svjetskom tržištu, stvarajući nova radna mjesta i unapređujući kvalitetu življenja. Jedan od glavnih razvojnih izazova Hrvatske je relativno niska inovativnost hrvatskog gospodarstva koja se očituje slabim izvozom, nižom produktivnošću hrvatskih poduzeća i sveukupnim niskim položajem konkurentnosti hrvatskog gospodarstva. Stoga postoji snažna potreba za povećanjem udjela poduzeća, uključujući MSP-ove, u ulaganja u istraživanje, razvoj i inovacije kako bi se osigurala provedba rezultata istraživanja i razvoja u poslovnim aktivnostima koje će pridonijeti unapređenju inovativnosti i konkurentnosti hrvatskog gospodarstva.</w:t>
            </w:r>
          </w:p>
        </w:tc>
      </w:tr>
      <w:tr w:rsidR="00FC3F35" w:rsidRPr="00C650DE" w:rsidTr="00B201EA">
        <w:tc>
          <w:tcPr>
            <w:tcW w:w="2410" w:type="dxa"/>
            <w:tcBorders>
              <w:top w:val="single" w:sz="6" w:space="0" w:color="auto"/>
              <w:left w:val="single" w:sz="6" w:space="0" w:color="auto"/>
              <w:bottom w:val="single" w:sz="6" w:space="0" w:color="auto"/>
              <w:right w:val="single" w:sz="6" w:space="0" w:color="auto"/>
            </w:tcBorders>
            <w:shd w:val="clear" w:color="auto" w:fill="FFFFFF"/>
          </w:tcPr>
          <w:p w:rsidR="00FC3F35" w:rsidRPr="00C650DE" w:rsidRDefault="00FC3F35" w:rsidP="00C650D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p>
        </w:tc>
        <w:tc>
          <w:tcPr>
            <w:tcW w:w="13466" w:type="dxa"/>
            <w:tcBorders>
              <w:top w:val="single" w:sz="6" w:space="0" w:color="auto"/>
              <w:left w:val="single" w:sz="6" w:space="0" w:color="auto"/>
              <w:bottom w:val="single" w:sz="6" w:space="0" w:color="auto"/>
              <w:right w:val="single" w:sz="6" w:space="0" w:color="auto"/>
            </w:tcBorders>
            <w:shd w:val="clear" w:color="auto" w:fill="FFFFFF"/>
          </w:tcPr>
          <w:p w:rsidR="00E24D45" w:rsidRPr="00C650DE" w:rsidRDefault="00E24D45" w:rsidP="00C650DE">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color w:val="000000"/>
                <w:spacing w:val="-1"/>
                <w:sz w:val="24"/>
                <w:szCs w:val="24"/>
                <w:lang w:eastAsia="hr-HR"/>
              </w:rPr>
            </w:pPr>
          </w:p>
          <w:p w:rsidR="00E24D45" w:rsidRPr="00C650DE" w:rsidRDefault="00FC3F35" w:rsidP="00C650DE">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color w:val="000000"/>
                <w:spacing w:val="-1"/>
                <w:sz w:val="24"/>
                <w:szCs w:val="24"/>
                <w:lang w:eastAsia="hr-HR"/>
              </w:rPr>
            </w:pPr>
            <w:r w:rsidRPr="00C650DE">
              <w:rPr>
                <w:rFonts w:ascii="Times New Roman" w:eastAsia="Times New Roman" w:hAnsi="Times New Roman" w:cs="Times New Roman"/>
                <w:color w:val="000000"/>
                <w:spacing w:val="-1"/>
                <w:sz w:val="24"/>
                <w:szCs w:val="24"/>
                <w:lang w:eastAsia="hr-HR"/>
              </w:rPr>
              <w:t xml:space="preserve">Relativno niska razina ulaganja poduzeća u istraživanje i razvoj te relativno slaba suradnja sa znanstvenim sektorom ima negativan učinak na komercijalizaciju rezultata poslova istraživanja i razvoja te stoga slabom inovativnošću poduzeća. Pružit će se potpora velikim poduzećima i MSP-ovima, kako onima koji već provode, tako i onima koji tek počinju provoditi aktivnosti istraživanja i razvoja. Potpora će također biti pružena i skupinama poduzeća, uključujući klastere, koji posebice funkcioniraju u utvrđenim tematskim područjima strategije S3 i prioritetnim temama, s naglaskom na unutarnjim projektima istraživanja i razvoja ili projektima u suradnji s drugim partnerima, kao što su druga poduzeća ili institucije za istraživanje i razvoj. </w:t>
            </w:r>
          </w:p>
          <w:p w:rsidR="00E24D45" w:rsidRPr="00C650DE" w:rsidRDefault="00E24D45" w:rsidP="00C650DE">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color w:val="000000"/>
                <w:spacing w:val="-1"/>
                <w:sz w:val="24"/>
                <w:szCs w:val="24"/>
                <w:lang w:eastAsia="hr-HR"/>
              </w:rPr>
            </w:pPr>
          </w:p>
          <w:p w:rsidR="00E24D45" w:rsidRPr="00C650DE" w:rsidRDefault="00FC3F35" w:rsidP="00C650DE">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color w:val="000000"/>
                <w:spacing w:val="-1"/>
                <w:sz w:val="24"/>
                <w:szCs w:val="24"/>
                <w:lang w:eastAsia="hr-HR"/>
              </w:rPr>
            </w:pPr>
            <w:r w:rsidRPr="00C650DE">
              <w:rPr>
                <w:rFonts w:ascii="Times New Roman" w:eastAsia="Times New Roman" w:hAnsi="Times New Roman" w:cs="Times New Roman"/>
                <w:color w:val="000000"/>
                <w:spacing w:val="-1"/>
                <w:sz w:val="24"/>
                <w:szCs w:val="24"/>
                <w:lang w:eastAsia="hr-HR"/>
              </w:rPr>
              <w:t xml:space="preserve">Provedba aktivnosti u sklopu specifičnog cilja rezultirat će unapređenjem poslovnih razvojno-istraživačkih izdataka s ciljem razvoja i provedbe novih ili značajno poboljšanih proizvoda (roba ili usluga), novih ili značajno poboljšanih tehnologija i postupaka, novih marketinških metoda, ili novih organizacijskih metoda u poslovnoj praksi, radnoj organizaciji ili vanjskim odnosima. </w:t>
            </w:r>
          </w:p>
          <w:p w:rsidR="00E24D45" w:rsidRPr="00C650DE" w:rsidRDefault="00E24D45" w:rsidP="00C650DE">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color w:val="000000"/>
                <w:spacing w:val="-1"/>
                <w:sz w:val="24"/>
                <w:szCs w:val="24"/>
                <w:lang w:eastAsia="hr-HR"/>
              </w:rPr>
            </w:pPr>
          </w:p>
          <w:p w:rsidR="00E24D45" w:rsidRPr="00C650DE" w:rsidRDefault="00FC3F35" w:rsidP="00C650DE">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color w:val="000000"/>
                <w:spacing w:val="-1"/>
                <w:sz w:val="24"/>
                <w:szCs w:val="24"/>
                <w:lang w:eastAsia="hr-HR"/>
              </w:rPr>
            </w:pPr>
            <w:r w:rsidRPr="00C650DE">
              <w:rPr>
                <w:rFonts w:ascii="Times New Roman" w:eastAsia="Times New Roman" w:hAnsi="Times New Roman" w:cs="Times New Roman"/>
                <w:color w:val="000000"/>
                <w:spacing w:val="-1"/>
                <w:sz w:val="24"/>
                <w:szCs w:val="24"/>
                <w:lang w:eastAsia="hr-HR"/>
              </w:rPr>
              <w:t xml:space="preserve">Specifični cilj će izravno pridonijeti osuvremenjivanju (novih tehnologija, nove opreme za istraživanje, razvoj i inovacije itd.) i diversifikaciji (novih izvoznih konkurentnih proizvoda i usluga) hrvatskog gospodarstva te povećanju izvoza hrvatskih poduzeća zbog provedbe rezultata istraživanja i razvoja (shvaćenih kao komercijalizacija rezultata u poslovnoj aktivnosti). U sklopu ovog konkretnog cilja, projekti istraživanja i razvoja obuhvaćaju razvojno-istraživačke aktivnosti poduzeća i razvoja njihove istraživačko-razvojne infrastrukture. </w:t>
            </w:r>
          </w:p>
          <w:p w:rsidR="00FC3F35" w:rsidRPr="00C650DE" w:rsidRDefault="00FC3F35" w:rsidP="00C650DE">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sz w:val="24"/>
                <w:szCs w:val="24"/>
                <w:lang w:eastAsia="hr-HR"/>
              </w:rPr>
            </w:pPr>
            <w:r w:rsidRPr="00C650DE">
              <w:rPr>
                <w:rFonts w:ascii="Times New Roman" w:eastAsia="Times New Roman" w:hAnsi="Times New Roman" w:cs="Times New Roman"/>
                <w:color w:val="000000"/>
                <w:spacing w:val="-1"/>
                <w:sz w:val="24"/>
                <w:szCs w:val="24"/>
                <w:lang w:eastAsia="hr-HR"/>
              </w:rPr>
              <w:t>Budući da će biti podržane samo aktivnosti istraživanja i razvoja do faze prototipa i demonstracije, velike tvrtke će same morati provesti aktivnosti komercijalizacije, dok će za MSP-ove potpora za fazu komercijalizacije biti pružena u sklopu potpore za Prioritetnu os 3. U sklopu ovog specifičnog cilja razvijat će se 'područje potražnje za istraživanje i razvoj', što znači poduzetnički sektor. Dodatno, u sklopu specifičnog cilja 1.2.2 razvijat će se i usmjeravati prema poslovanju 'područje ponude za istraživanje i razvoj' Nacionalnog inovacijskog sustava</w:t>
            </w:r>
            <w:r w:rsidRPr="00C650DE">
              <w:rPr>
                <w:rFonts w:ascii="Times New Roman" w:eastAsia="Times New Roman" w:hAnsi="Times New Roman" w:cs="Times New Roman"/>
                <w:color w:val="000000"/>
                <w:sz w:val="24"/>
                <w:szCs w:val="24"/>
                <w:lang w:eastAsia="hr-HR"/>
              </w:rPr>
              <w:t>.</w:t>
            </w:r>
          </w:p>
        </w:tc>
      </w:tr>
      <w:tr w:rsidR="00FC3F35" w:rsidRPr="00576C1D" w:rsidTr="00B201EA">
        <w:tc>
          <w:tcPr>
            <w:tcW w:w="241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lastRenderedPageBreak/>
              <w:t>Oznaka specifičnog cilja</w:t>
            </w:r>
          </w:p>
        </w:tc>
        <w:tc>
          <w:tcPr>
            <w:tcW w:w="134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2</w:t>
            </w:r>
          </w:p>
        </w:tc>
      </w:tr>
      <w:tr w:rsidR="00FC3F35" w:rsidRPr="00576C1D" w:rsidTr="00B201EA">
        <w:tc>
          <w:tcPr>
            <w:tcW w:w="241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34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Jačanje djelatnosti istraživanja i razvoja (IR) poslovnog sektora kroz stvaranje povoljnog inovacijskog okruženja</w:t>
            </w:r>
          </w:p>
        </w:tc>
      </w:tr>
      <w:tr w:rsidR="00FC3F35" w:rsidRPr="00576C1D" w:rsidTr="00B201EA">
        <w:tc>
          <w:tcPr>
            <w:tcW w:w="241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Rezultati koje države članice žele postići uz potporu Unije</w:t>
            </w:r>
          </w:p>
        </w:tc>
        <w:tc>
          <w:tcPr>
            <w:tcW w:w="134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8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Kao komplementarna mjera specifičnog cilja 1.2.1, bit će podržani različiti oblici suradnje između poduzeća i poslovnih i znanstvenih sektora u okviru Nacionalnog inovacijskog sustava (NIS) temeljem ovog specifičnog cilja. Slabi kapaciteti istraživanja i razvoja te nizak inovacijski potencijal hrvatskog gospodarstva uzrokovani su lošom okolinom za inovaciju, tj. slabim interesom za suradnju između znanosti i industrije, nedovoljnim kapacitetima institucija poslovne podrške za pružanjem usluga poslovnom sektoru s ciljem širenja kroz nove tehnologije te stjecanja ili razvoja novih inovativnih procesa, roba i usluga.</w:t>
            </w:r>
          </w:p>
          <w:p w:rsidR="00FC3F35" w:rsidRPr="00576C1D" w:rsidRDefault="00FC3F35" w:rsidP="00FC3F35">
            <w:pPr>
              <w:widowControl w:val="0"/>
              <w:shd w:val="clear" w:color="auto" w:fill="FFFFFF"/>
              <w:autoSpaceDE w:val="0"/>
              <w:autoSpaceDN w:val="0"/>
              <w:adjustRightInd w:val="0"/>
              <w:spacing w:after="0" w:line="274" w:lineRule="exact"/>
              <w:ind w:right="8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Rješavanje ovog problema važno je kako bi se inovacijska infrastruktura približila poduzećima (posebice MSP-ovima) koji nemaju kapacitete za inovacije ili ulaganja u vlastite kapacitete istraživanja i razvoja. Razvoj novih, inovativnih, više poslovno usmjerenih elemenata NIS-a, tj. klastera konkurentnosti, tematskih inovacijskih platformi i centara stručnosti bavit će se trenutačno nedovoljno razvijenim NIS-om.</w:t>
            </w:r>
          </w:p>
          <w:p w:rsidR="00FC3F35" w:rsidRPr="00576C1D" w:rsidRDefault="00FC3F35" w:rsidP="00FC3F35">
            <w:pPr>
              <w:widowControl w:val="0"/>
              <w:shd w:val="clear" w:color="auto" w:fill="FFFFFF"/>
              <w:autoSpaceDE w:val="0"/>
              <w:autoSpaceDN w:val="0"/>
              <w:adjustRightInd w:val="0"/>
              <w:spacing w:after="0" w:line="274" w:lineRule="exact"/>
              <w:ind w:right="8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Klasteri konkurentnosti važan su element NIS-a, s ciljem povećanja suradnje između poduzeća okupljanjem svih bitnih dionika iz područja poslovanja, znanosti, regionalne i lokalne samouprave. Potreba za djelotvornom suradnjom ovih aktera od velike je važnosti za gospodarstvo. Rezultati planirani u okviru ovoga cilja bit će identifikacija budućih progresivnih niša, usmjerenost na izvoz, lanac vrijednosti i nabave te potencijalna područja za privlačenje inozemnih izravnih ulaganja i razvoj robnih marki hrvatskih industrijskih sektora. To će stoga potaknuti pripremu i provedbu zajedničkih projekata u području istraživanja i razvoja, transfera tehnologije, inovacija i internacionalizacije.</w:t>
            </w:r>
          </w:p>
          <w:p w:rsidR="00FC3F35" w:rsidRPr="00576C1D" w:rsidRDefault="00FC3F35" w:rsidP="00FC3F35">
            <w:pPr>
              <w:widowControl w:val="0"/>
              <w:shd w:val="clear" w:color="auto" w:fill="FFFFFF"/>
              <w:autoSpaceDE w:val="0"/>
              <w:autoSpaceDN w:val="0"/>
              <w:adjustRightInd w:val="0"/>
              <w:spacing w:after="0" w:line="274" w:lineRule="exact"/>
              <w:ind w:right="8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Izravno povezana s ciljem daljnjeg razvoja inicijativa klastera i promicanja suradnje na razvoju i istraživanju među akterima poslovnog sektora i institucija znanosti i istraživanja je uspostava inovacijske mreže za industriju i kreiranje tematskih inovacijskih platformi za utvrđena tematska prioritetna područja i međusektorske teme strategije S3. Glavni cilj je stvoriti forum za istraživanje i razvoj te inovacijski dijalog među poduzećima i znanstveno-istraživačkim zajednicama kako bi se definirala strateška područja istraživanja, razvoja </w:t>
            </w:r>
            <w:r w:rsidRPr="00576C1D">
              <w:rPr>
                <w:rFonts w:ascii="Times New Roman" w:eastAsia="Times New Roman" w:hAnsi="Times New Roman" w:cs="Times New Roman"/>
                <w:color w:val="000000"/>
                <w:sz w:val="24"/>
                <w:szCs w:val="24"/>
                <w:lang w:eastAsia="hr-HR"/>
              </w:rPr>
              <w:lastRenderedPageBreak/>
              <w:t>i inovacija za industriju te omogućilo obrazovanje poslovnog sektora, način primjene rezultata aktivnosti razvoja, istraživanja i inovacija, sa svrhom povećanja učinkovitosti i diversificiranja gospodarstva.</w:t>
            </w:r>
          </w:p>
          <w:p w:rsidR="00FC3F35" w:rsidRPr="00576C1D" w:rsidRDefault="00FC3F35" w:rsidP="00FC3F35">
            <w:pPr>
              <w:widowControl w:val="0"/>
              <w:shd w:val="clear" w:color="auto" w:fill="FFFFFF"/>
              <w:autoSpaceDE w:val="0"/>
              <w:autoSpaceDN w:val="0"/>
              <w:adjustRightInd w:val="0"/>
              <w:spacing w:after="0" w:line="274" w:lineRule="exact"/>
              <w:ind w:right="8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Treći novi element podržan ovim specifičnim ciljem bit će centri stručnosti (CS-ovi) u kojima će se provoditi tehnološka suradnja poduzeća te suradnja na uzajamnim projektima. Smjernice Ministarstva gospodarstva navode da su CS-ovi pravne osobe uspostavljene za potporu gospodarskog razvoja s fokusom istraživanja, razvoja i inovacija na industrijska i primijenjena istraživanja i inovacije, predvođena industrijom i potporom jačanju prava intelektualnog vlasništva u posebnim tematskim područjima navedenima u strategiji S3 te integriranima u jednu ili više tematskih inovacijskih platformi. Očekivani rezultat ovog specifičnog cilja je povećanje izdataka poduzeća na aktivnosti inovacija.</w:t>
            </w:r>
          </w:p>
          <w:p w:rsidR="00FC3F35" w:rsidRPr="00576C1D" w:rsidRDefault="00FC3F35" w:rsidP="00FC3F35">
            <w:pPr>
              <w:widowControl w:val="0"/>
              <w:shd w:val="clear" w:color="auto" w:fill="FFFFFF"/>
              <w:autoSpaceDE w:val="0"/>
              <w:autoSpaceDN w:val="0"/>
              <w:adjustRightInd w:val="0"/>
              <w:spacing w:after="0" w:line="274" w:lineRule="exact"/>
              <w:ind w:right="8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Ove će aktivnosti također pridonijeti sve boljim kapacitetima za inovaciju, tehnološki razvoj i suradnju za poslovni sektor (posebno za MSP-ove), mjereno povećanjem broja zajedničkih projekata, većom vrijednošću izdataka za istraživanje, razvoj i inovacije u poslovnom sektoru i povećanjem stručnosti u prioritetnim tematskim područjima Strategije pametne specijalizacije.</w:t>
            </w:r>
          </w:p>
          <w:p w:rsidR="00FC3F35" w:rsidRPr="00576C1D" w:rsidRDefault="00FC3F35" w:rsidP="00FC3F35">
            <w:pPr>
              <w:widowControl w:val="0"/>
              <w:shd w:val="clear" w:color="auto" w:fill="FFFFFF"/>
              <w:autoSpaceDE w:val="0"/>
              <w:autoSpaceDN w:val="0"/>
              <w:adjustRightInd w:val="0"/>
              <w:spacing w:after="0" w:line="274" w:lineRule="exact"/>
              <w:ind w:right="82"/>
              <w:rPr>
                <w:rFonts w:ascii="Times New Roman" w:eastAsia="Times New Roman" w:hAnsi="Times New Roman" w:cs="Times New Roman"/>
                <w:sz w:val="20"/>
                <w:szCs w:val="20"/>
                <w:lang w:eastAsia="hr-HR"/>
              </w:rPr>
            </w:pPr>
          </w:p>
        </w:tc>
      </w:tr>
    </w:tbl>
    <w:tbl>
      <w:tblPr>
        <w:tblStyle w:val="TableGrid"/>
        <w:tblW w:w="15874" w:type="dxa"/>
        <w:jc w:val="center"/>
        <w:tblLook w:val="04A0" w:firstRow="1" w:lastRow="0" w:firstColumn="1" w:lastColumn="0" w:noHBand="0" w:noVBand="1"/>
      </w:tblPr>
      <w:tblGrid>
        <w:gridCol w:w="2341"/>
        <w:gridCol w:w="13533"/>
      </w:tblGrid>
      <w:tr w:rsidR="00DB5FA7" w:rsidRPr="00576C1D" w:rsidTr="00B201EA">
        <w:trPr>
          <w:jc w:val="center"/>
        </w:trPr>
        <w:tc>
          <w:tcPr>
            <w:tcW w:w="2341" w:type="dxa"/>
            <w:vAlign w:val="center"/>
          </w:tcPr>
          <w:p w:rsidR="00DB5FA7" w:rsidRPr="00576C1D" w:rsidRDefault="00DB5FA7" w:rsidP="00B153D3">
            <w:pPr>
              <w:rPr>
                <w:rFonts w:ascii="Times New Roman" w:hAnsi="Times New Roman"/>
                <w:b/>
                <w:bCs/>
                <w:color w:val="000000"/>
                <w:sz w:val="18"/>
                <w:szCs w:val="18"/>
              </w:rPr>
            </w:pPr>
            <w:r w:rsidRPr="00576C1D">
              <w:rPr>
                <w:rFonts w:ascii="Times New Roman" w:hAnsi="Times New Roman"/>
                <w:b/>
                <w:bCs/>
                <w:color w:val="000000"/>
                <w:sz w:val="18"/>
                <w:szCs w:val="18"/>
              </w:rPr>
              <w:lastRenderedPageBreak/>
              <w:t>Oznaka specifičnog cilja</w:t>
            </w:r>
            <w:r w:rsidRPr="00576C1D">
              <w:rPr>
                <w:rFonts w:ascii="Times New Roman" w:hAnsi="Times New Roman"/>
                <w:b/>
                <w:bCs/>
                <w:color w:val="000000"/>
                <w:sz w:val="18"/>
                <w:szCs w:val="18"/>
              </w:rPr>
              <w:tab/>
            </w:r>
            <w:r w:rsidRPr="00576C1D">
              <w:rPr>
                <w:rFonts w:ascii="Times New Roman" w:hAnsi="Times New Roman"/>
                <w:b/>
                <w:bCs/>
                <w:color w:val="000000"/>
                <w:sz w:val="18"/>
                <w:szCs w:val="18"/>
              </w:rPr>
              <w:tab/>
            </w:r>
          </w:p>
        </w:tc>
        <w:tc>
          <w:tcPr>
            <w:tcW w:w="13533" w:type="dxa"/>
            <w:vAlign w:val="center"/>
          </w:tcPr>
          <w:p w:rsidR="00DB5FA7" w:rsidRPr="00576C1D" w:rsidRDefault="00DB5FA7" w:rsidP="00B153D3">
            <w:pPr>
              <w:rPr>
                <w:rFonts w:ascii="Times New Roman" w:hAnsi="Times New Roman"/>
                <w:color w:val="000000"/>
                <w:spacing w:val="-1"/>
                <w:sz w:val="18"/>
                <w:szCs w:val="18"/>
              </w:rPr>
            </w:pPr>
            <w:r w:rsidRPr="00576C1D">
              <w:rPr>
                <w:rFonts w:ascii="Times New Roman" w:hAnsi="Times New Roman"/>
                <w:b/>
                <w:bCs/>
                <w:color w:val="000000"/>
                <w:sz w:val="18"/>
                <w:szCs w:val="18"/>
              </w:rPr>
              <w:t>3</w:t>
            </w:r>
          </w:p>
        </w:tc>
      </w:tr>
      <w:tr w:rsidR="00DB5FA7" w:rsidRPr="00576C1D" w:rsidTr="00B201EA">
        <w:trPr>
          <w:jc w:val="center"/>
        </w:trPr>
        <w:tc>
          <w:tcPr>
            <w:tcW w:w="2341" w:type="dxa"/>
            <w:vAlign w:val="center"/>
          </w:tcPr>
          <w:p w:rsidR="00DB5FA7" w:rsidRPr="00576C1D" w:rsidRDefault="00DB5FA7" w:rsidP="00B153D3">
            <w:pPr>
              <w:rPr>
                <w:rFonts w:ascii="Times New Roman" w:hAnsi="Times New Roman"/>
              </w:rPr>
            </w:pPr>
            <w:r w:rsidRPr="00576C1D">
              <w:rPr>
                <w:rFonts w:ascii="Times New Roman" w:hAnsi="Times New Roman"/>
                <w:b/>
                <w:bCs/>
                <w:color w:val="000000"/>
                <w:sz w:val="18"/>
                <w:szCs w:val="18"/>
              </w:rPr>
              <w:t>Naziv specifičnog cilja</w:t>
            </w:r>
          </w:p>
        </w:tc>
        <w:tc>
          <w:tcPr>
            <w:tcW w:w="13533" w:type="dxa"/>
            <w:vAlign w:val="center"/>
          </w:tcPr>
          <w:p w:rsidR="00DB5FA7" w:rsidRPr="00576C1D" w:rsidRDefault="00DB5FA7" w:rsidP="00B153D3">
            <w:pPr>
              <w:rPr>
                <w:rFonts w:ascii="Times New Roman" w:hAnsi="Times New Roman"/>
              </w:rPr>
            </w:pPr>
            <w:r w:rsidRPr="00576C1D">
              <w:rPr>
                <w:rFonts w:ascii="Times New Roman" w:hAnsi="Times New Roman"/>
                <w:color w:val="000000"/>
                <w:spacing w:val="-1"/>
                <w:sz w:val="18"/>
                <w:szCs w:val="18"/>
              </w:rPr>
              <w:t>Uvedene društveno-korisne promjene koje poboljšavaju životne uvjete zajednice</w:t>
            </w:r>
          </w:p>
        </w:tc>
      </w:tr>
      <w:tr w:rsidR="00DB5FA7" w:rsidRPr="00576C1D" w:rsidTr="00B201EA">
        <w:trPr>
          <w:jc w:val="center"/>
        </w:trPr>
        <w:tc>
          <w:tcPr>
            <w:tcW w:w="2341" w:type="dxa"/>
            <w:vAlign w:val="center"/>
          </w:tcPr>
          <w:p w:rsidR="00DB5FA7" w:rsidRPr="00576C1D" w:rsidRDefault="00DB5FA7" w:rsidP="00B153D3">
            <w:pPr>
              <w:rPr>
                <w:rFonts w:ascii="Times New Roman" w:hAnsi="Times New Roman"/>
              </w:rPr>
            </w:pPr>
            <w:r w:rsidRPr="00576C1D">
              <w:rPr>
                <w:rFonts w:ascii="Times New Roman" w:hAnsi="Times New Roman"/>
                <w:b/>
                <w:bCs/>
                <w:color w:val="000000"/>
                <w:spacing w:val="-1"/>
                <w:sz w:val="18"/>
                <w:szCs w:val="18"/>
              </w:rPr>
              <w:t>Rezultati koje države članice žele postići uz potporu Unije</w:t>
            </w:r>
          </w:p>
        </w:tc>
        <w:tc>
          <w:tcPr>
            <w:tcW w:w="13533" w:type="dxa"/>
            <w:vAlign w:val="center"/>
          </w:tcPr>
          <w:p w:rsidR="00DB5FA7" w:rsidRPr="00576C1D" w:rsidRDefault="00DB5FA7" w:rsidP="00B153D3">
            <w:pPr>
              <w:widowControl w:val="0"/>
              <w:shd w:val="clear" w:color="auto" w:fill="FFFFFF"/>
              <w:autoSpaceDE w:val="0"/>
              <w:autoSpaceDN w:val="0"/>
              <w:adjustRightInd w:val="0"/>
              <w:spacing w:before="67" w:line="274" w:lineRule="exact"/>
              <w:ind w:left="5"/>
              <w:rPr>
                <w:rFonts w:ascii="Times New Roman" w:hAnsi="Times New Roman"/>
                <w:color w:val="000000"/>
                <w:spacing w:val="-1"/>
                <w:sz w:val="24"/>
                <w:szCs w:val="24"/>
              </w:rPr>
            </w:pPr>
            <w:r w:rsidRPr="00576C1D">
              <w:rPr>
                <w:rFonts w:ascii="Times New Roman" w:hAnsi="Times New Roman"/>
                <w:color w:val="000000"/>
                <w:spacing w:val="-1"/>
                <w:sz w:val="24"/>
                <w:szCs w:val="24"/>
              </w:rPr>
              <w:t>Jedan od izazova opisanih u strategiji EU2020 i Sporazuma o partnerstvu je odgovarajući odgovor javne politike na društvene izazove (npr. starenje društva, klimatske promjene) i njezin doprinos preoblikovanju društva prema sudjelovanju, jačanju, kreativnosti i su-stvaranju i učenju. Vezano za sveukupni cilj TC1 i prioritete ulaganja, potrebno je pronaći nove (u kontekstu hrvatskog gospodarstva) načine promocije povezanosti društvenih potreba, odgovora javnosti i poslovnih interesa.</w:t>
            </w:r>
          </w:p>
          <w:p w:rsidR="00DB5FA7" w:rsidRPr="00576C1D" w:rsidRDefault="00DB5FA7" w:rsidP="00B153D3">
            <w:pPr>
              <w:widowControl w:val="0"/>
              <w:shd w:val="clear" w:color="auto" w:fill="FFFFFF"/>
              <w:autoSpaceDE w:val="0"/>
              <w:autoSpaceDN w:val="0"/>
              <w:adjustRightInd w:val="0"/>
              <w:spacing w:before="67" w:line="274" w:lineRule="exact"/>
              <w:ind w:left="5"/>
              <w:rPr>
                <w:rFonts w:ascii="Times New Roman" w:hAnsi="Times New Roman"/>
                <w:color w:val="000000"/>
                <w:spacing w:val="-1"/>
                <w:sz w:val="24"/>
                <w:szCs w:val="24"/>
              </w:rPr>
            </w:pPr>
            <w:r w:rsidRPr="00576C1D">
              <w:rPr>
                <w:rFonts w:ascii="Times New Roman" w:hAnsi="Times New Roman"/>
                <w:color w:val="000000"/>
                <w:spacing w:val="-1"/>
                <w:sz w:val="24"/>
                <w:szCs w:val="24"/>
              </w:rPr>
              <w:t>Za ovaj cilj Ministarstvo gospodarstva dobiva pomoć iz projekta OECD-a pod nazivom „Trostruka spirala unutar socijalne inovacije“ koja će donijeti jasnu definiciju fokusa i konkretnih potreba i izazova te metodologije za potporu socijalnoj inovaciji.</w:t>
            </w:r>
          </w:p>
          <w:p w:rsidR="00DB5FA7" w:rsidRPr="00576C1D" w:rsidRDefault="00DB5FA7" w:rsidP="00B153D3">
            <w:pPr>
              <w:widowControl w:val="0"/>
              <w:shd w:val="clear" w:color="auto" w:fill="FFFFFF"/>
              <w:autoSpaceDE w:val="0"/>
              <w:autoSpaceDN w:val="0"/>
              <w:adjustRightInd w:val="0"/>
              <w:spacing w:before="67" w:line="274" w:lineRule="exact"/>
              <w:ind w:left="5"/>
              <w:rPr>
                <w:rFonts w:ascii="Times New Roman" w:hAnsi="Times New Roman"/>
                <w:color w:val="000000"/>
                <w:spacing w:val="-1"/>
                <w:sz w:val="24"/>
                <w:szCs w:val="24"/>
              </w:rPr>
            </w:pPr>
            <w:r w:rsidRPr="00576C1D">
              <w:rPr>
                <w:rFonts w:ascii="Times New Roman" w:hAnsi="Times New Roman"/>
                <w:color w:val="000000"/>
                <w:spacing w:val="-1"/>
                <w:sz w:val="24"/>
                <w:szCs w:val="24"/>
              </w:rPr>
              <w:t>Opći cilj koji treba ostvariti je približavanje javnog sektora, posebice lokalnih zajednica, zajedničkim europskim problemima i izazovima prepoznatim pod zajedničkim imenom društvenih izazova te im omogućiti da djeluju i tako pridonesu široj slici društveno-korisnih inovacija te da poduzimaju inovativne aktivnosti i društveno-korisne inicijative na temelju postignuća iz područja istraživanja, razvoja i inovacija i znanstvenog sektora. Ovaj cilj će biti postignut kroz kreiranje održivog okvira za promicanje projekata društveno-korisnih inovacija temeljenih na dovršenju niza pilot projekata koji će povećati dobrobit zajednice rješavanjem posebnih društvenih izazova na inovativan i suradnički način.</w:t>
            </w:r>
          </w:p>
          <w:p w:rsidR="00DB5FA7" w:rsidRPr="00576C1D" w:rsidRDefault="00DB5FA7" w:rsidP="00B153D3">
            <w:pPr>
              <w:widowControl w:val="0"/>
              <w:shd w:val="clear" w:color="auto" w:fill="FFFFFF"/>
              <w:autoSpaceDE w:val="0"/>
              <w:autoSpaceDN w:val="0"/>
              <w:adjustRightInd w:val="0"/>
              <w:spacing w:before="67" w:line="274" w:lineRule="exact"/>
              <w:ind w:left="5"/>
              <w:rPr>
                <w:rFonts w:ascii="Times New Roman" w:hAnsi="Times New Roman"/>
                <w:color w:val="000000"/>
                <w:sz w:val="24"/>
                <w:szCs w:val="24"/>
              </w:rPr>
            </w:pPr>
            <w:r w:rsidRPr="00576C1D">
              <w:rPr>
                <w:rFonts w:ascii="Times New Roman" w:hAnsi="Times New Roman"/>
                <w:color w:val="000000"/>
                <w:spacing w:val="-1"/>
                <w:sz w:val="24"/>
                <w:szCs w:val="24"/>
              </w:rPr>
              <w:t xml:space="preserve">Zbog skromnog postojećeg iskustva i manjka kapaciteta za provedbu projekata društveno-korisnih inovacija na svim razinama, primijenit će se pristup u fazama, tako da će u prvoj fazi koncept društveno-korisnih inovacija u Hrvatskoj biti dodatno razvijen (utvrđivanje područja, mogućih korisnika te aktivnosti podizanja svijesti i kapaciteta), što će zatim stvoriti temelje za pilot aktivnosti koje će se kasnije provoditi. Očekuje se da će se tako nacionalnoj, regionalnim i lokalnim vlastima olakšati prihvaćanje društveno-korisnih inovacija kao važnog alata za povećavanje kvalitete života, kao i rješavanje jednog ili više društvenih izazova s kojima se susreću njihove zajednice putem inovativnih projekata. U drugoj fazi, Ministarstvo gospodarstva i Ministarstvo regionalnoga razvoja i fondova Europske unije podržat će niz pilot projekata s ciljem razvoja i promicanja društveno-korisnih inovacija među dionicima poput nacionalne, lokalnih ili regionalnih vlasti, </w:t>
            </w:r>
            <w:r w:rsidRPr="00576C1D">
              <w:rPr>
                <w:rFonts w:ascii="Times New Roman" w:hAnsi="Times New Roman"/>
                <w:color w:val="000000"/>
                <w:spacing w:val="-1"/>
                <w:sz w:val="24"/>
                <w:szCs w:val="24"/>
              </w:rPr>
              <w:lastRenderedPageBreak/>
              <w:t>NVO-a, znanstvenih subjekata, privatnih znanstveno-istraživačkih organizacija i poduzeća, uključujući MSP-ove u Hrvatskoj. Dio ovih pilot aktivnosti provodit će se u obliku integriranih teritorijalnih ulaganja s ciljem promicanja koncepta i vrijednosti društveno-korisne inovacije, posebice među najvećim lokalnim zajednicama u Hrvatskoj, te će dodatno poduprijeti osjećaj lokalnog "vlasništva" nad procesom</w:t>
            </w:r>
            <w:r w:rsidRPr="00576C1D">
              <w:rPr>
                <w:rFonts w:ascii="Times New Roman" w:hAnsi="Times New Roman"/>
                <w:color w:val="000000"/>
                <w:sz w:val="24"/>
                <w:szCs w:val="24"/>
              </w:rPr>
              <w:t>.</w:t>
            </w:r>
          </w:p>
          <w:p w:rsidR="00DB5FA7" w:rsidRPr="00576C1D" w:rsidRDefault="00DB5FA7" w:rsidP="00B153D3">
            <w:pPr>
              <w:widowControl w:val="0"/>
              <w:shd w:val="clear" w:color="auto" w:fill="FFFFFF"/>
              <w:autoSpaceDE w:val="0"/>
              <w:autoSpaceDN w:val="0"/>
              <w:adjustRightInd w:val="0"/>
              <w:spacing w:before="67" w:line="274" w:lineRule="exact"/>
              <w:ind w:left="5"/>
              <w:rPr>
                <w:rFonts w:ascii="Times New Roman" w:hAnsi="Times New Roman"/>
                <w:sz w:val="24"/>
                <w:szCs w:val="24"/>
              </w:rPr>
            </w:pPr>
            <w:r w:rsidRPr="00576C1D">
              <w:rPr>
                <w:rFonts w:ascii="Times New Roman" w:hAnsi="Times New Roman"/>
                <w:sz w:val="24"/>
                <w:szCs w:val="24"/>
              </w:rPr>
              <w:t>Očekivani rezultat u sklopu ovog konkretnog cilja je porast broja dionika uključenih u projekte društveno-korisnih inovacija koji se bave društvenim izazovima zajednica utvrđenih u strategijama regionalnog razvoja, koje još nisu obuhvaćene tržištem i koje će povećati društvenu dobrobit. Budući da su društveno-korisne inovacije još uvijek novo područje, vrlo je teško na ovom stupnju razvoja društveno-korisnih inovacija definirati pokazatelje ishoda koje je već prikupio Hrvatski zavod za statistiku. Stoga će pokazatelj ishoda biti izravno povezan s brojem dionika uključenih u projekte društveno-korisnih inovacija podržane ovim konkretnim ciljem.</w:t>
            </w:r>
          </w:p>
          <w:p w:rsidR="00DB5FA7" w:rsidRPr="00576C1D" w:rsidRDefault="00DB5FA7" w:rsidP="00B153D3">
            <w:pPr>
              <w:rPr>
                <w:rFonts w:ascii="Times New Roman" w:hAnsi="Times New Roman"/>
              </w:rPr>
            </w:pPr>
          </w:p>
        </w:tc>
      </w:tr>
    </w:tbl>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Tablica 3: Specifični pokazatelji rezultata, prikazani po specifičnom cilju (za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B201EA">
        <w:trPr>
          <w:trHeight w:hRule="exact" w:val="461"/>
        </w:trPr>
        <w:tc>
          <w:tcPr>
            <w:tcW w:w="3562" w:type="dxa"/>
            <w:gridSpan w:val="2"/>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1 - Jačanje djelatnosti istraživanja, razvoja i inovacija (IRI) u poduzećima</w:t>
            </w:r>
          </w:p>
        </w:tc>
      </w:tr>
      <w:tr w:rsidR="00FC3F35" w:rsidRPr="00576C1D" w:rsidTr="00B201EA">
        <w:trPr>
          <w:trHeight w:hRule="exact" w:val="614"/>
        </w:trPr>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B201EA">
        <w:trPr>
          <w:trHeight w:hRule="exact" w:val="509"/>
        </w:trPr>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7"/>
                <w:sz w:val="16"/>
                <w:szCs w:val="16"/>
                <w:lang w:eastAsia="hr-HR"/>
              </w:rPr>
              <w:t>1b11</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Poslovni rashodi za istraživanje i razvoj</w:t>
            </w:r>
          </w:p>
        </w:tc>
        <w:tc>
          <w:tcPr>
            <w:tcW w:w="169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milijun EUR</w:t>
            </w:r>
          </w:p>
        </w:tc>
        <w:tc>
          <w:tcPr>
            <w:tcW w:w="2266"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6"/>
                <w:sz w:val="16"/>
                <w:szCs w:val="16"/>
                <w:lang w:eastAsia="hr-HR"/>
              </w:rPr>
              <w:t>151,29</w:t>
            </w:r>
          </w:p>
        </w:tc>
        <w:tc>
          <w:tcPr>
            <w:tcW w:w="98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2012.</w:t>
            </w:r>
          </w:p>
        </w:tc>
        <w:tc>
          <w:tcPr>
            <w:tcW w:w="21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180,00</w:t>
            </w:r>
          </w:p>
        </w:tc>
        <w:tc>
          <w:tcPr>
            <w:tcW w:w="125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EUROSTAT</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Godišnje</w:t>
            </w:r>
          </w:p>
        </w:tc>
      </w:tr>
      <w:tr w:rsidR="00FC3F35" w:rsidRPr="00576C1D" w:rsidTr="00B201EA">
        <w:trPr>
          <w:trHeight w:hRule="exact" w:val="461"/>
        </w:trPr>
        <w:tc>
          <w:tcPr>
            <w:tcW w:w="3562" w:type="dxa"/>
            <w:gridSpan w:val="2"/>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2 - Jačanje djelatnosti istraživanja i razvoja (IR) poslovnog sektora kroz stvaranje povoljnog inovacijskog okruženja</w:t>
            </w:r>
          </w:p>
        </w:tc>
      </w:tr>
      <w:tr w:rsidR="00FC3F35" w:rsidRPr="00576C1D" w:rsidTr="00B201EA">
        <w:trPr>
          <w:trHeight w:hRule="exact" w:val="614"/>
        </w:trPr>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B201EA">
        <w:trPr>
          <w:trHeight w:hRule="exact" w:val="509"/>
        </w:trPr>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7"/>
                <w:sz w:val="16"/>
                <w:szCs w:val="16"/>
                <w:lang w:eastAsia="hr-HR"/>
              </w:rPr>
              <w:t>1b11</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Poslovni rashodi za istraživanje i razvoj</w:t>
            </w:r>
          </w:p>
        </w:tc>
        <w:tc>
          <w:tcPr>
            <w:tcW w:w="169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milijun EUR</w:t>
            </w:r>
          </w:p>
        </w:tc>
        <w:tc>
          <w:tcPr>
            <w:tcW w:w="2266"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bCs/>
                <w:color w:val="000000"/>
                <w:spacing w:val="-6"/>
                <w:sz w:val="16"/>
                <w:szCs w:val="16"/>
                <w:lang w:eastAsia="hr-HR"/>
              </w:rPr>
            </w:pPr>
            <w:r w:rsidRPr="00576C1D">
              <w:rPr>
                <w:rFonts w:ascii="Times New Roman" w:eastAsia="Times New Roman" w:hAnsi="Times New Roman" w:cs="Times New Roman"/>
                <w:b/>
                <w:bCs/>
                <w:color w:val="000000"/>
                <w:spacing w:val="-6"/>
                <w:sz w:val="16"/>
                <w:szCs w:val="16"/>
                <w:lang w:eastAsia="hr-HR"/>
              </w:rPr>
              <w:t>151,29</w:t>
            </w:r>
          </w:p>
        </w:tc>
        <w:tc>
          <w:tcPr>
            <w:tcW w:w="98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2012.</w:t>
            </w:r>
          </w:p>
        </w:tc>
        <w:tc>
          <w:tcPr>
            <w:tcW w:w="21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180,00</w:t>
            </w:r>
          </w:p>
        </w:tc>
        <w:tc>
          <w:tcPr>
            <w:tcW w:w="125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EUROSTAT</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Godišnje</w:t>
            </w:r>
          </w:p>
        </w:tc>
      </w:tr>
      <w:tr w:rsidR="00FC3F35" w:rsidRPr="00576C1D" w:rsidTr="00B201EA">
        <w:trPr>
          <w:trHeight w:hRule="exact" w:val="461"/>
        </w:trPr>
        <w:tc>
          <w:tcPr>
            <w:tcW w:w="3562" w:type="dxa"/>
            <w:gridSpan w:val="2"/>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3 - Uvedene društveno-korisne promjene koje poboljšavaju životne uvjete zajednice</w:t>
            </w:r>
          </w:p>
        </w:tc>
      </w:tr>
      <w:tr w:rsidR="00FC3F35" w:rsidRPr="00576C1D" w:rsidTr="00B201EA">
        <w:trPr>
          <w:trHeight w:hRule="exact" w:val="614"/>
        </w:trPr>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B201EA">
        <w:trPr>
          <w:trHeight w:hRule="exact" w:val="518"/>
        </w:trPr>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1b31</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dionika uključenih u projekte društveno-korisnih inovacija</w:t>
            </w:r>
          </w:p>
        </w:tc>
        <w:tc>
          <w:tcPr>
            <w:tcW w:w="169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2266"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2014.</w:t>
            </w:r>
          </w:p>
        </w:tc>
        <w:tc>
          <w:tcPr>
            <w:tcW w:w="21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40,00</w:t>
            </w:r>
          </w:p>
        </w:tc>
        <w:tc>
          <w:tcPr>
            <w:tcW w:w="125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4" w:right="541" w:bottom="360" w:left="540" w:header="720" w:footer="720" w:gutter="0"/>
          <w:cols w:num="3" w:space="720" w:equalWidth="0">
            <w:col w:w="720" w:space="6994"/>
            <w:col w:w="720" w:space="6600"/>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2.A.6 Aktivnosti koje će se podržati u okviru prioriteta ulaganja (po prioritetu ulaganja)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2660"/>
        <w:gridCol w:w="1915"/>
        <w:gridCol w:w="30"/>
        <w:gridCol w:w="10529"/>
      </w:tblGrid>
      <w:tr w:rsidR="002C6A26" w:rsidRPr="005E763C" w:rsidTr="00B201EA">
        <w:tc>
          <w:tcPr>
            <w:tcW w:w="2660" w:type="dxa"/>
            <w:vAlign w:val="center"/>
          </w:tcPr>
          <w:p w:rsidR="002C6A26" w:rsidRPr="005E763C" w:rsidRDefault="002C6A26" w:rsidP="004229A4">
            <w:pPr>
              <w:rPr>
                <w:rFonts w:ascii="Times New Roman" w:hAnsi="Times New Roman"/>
                <w:sz w:val="24"/>
                <w:szCs w:val="24"/>
              </w:rPr>
            </w:pPr>
            <w:r w:rsidRPr="005E763C">
              <w:rPr>
                <w:rFonts w:ascii="Times New Roman" w:hAnsi="Times New Roman"/>
                <w:b/>
                <w:bCs/>
                <w:color w:val="000000"/>
                <w:spacing w:val="-1"/>
                <w:sz w:val="24"/>
                <w:szCs w:val="24"/>
              </w:rPr>
              <w:t>Investicijski prioritet</w:t>
            </w:r>
          </w:p>
        </w:tc>
        <w:tc>
          <w:tcPr>
            <w:tcW w:w="12474" w:type="dxa"/>
            <w:gridSpan w:val="3"/>
            <w:vAlign w:val="center"/>
          </w:tcPr>
          <w:p w:rsidR="002C6A26" w:rsidRPr="005E763C" w:rsidRDefault="002C6A26" w:rsidP="004229A4">
            <w:pPr>
              <w:rPr>
                <w:rFonts w:ascii="Times New Roman" w:hAnsi="Times New Roman"/>
                <w:sz w:val="24"/>
                <w:szCs w:val="24"/>
              </w:rPr>
            </w:pPr>
            <w:r w:rsidRPr="005E763C">
              <w:rPr>
                <w:rFonts w:ascii="Times New Roman" w:hAnsi="Times New Roman"/>
                <w:color w:val="000000"/>
                <w:sz w:val="24"/>
                <w:szCs w:val="24"/>
              </w:rPr>
              <w:t>1b - 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2C6A26" w:rsidRPr="005E763C" w:rsidTr="002C6A26">
        <w:tc>
          <w:tcPr>
            <w:tcW w:w="15134" w:type="dxa"/>
            <w:gridSpan w:val="4"/>
            <w:vAlign w:val="center"/>
          </w:tcPr>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sz w:val="24"/>
                <w:szCs w:val="24"/>
              </w:rPr>
              <w:t>U okviru specifičnog cilja 1.2.1, povećale su se aktivnosti istraživanja, razvoja i inovacija u poduzećima. Poduzeća, uključujući MSP-ove, bit će podržana u sklopu tri glavne aktivnosti ostvarene kroz shemu alokacije bespovratnih sredstava:</w:t>
            </w:r>
          </w:p>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sz w:val="24"/>
                <w:szCs w:val="24"/>
              </w:rPr>
              <w:t>1. Podrška unutarnjim projektima istraživanja i razvoja koje vrše poduzeća, uključujući MSP-ove. Potpora će biti pružena za poslove istraživanja i razvoja i prijeko potrebnu infrastrukturu, a može uključivati troškove visokokvalificiranog znanstveno-istraživačkog osoblja i razvoja njihovih kompetencija, troškove opreme, instrumenata, zgrada i zemljišta; troškove patenata i druga prava industrijskog vlasništva, usluge dizajniranja, savjetodavne troškove i ekvivalentne usluge.</w:t>
            </w:r>
          </w:p>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sz w:val="24"/>
                <w:szCs w:val="24"/>
              </w:rPr>
              <w:t>2. Potpora ugovornim projektima istraživanja i razvoja poduzeća, posebno MSP-ova. Poduzeća će primiti bespovratna sredstva za stjecanje razvojno-istraživačkih usluga u javnim i privatnim znanstveno-istraživačkim institucijama. Rezultati projekata bit će novi, ili značajno izmijenjeni proizvodi (roba, procesi ili usluge) na hrvatskom tržištu.</w:t>
            </w:r>
          </w:p>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sz w:val="24"/>
                <w:szCs w:val="24"/>
              </w:rPr>
              <w:t>3. Potpora za suradničke projekte istraživanja i razvoja poduzeća i znanstveno-istraživačkih institucija. Poduzećima će biti dodijeljena bespovratna sredstva za poslove istraživanja i razvoja i prijeko potrebnu infrastrukturu, a mogu obuhvaćati troškove visokokvalificiranog znanstveno-istraživačkog osoblja, troškove opreme, instrumenata, zgrada i zemljišta; troškove patenata i drugih prava industrijskog vlasništva, savjetodavne troškove i ekvivalentne usluge.</w:t>
            </w:r>
          </w:p>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sz w:val="24"/>
                <w:szCs w:val="24"/>
              </w:rPr>
              <w:t>Ove aktivnosti će potaknuti poduzeća, uključujući MSP-ove i njihove grupacije (uključujući klastere) da budu inovativniji, podupirući ih u provedbi unutarnjih ili ugovornih industrijskih i primijenjenih istraživanja i eksperimentalnog razvoja usmjerenog na razvoj nove ili značajno poboljšane robe, procesa ili usluga.</w:t>
            </w:r>
          </w:p>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sz w:val="24"/>
                <w:szCs w:val="24"/>
              </w:rPr>
              <w:t>Korisnici aktivnosti u sklopu ovoga specifičnog cilja su MSP-ovi, velika poduzeća, grupacije poduzeća, uključujući klastere i konzorcije, posebice u sektorima navedenim u hrvatskoj strategiji S3.</w:t>
            </w:r>
          </w:p>
        </w:tc>
      </w:tr>
      <w:tr w:rsidR="002C6A26" w:rsidRPr="005E763C" w:rsidTr="00B201EA">
        <w:tc>
          <w:tcPr>
            <w:tcW w:w="2660" w:type="dxa"/>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b/>
                <w:bCs/>
                <w:color w:val="000000"/>
                <w:spacing w:val="-1"/>
                <w:sz w:val="24"/>
                <w:szCs w:val="24"/>
              </w:rPr>
              <w:t>Investicijski prioritet</w:t>
            </w:r>
          </w:p>
        </w:tc>
        <w:tc>
          <w:tcPr>
            <w:tcW w:w="12474" w:type="dxa"/>
            <w:gridSpan w:val="3"/>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1b - 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2C6A26" w:rsidRPr="005E763C" w:rsidTr="002C6A26">
        <w:tc>
          <w:tcPr>
            <w:tcW w:w="15134" w:type="dxa"/>
            <w:gridSpan w:val="4"/>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 xml:space="preserve">Nadalje, potpora za komercijalizaciju rezultata istraživanja i razvoja bit će dostupna MSP-ovima unutar TC3. Velika poduzeća moraju sama provesti </w:t>
            </w:r>
            <w:r w:rsidRPr="005E763C">
              <w:rPr>
                <w:rFonts w:ascii="Times New Roman" w:hAnsi="Times New Roman"/>
                <w:color w:val="000000"/>
                <w:spacing w:val="-1"/>
                <w:sz w:val="24"/>
                <w:szCs w:val="24"/>
              </w:rPr>
              <w:lastRenderedPageBreak/>
              <w:t>aktivnosti komercijalizacije kada vrše komercijalizaciju rezultata istraživanja i razvoja.</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Unutar SC 1.2.2, aktivnosti istraživanja, razvoja i inovacija u poslovnom sektoru koje su povećane stvaranjem povoljnog inovacijskog okruženja dobit će potporu kroz sljedeće aktivnosti:</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1. Nacionalni projekt za podršku inicijativa klastera konkurentnosti. Sredstva će se pružati za analizu komparativnih prednosti klastera i programe razvoja za inicijative klastera, poput: utvrđivanja vrijednosnih lanaca, sektorskog priznanja, razvoja pametnih vještina, razvoja robne marke, razvoja zajedničkih strategija izvoza za međunarodne inicijative istraživanja i razvoja, promocije FDI-a i internacionalizacije, uključujući međudržavnu suradnju, osobito korištenjem Europske kolaboracijske platforme za klastere, analiza usporednih prednosti i strateških dokumenata vezanih uz lanac vrijednosti i nabave, internacionalizacije i promocije FDI-a te brendiranja za klastere.</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Korisnik unutar ove aktivnosti bit će Ministarstvo gospodarstva (ciljna skupina sastoji se od 12 postojećih klastera konkurentnosti identificiranih u strategiji S3).</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2.   Nacionalni projekt za stvaranje tematskih inovacijskih platformi (identificirane hrvatskim S3 tematskim područjima). INI će se koncentrirati na razvoj dugoročnih programa i smjernica razvoja i inovacija, u skladu sa S3, koje će se podržati privatnim i javnim financiranjem istraživanja i razvoja. Pokrit će se troškovi uspostave tematskih inovacijskih platformi, tehnološkog mapiranja, obrazovanja i izobrazbe poslovnog sektora, promocije inovativnih aktivnosti te održavanja tematskih platformi tijekom početne faze. Nadalje, studije i analize potrebne za pripremu dugoročnih programa i smjernica istraživanja i inovacija za određene platforme (stoga služe kao kratkoročni akcijski planovi za strategiju S3) financirat će se i tvorit će osnovu za zajedničke aktivnosti svih aktera. Platforme će se oformiti pod vodstvom Ministarstva gospodarstva u tematskim područjima navedenima u S3 i odgovarat će znanstvenom/istraživačkom sektoru i pripadajućim znanstvenicima unutar poslovne zajednice. Za pojedinačne tematske inovacijske platforme, potpora će se pružiti za: razvoj i održavanje platforma, uključujući baze podataka istraživača, znanstvenika i usluga koje znanstvena zajednica može pružiti poslovnoj zajednici; aktivnosti spajanja za stvaranje konzorcija za određene prijave projekata; izgradnju kapaciteta; obuku i obrazovanje klijenata tematskih platformi pripremu baze projekata za određena S3 područja te pripremu strategije istraživanja, razvoja i inovacija za pojedinačna tematska prioritetna područja.</w:t>
            </w:r>
          </w:p>
        </w:tc>
      </w:tr>
      <w:tr w:rsidR="002C6A26" w:rsidRPr="005E763C" w:rsidTr="00B201EA">
        <w:tc>
          <w:tcPr>
            <w:tcW w:w="2660" w:type="dxa"/>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b/>
                <w:bCs/>
                <w:color w:val="000000"/>
                <w:spacing w:val="-1"/>
                <w:sz w:val="24"/>
                <w:szCs w:val="24"/>
              </w:rPr>
              <w:lastRenderedPageBreak/>
              <w:t>Investicijski prioritet</w:t>
            </w:r>
          </w:p>
        </w:tc>
        <w:tc>
          <w:tcPr>
            <w:tcW w:w="12474" w:type="dxa"/>
            <w:gridSpan w:val="3"/>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lb - 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2C6A26" w:rsidRPr="005E763C" w:rsidTr="002C6A26">
        <w:tc>
          <w:tcPr>
            <w:tcW w:w="15134" w:type="dxa"/>
            <w:gridSpan w:val="4"/>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Korisnik unutar ove aktivnosti bit će Ministarstvo gospodarstva.</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1    Potpora centrima za kompetencije. Shemama za dodjelu bespovratnih sredstava podržat će se:</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1.</w:t>
            </w:r>
            <w:r w:rsidRPr="005E763C">
              <w:rPr>
                <w:rFonts w:ascii="Times New Roman" w:hAnsi="Times New Roman"/>
                <w:color w:val="000000"/>
                <w:spacing w:val="-1"/>
                <w:sz w:val="24"/>
                <w:szCs w:val="24"/>
              </w:rPr>
              <w:tab/>
              <w:t>troškovi ulaganja u nematerijalnu i materijalnu imovinu za uspostavu infrastrukture centara za kompetencije, poput ulaganja u zgrade ili zemlju, izgradnje, nabave ili modernizacije opreme i postrojenja koja imaju ulogu centara za kompetencije,</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2.</w:t>
            </w:r>
            <w:r w:rsidRPr="005E763C">
              <w:rPr>
                <w:rFonts w:ascii="Times New Roman" w:hAnsi="Times New Roman"/>
                <w:color w:val="000000"/>
                <w:spacing w:val="-1"/>
                <w:sz w:val="24"/>
                <w:szCs w:val="24"/>
              </w:rPr>
              <w:tab/>
              <w:t>provedba projekata istraživanja, razvoja i inovacije, u skladu s hrvatskom strategijom S3, vođeno zahtjevima industrije. Podržane aktivnosti unutar zajedničkih projekata uključivat će troškove osoblja (osobito visokokvalificiranog osoblja zaposlenog na projektu); troškove instrumenata, opreme; tehničko znanje, patente i ostale troškove industrijskih prava, troškove savjetovanja i jednakovrijedne usluge itd.</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 xml:space="preserve">Predviđena je uspostava nekoliko centara za kompetencije na temelju valjanih strategija razvoja koje zajedno pripremaju poslovna zajednica, znanstveni sektor i regionalna tijela, i na temelju sporazuma o partnerstvu koji potpisuju dionici. Relevantnost strategije razvoja centara za kompetencije potvrđuje odbor jednog ili više klastera konkurentnosti. Glavni fokus centara za kompetencije bit će industrijsko istraživanje i eksperimentalni razvoj, osobito za </w:t>
            </w:r>
            <w:r w:rsidRPr="005E763C">
              <w:rPr>
                <w:rFonts w:ascii="Times New Roman" w:hAnsi="Times New Roman"/>
                <w:color w:val="000000"/>
                <w:spacing w:val="-1"/>
                <w:sz w:val="24"/>
                <w:szCs w:val="24"/>
              </w:rPr>
              <w:lastRenderedPageBreak/>
              <w:t>MSP-ove i za suradničke projekte velikih poduzeća i MSP-ova, čime se daje velika dodatna vrijednost poslovnom sektoru potporom njihovog rada u pretvaranju inovativnih ideja u postupke, dobra i usluge koje će kasnije doprinijeti stvaranju rasta i radnih mjesta. Predviđena su ulaganja u izgradnju i opremanje centara za kompetencije te pokrivanje troškova projekata provedenih unutar centara.</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Glavni korisnici ove potpore su pravne osobe koje obavljaju djelatnosti centara za kompetencije (koje osniva lokalna ili regionalna vlast u suradnji sa znanstvenim i/ili znanstveno-istraživačkim institucijama, klasterima ili poduzećima koja posluju u, lokalno gledano, sektorima s najviše potencijala, te drugim javnim ustanovama).</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Komplementarne aktivnosti za jačanje kapaciteta istraživanja, razvoja i inovacija poduzeća provest će se unutar tematskog cilja 3 OPKK-a 2014. - 2020. čiji je fokus na poboljšanju konkurentnosti MSP-ova - investicijski prioritet 3.4. Podupiranje kapaciteta MSP-ova za rast i inovacijske postupke na regionalnim, nacionalnim i međunarodnim tržištima, predviđene su mjere kojima se podržava poboljšanje inovacijskog potencijala MSP-ova.</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color w:val="000000"/>
                <w:spacing w:val="-1"/>
                <w:sz w:val="24"/>
                <w:szCs w:val="24"/>
              </w:rPr>
              <w:t>Unutar OPEHR-a 2014. - 2020. ESF-a osigurat će se sinergije unutar TC11, čime je zamišljena potpora procesima reforme koja bi trebala pomoći ukupnoj</w:t>
            </w:r>
          </w:p>
        </w:tc>
      </w:tr>
      <w:tr w:rsidR="002C6A26" w:rsidRPr="005E763C" w:rsidTr="002C6A26">
        <w:tc>
          <w:tcPr>
            <w:tcW w:w="4575" w:type="dxa"/>
            <w:gridSpan w:val="2"/>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b/>
                <w:bCs/>
                <w:color w:val="000000"/>
                <w:spacing w:val="-1"/>
                <w:sz w:val="24"/>
                <w:szCs w:val="24"/>
              </w:rPr>
              <w:lastRenderedPageBreak/>
              <w:t>Investicijski prioritet</w:t>
            </w:r>
          </w:p>
        </w:tc>
        <w:tc>
          <w:tcPr>
            <w:tcW w:w="10559" w:type="dxa"/>
            <w:gridSpan w:val="2"/>
            <w:vAlign w:val="center"/>
          </w:tcPr>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sz w:val="24"/>
                <w:szCs w:val="24"/>
              </w:rPr>
              <w:br w:type="column"/>
            </w:r>
            <w:r w:rsidRPr="005E763C">
              <w:rPr>
                <w:rFonts w:ascii="Times New Roman" w:hAnsi="Times New Roman"/>
                <w:color w:val="000000"/>
                <w:sz w:val="24"/>
                <w:szCs w:val="24"/>
              </w:rPr>
              <w:t xml:space="preserve">lb - </w:t>
            </w:r>
            <w:r w:rsidRPr="005E763C">
              <w:rPr>
                <w:rFonts w:ascii="Times New Roman" w:hAnsi="Times New Roman"/>
                <w:sz w:val="24"/>
                <w:szCs w:val="24"/>
                <w:lang w:eastAsia="fr-BE"/>
              </w:rPr>
              <w:t xml:space="preserve">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 </w:t>
            </w:r>
            <w:r w:rsidRPr="005E763C">
              <w:rPr>
                <w:rFonts w:ascii="Times New Roman" w:hAnsi="Times New Roman"/>
                <w:color w:val="000000"/>
                <w:spacing w:val="-1"/>
                <w:sz w:val="24"/>
                <w:szCs w:val="24"/>
              </w:rPr>
              <w:t>poslovnoj klimi, poput boljeg pružanja općih javnih usluga poduzećima i veće učinkovitosti sudova u rješavanju trgovačkih sporova</w:t>
            </w:r>
            <w:r w:rsidRPr="005E763C">
              <w:rPr>
                <w:rFonts w:ascii="Times New Roman" w:hAnsi="Times New Roman"/>
                <w:color w:val="000000"/>
                <w:spacing w:val="-2"/>
                <w:sz w:val="24"/>
                <w:szCs w:val="24"/>
              </w:rPr>
              <w:t>.</w:t>
            </w:r>
          </w:p>
        </w:tc>
      </w:tr>
      <w:tr w:rsidR="002C6A26" w:rsidRPr="005E763C" w:rsidTr="002C6A26">
        <w:tc>
          <w:tcPr>
            <w:tcW w:w="15134" w:type="dxa"/>
            <w:gridSpan w:val="4"/>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p>
        </w:tc>
      </w:tr>
      <w:tr w:rsidR="002C6A26" w:rsidRPr="005E763C" w:rsidTr="002C6A26">
        <w:tc>
          <w:tcPr>
            <w:tcW w:w="4605" w:type="dxa"/>
            <w:gridSpan w:val="3"/>
            <w:vAlign w:val="center"/>
          </w:tcPr>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b/>
                <w:bCs/>
                <w:color w:val="000000"/>
                <w:spacing w:val="-1"/>
                <w:sz w:val="24"/>
                <w:szCs w:val="24"/>
              </w:rPr>
              <w:t>Investicijski prioritet</w:t>
            </w:r>
          </w:p>
        </w:tc>
        <w:tc>
          <w:tcPr>
            <w:tcW w:w="10529" w:type="dxa"/>
            <w:vAlign w:val="center"/>
          </w:tcPr>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r w:rsidRPr="005E763C">
              <w:rPr>
                <w:rFonts w:ascii="Times New Roman" w:hAnsi="Times New Roman"/>
                <w:sz w:val="24"/>
                <w:szCs w:val="24"/>
              </w:rPr>
              <w:br w:type="column"/>
            </w:r>
            <w:r w:rsidRPr="005E763C">
              <w:rPr>
                <w:rFonts w:ascii="Times New Roman" w:hAnsi="Times New Roman"/>
                <w:color w:val="000000"/>
                <w:sz w:val="24"/>
                <w:szCs w:val="24"/>
              </w:rPr>
              <w:t xml:space="preserve">lb - </w:t>
            </w:r>
            <w:r w:rsidRPr="005E763C">
              <w:rPr>
                <w:rFonts w:ascii="Times New Roman" w:hAnsi="Times New Roman"/>
                <w:sz w:val="24"/>
                <w:szCs w:val="24"/>
                <w:lang w:eastAsia="fr-BE"/>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2C6A26" w:rsidRPr="005E763C" w:rsidTr="002C6A26">
        <w:tc>
          <w:tcPr>
            <w:tcW w:w="15134" w:type="dxa"/>
            <w:gridSpan w:val="4"/>
            <w:vAlign w:val="center"/>
          </w:tcPr>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color w:val="000000"/>
                <w:spacing w:val="-1"/>
                <w:sz w:val="24"/>
                <w:szCs w:val="24"/>
              </w:rPr>
              <w:t>Unutar provedbe ESIF-a, ulaganja u istraživanje, razvoj i inovacije unutar ovog specifičnog cilja doprinijet će postizanju sinergije s aktivnostima programa Horizont 2020</w:t>
            </w:r>
            <w:r w:rsidRPr="005E763C">
              <w:rPr>
                <w:rFonts w:ascii="Times New Roman" w:hAnsi="Times New Roman"/>
                <w:color w:val="000000"/>
                <w:spacing w:val="-3"/>
                <w:sz w:val="24"/>
                <w:szCs w:val="24"/>
              </w:rPr>
              <w:t>.</w:t>
            </w:r>
          </w:p>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b/>
                <w:bCs/>
                <w:color w:val="000000"/>
                <w:spacing w:val="-1"/>
                <w:sz w:val="24"/>
                <w:szCs w:val="24"/>
              </w:rPr>
              <w:t xml:space="preserve">Unutar SC1.2.3 Uvedene društveno-korisne promjene koje poboljšavaju životne uvjete zajednice </w:t>
            </w:r>
            <w:r w:rsidRPr="005E763C">
              <w:rPr>
                <w:rFonts w:ascii="Times New Roman" w:hAnsi="Times New Roman"/>
                <w:b/>
                <w:bCs/>
                <w:color w:val="000000"/>
                <w:spacing w:val="-1"/>
                <w:sz w:val="24"/>
                <w:szCs w:val="24"/>
              </w:rPr>
              <w:br/>
              <w:t xml:space="preserve">Podrška projektima društveno-korisnih inovacija pružit će se </w:t>
            </w:r>
            <w:r w:rsidRPr="005E763C">
              <w:rPr>
                <w:rFonts w:ascii="Times New Roman" w:hAnsi="Times New Roman"/>
                <w:bCs/>
                <w:color w:val="000000"/>
                <w:spacing w:val="-1"/>
                <w:sz w:val="24"/>
                <w:szCs w:val="24"/>
              </w:rPr>
              <w:t>u obliku</w:t>
            </w:r>
            <w:r w:rsidRPr="005E763C">
              <w:rPr>
                <w:rFonts w:ascii="Times New Roman" w:hAnsi="Times New Roman"/>
                <w:color w:val="000000"/>
                <w:spacing w:val="-1"/>
                <w:sz w:val="24"/>
                <w:szCs w:val="24"/>
              </w:rPr>
              <w:t>:</w:t>
            </w:r>
          </w:p>
          <w:p w:rsidR="002C6A26" w:rsidRPr="005E763C" w:rsidRDefault="002C6A26" w:rsidP="004229A4">
            <w:pPr>
              <w:widowControl w:val="0"/>
              <w:shd w:val="clear" w:color="auto" w:fill="FFFFFF"/>
              <w:tabs>
                <w:tab w:val="left" w:pos="787"/>
              </w:tabs>
              <w:autoSpaceDE w:val="0"/>
              <w:autoSpaceDN w:val="0"/>
              <w:adjustRightInd w:val="0"/>
              <w:rPr>
                <w:rFonts w:ascii="Times New Roman" w:hAnsi="Times New Roman"/>
                <w:sz w:val="24"/>
                <w:szCs w:val="24"/>
              </w:rPr>
            </w:pPr>
            <w:r w:rsidRPr="005E763C">
              <w:rPr>
                <w:rFonts w:ascii="Times New Roman" w:hAnsi="Times New Roman"/>
                <w:color w:val="000000"/>
                <w:sz w:val="24"/>
                <w:szCs w:val="24"/>
              </w:rPr>
              <w:t>-</w:t>
            </w:r>
            <w:r w:rsidRPr="005E763C">
              <w:rPr>
                <w:rFonts w:ascii="Times New Roman" w:hAnsi="Times New Roman"/>
                <w:color w:val="000000"/>
                <w:sz w:val="24"/>
                <w:szCs w:val="24"/>
              </w:rPr>
              <w:tab/>
            </w:r>
            <w:r w:rsidRPr="005E763C">
              <w:rPr>
                <w:rFonts w:ascii="Times New Roman" w:hAnsi="Times New Roman"/>
                <w:color w:val="000000"/>
                <w:spacing w:val="-1"/>
                <w:sz w:val="24"/>
                <w:szCs w:val="24"/>
              </w:rPr>
              <w:t>dodatnih studija i analiza koje nisu pokrivene projektom OECD-a ali su potrebne za identifikaciju područja, mogućih korisnika za društvenu inovaciju. Korisnici ovih aktivnosti bit će Ministarstvo gospodarstva i regionalne i lokalne uprave zainteresirane za razvoj društvenih inovacija u svojim regijama;</w:t>
            </w:r>
          </w:p>
          <w:p w:rsidR="002C6A26" w:rsidRPr="005E763C" w:rsidRDefault="002C6A26"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color w:val="000000"/>
                <w:spacing w:val="-1"/>
                <w:sz w:val="24"/>
                <w:szCs w:val="24"/>
              </w:rPr>
              <w:t xml:space="preserve">- aktivnosti usmjerenih na podizanje svijesti o društveno-korisnim inovacijama među dionicima i izgradnje kapaciteta društveno-korisnih inovacija među </w:t>
            </w:r>
            <w:r w:rsidRPr="005E763C">
              <w:rPr>
                <w:rFonts w:ascii="Times New Roman" w:hAnsi="Times New Roman"/>
                <w:color w:val="000000"/>
                <w:spacing w:val="-1"/>
                <w:sz w:val="24"/>
                <w:szCs w:val="24"/>
              </w:rPr>
              <w:lastRenderedPageBreak/>
              <w:t>mogućim dionicima. Korisnik će biti Ministarstvo gospodarstva, a ciljna skupina bit će predstavnici regionalnih i lokalnih tijela, poduzeća, NVO-ova, znanstvenog sektora</w:t>
            </w:r>
            <w:r w:rsidRPr="005E763C">
              <w:rPr>
                <w:rFonts w:ascii="Times New Roman" w:hAnsi="Times New Roman"/>
                <w:color w:val="000000"/>
                <w:spacing w:val="-2"/>
                <w:sz w:val="24"/>
                <w:szCs w:val="24"/>
              </w:rPr>
              <w:t>;</w:t>
            </w:r>
          </w:p>
          <w:p w:rsidR="002C6A26" w:rsidRPr="005E763C" w:rsidRDefault="002C6A26" w:rsidP="004229A4">
            <w:pPr>
              <w:widowControl w:val="0"/>
              <w:shd w:val="clear" w:color="auto" w:fill="FFFFFF"/>
              <w:tabs>
                <w:tab w:val="left" w:pos="787"/>
              </w:tabs>
              <w:autoSpaceDE w:val="0"/>
              <w:autoSpaceDN w:val="0"/>
              <w:adjustRightInd w:val="0"/>
              <w:rPr>
                <w:rFonts w:ascii="Times New Roman" w:hAnsi="Times New Roman"/>
                <w:sz w:val="24"/>
                <w:szCs w:val="24"/>
              </w:rPr>
            </w:pPr>
            <w:r w:rsidRPr="005E763C">
              <w:rPr>
                <w:rFonts w:ascii="Times New Roman" w:hAnsi="Times New Roman"/>
                <w:color w:val="000000"/>
                <w:sz w:val="24"/>
                <w:szCs w:val="24"/>
              </w:rPr>
              <w:t>-</w:t>
            </w:r>
            <w:r w:rsidRPr="005E763C">
              <w:rPr>
                <w:rFonts w:ascii="Times New Roman" w:hAnsi="Times New Roman"/>
                <w:color w:val="000000"/>
                <w:sz w:val="24"/>
                <w:szCs w:val="24"/>
              </w:rPr>
              <w:tab/>
              <w:t>pilot projekata usmjerenih na podršku i razvoj inovativnih procesa, dobara ili usluga, čime se reagira na društvene potrebe zajednica i primjenjuje ih se kao izlagačke i eksperimentalne pilot projekte na nacionalnoj, regionalnoj i lokalnoj razini. Pilot projekti su osobito usmjereni na stvaranje infrastrukture koja omogućava potporu društveno-korisne inovacije u područjima S3, poput životnih prostora (eng. livinglabs) i demonstracijskih centara. Prihvatljivi troškovi za ovu aktivnost uključuju troškove osoblja, kupnju opreme potrebne za provedbu operacije, troškove drugih materijalnih dobara, troškove nematerijalnih dobara (poput industrijskih prava, studija izvedivosti, ugovornog i vlastitog istraživanja, patenata, licenci, tehničkih vještina i drugih savjetodavnih troškova i jednakovrijednih usluga). Cilj ove sheme za dodjelu bespovratnih sredstava je podržati regionalne i lokalne vlade te pomoću inovativnih projekata riješiti i odgovoriti na rješavanje jednog ili više društvenih izazova s kojima je zajednica suočena (bilo da je riječ o projektu razvoja inovativnog proizvoda, javne usluge ili drugog upravnog postupka, gospodarske ili negospodarske djelatnosti koja može bolje služiti društvu itd.). Korisnici ove sheme su nacionalne, regionalne ili lokalne uprave u suradnji s NVO-ovima, organizacijama civilnog društva, znanstveno-istraživačkim osobama, javnim istraživačkim organizacijama i poduzećima, uključujući MSP-ove. Posebna će se pozornost pridati projektima društveno-korisnih inovacija koji će koristiti integrirani teritorijalni pristup (ITI) i biti usmjereni na najveća urbana područja u Hrvatskoj.</w:t>
            </w:r>
          </w:p>
          <w:p w:rsidR="002C6A26" w:rsidRPr="005E763C" w:rsidRDefault="002C6A26" w:rsidP="004229A4">
            <w:pPr>
              <w:widowControl w:val="0"/>
              <w:shd w:val="clear" w:color="auto" w:fill="FFFFFF"/>
              <w:autoSpaceDE w:val="0"/>
              <w:autoSpaceDN w:val="0"/>
              <w:adjustRightInd w:val="0"/>
              <w:rPr>
                <w:rFonts w:ascii="Times New Roman" w:hAnsi="Times New Roman"/>
                <w:color w:val="000000"/>
                <w:spacing w:val="-1"/>
                <w:sz w:val="24"/>
                <w:szCs w:val="24"/>
              </w:rPr>
            </w:pPr>
          </w:p>
        </w:tc>
      </w:tr>
    </w:tbl>
    <w:p w:rsidR="00FC3F35"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p>
    <w:p w:rsidR="00B201EA" w:rsidRDefault="00B201EA" w:rsidP="00FC3F35">
      <w:pPr>
        <w:widowControl w:val="0"/>
        <w:shd w:val="clear" w:color="auto" w:fill="FFFFFF"/>
        <w:autoSpaceDE w:val="0"/>
        <w:autoSpaceDN w:val="0"/>
        <w:adjustRightInd w:val="0"/>
        <w:spacing w:before="1003" w:after="187" w:line="240" w:lineRule="auto"/>
        <w:ind w:left="590"/>
        <w:rPr>
          <w:rFonts w:ascii="Times New Roman" w:eastAsia="Times New Roman" w:hAnsi="Times New Roman" w:cs="Times New Roman"/>
          <w:i/>
          <w:i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before="1003" w:after="187" w:line="240" w:lineRule="auto"/>
        <w:ind w:left="5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t>2.A.6.2 Vodeća načela za odabir operacija</w:t>
      </w:r>
    </w:p>
    <w:tbl>
      <w:tblPr>
        <w:tblStyle w:val="TableGrid"/>
        <w:tblW w:w="0" w:type="auto"/>
        <w:tblLook w:val="04A0" w:firstRow="1" w:lastRow="0" w:firstColumn="1" w:lastColumn="0" w:noHBand="0" w:noVBand="1"/>
      </w:tblPr>
      <w:tblGrid>
        <w:gridCol w:w="4515"/>
        <w:gridCol w:w="16"/>
        <w:gridCol w:w="14"/>
        <w:gridCol w:w="10589"/>
      </w:tblGrid>
      <w:tr w:rsidR="008C24C0" w:rsidRPr="005E763C" w:rsidTr="008C24C0">
        <w:tc>
          <w:tcPr>
            <w:tcW w:w="4531" w:type="dxa"/>
            <w:gridSpan w:val="2"/>
            <w:vAlign w:val="center"/>
          </w:tcPr>
          <w:p w:rsidR="008C24C0" w:rsidRPr="005E763C" w:rsidRDefault="008C24C0" w:rsidP="004229A4">
            <w:pPr>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0603" w:type="dxa"/>
            <w:gridSpan w:val="2"/>
            <w:vAlign w:val="center"/>
          </w:tcPr>
          <w:p w:rsidR="008C24C0" w:rsidRPr="005E763C" w:rsidRDefault="008C24C0" w:rsidP="004229A4">
            <w:pPr>
              <w:rPr>
                <w:rFonts w:ascii="Times New Roman" w:hAnsi="Times New Roman"/>
                <w:sz w:val="24"/>
                <w:szCs w:val="24"/>
              </w:rPr>
            </w:pPr>
            <w:r w:rsidRPr="00576C1D">
              <w:rPr>
                <w:rFonts w:ascii="Times New Roman" w:hAnsi="Times New Roman"/>
                <w:color w:val="000000"/>
                <w:sz w:val="18"/>
                <w:szCs w:val="18"/>
              </w:rPr>
              <w:t xml:space="preserve">lb - </w:t>
            </w:r>
            <w:r w:rsidRPr="00576C1D">
              <w:rPr>
                <w:rFonts w:ascii="Times New Roman" w:hAnsi="Times New Roman"/>
                <w:lang w:eastAsia="fr-BE"/>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8C24C0" w:rsidRPr="005E763C" w:rsidTr="008C24C0">
        <w:tc>
          <w:tcPr>
            <w:tcW w:w="15134" w:type="dxa"/>
            <w:gridSpan w:val="4"/>
            <w:vAlign w:val="center"/>
          </w:tcPr>
          <w:p w:rsidR="008C24C0" w:rsidRPr="005E763C" w:rsidRDefault="008C24C0"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sz w:val="24"/>
                <w:szCs w:val="24"/>
              </w:rPr>
              <w:t xml:space="preserve">Zajednička opća načela za sve akcije podržane ovim specifičnim ciljem su jačanje kapaciteta i privatnih ulaganja u istraživanje, razvoj i inovacije što će se temeljiti na kriterijima poput kvalitete, relevantnosti, isplativosti i održivosti prijedloga projekta. Prioritet će imati projekti koji promiču i u skladu su s osam ex-ante kriterija za ocjenjivanje projekata ili struka te u skladu s odabranim prioritetima S3. Podržane akcije su usmjerene na razvoj projekata na temelju njihovog potencijala za povećanje razine inovativnosti, produktivnosti i izvrsnosti u istraživanju i razvoju, te pridonose nacionalnim ciljevima </w:t>
            </w:r>
            <w:r w:rsidRPr="005E763C">
              <w:rPr>
                <w:rFonts w:ascii="Times New Roman" w:hAnsi="Times New Roman"/>
                <w:sz w:val="24"/>
                <w:szCs w:val="24"/>
              </w:rPr>
              <w:lastRenderedPageBreak/>
              <w:t>istraživanja i razvoja određenima u sporazumu o partnerstvu. Svi podržani projekti bit će podložni kriterijima odabira koje priznaje nadzorni odbor. Svi projekti moraju biti u skladu s načelima transparentnosti i nediskriminacije (čl. 7. i 8. uredbe o utvrđivanju zajedničkih odredbi).</w:t>
            </w:r>
          </w:p>
          <w:p w:rsidR="008C24C0" w:rsidRPr="005E763C" w:rsidRDefault="008C24C0" w:rsidP="004229A4">
            <w:pPr>
              <w:widowControl w:val="0"/>
              <w:shd w:val="clear" w:color="auto" w:fill="FFFFFF"/>
              <w:autoSpaceDE w:val="0"/>
              <w:autoSpaceDN w:val="0"/>
              <w:adjustRightInd w:val="0"/>
              <w:rPr>
                <w:rFonts w:ascii="Times New Roman" w:hAnsi="Times New Roman"/>
                <w:sz w:val="24"/>
                <w:szCs w:val="24"/>
              </w:rPr>
            </w:pPr>
          </w:p>
        </w:tc>
      </w:tr>
      <w:tr w:rsidR="008C24C0" w:rsidRPr="005E763C" w:rsidTr="008C24C0">
        <w:tc>
          <w:tcPr>
            <w:tcW w:w="4515" w:type="dxa"/>
            <w:vAlign w:val="center"/>
          </w:tcPr>
          <w:p w:rsidR="008C24C0" w:rsidRPr="005E763C" w:rsidRDefault="008C24C0" w:rsidP="004229A4">
            <w:pPr>
              <w:rPr>
                <w:rFonts w:ascii="Times New Roman" w:hAnsi="Times New Roman"/>
                <w:sz w:val="24"/>
                <w:szCs w:val="24"/>
              </w:rPr>
            </w:pPr>
            <w:r w:rsidRPr="00576C1D">
              <w:rPr>
                <w:rFonts w:ascii="Times New Roman" w:hAnsi="Times New Roman"/>
                <w:b/>
                <w:bCs/>
                <w:color w:val="000000"/>
                <w:spacing w:val="-1"/>
                <w:sz w:val="18"/>
                <w:szCs w:val="18"/>
              </w:rPr>
              <w:lastRenderedPageBreak/>
              <w:t>Investicijski prioritet</w:t>
            </w:r>
          </w:p>
        </w:tc>
        <w:tc>
          <w:tcPr>
            <w:tcW w:w="10619" w:type="dxa"/>
            <w:gridSpan w:val="3"/>
            <w:vAlign w:val="center"/>
          </w:tcPr>
          <w:p w:rsidR="008C24C0" w:rsidRPr="005E763C" w:rsidRDefault="008C24C0" w:rsidP="004229A4">
            <w:pPr>
              <w:rPr>
                <w:rFonts w:ascii="Times New Roman" w:hAnsi="Times New Roman"/>
                <w:sz w:val="24"/>
                <w:szCs w:val="24"/>
              </w:rPr>
            </w:pPr>
            <w:r w:rsidRPr="00576C1D">
              <w:rPr>
                <w:rFonts w:ascii="Times New Roman" w:hAnsi="Times New Roman"/>
                <w:color w:val="000000"/>
                <w:sz w:val="18"/>
                <w:szCs w:val="18"/>
              </w:rPr>
              <w:t xml:space="preserve">lb - </w:t>
            </w:r>
            <w:r w:rsidRPr="00576C1D">
              <w:rPr>
                <w:rFonts w:ascii="Times New Roman" w:hAnsi="Times New Roman"/>
                <w:lang w:eastAsia="fr-BE"/>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8C24C0" w:rsidRPr="005E763C" w:rsidTr="008C24C0">
        <w:tc>
          <w:tcPr>
            <w:tcW w:w="15134" w:type="dxa"/>
            <w:gridSpan w:val="4"/>
            <w:vAlign w:val="center"/>
          </w:tcPr>
          <w:p w:rsidR="008C24C0" w:rsidRDefault="008C24C0" w:rsidP="004229A4">
            <w:pPr>
              <w:widowControl w:val="0"/>
              <w:shd w:val="clear" w:color="auto" w:fill="FFFFFF"/>
              <w:autoSpaceDE w:val="0"/>
              <w:autoSpaceDN w:val="0"/>
              <w:adjustRightInd w:val="0"/>
              <w:rPr>
                <w:rFonts w:ascii="Times New Roman" w:hAnsi="Times New Roman"/>
                <w:sz w:val="24"/>
                <w:szCs w:val="24"/>
              </w:rPr>
            </w:pPr>
            <w:r w:rsidRPr="005E763C">
              <w:rPr>
                <w:rFonts w:ascii="Times New Roman" w:hAnsi="Times New Roman"/>
                <w:sz w:val="24"/>
                <w:szCs w:val="24"/>
              </w:rPr>
              <w:t>Kako bi se postigli očekivani rezultati na razini specifičnih ciljeva, sve podržane akcije moraju dokazati da su ispunile osnovne preduvjete: •    doprinos specifičnom cilju</w:t>
            </w:r>
          </w:p>
          <w:p w:rsidR="008C24C0" w:rsidRPr="00576C1D" w:rsidRDefault="008C24C0" w:rsidP="004229A4">
            <w:pPr>
              <w:widowControl w:val="0"/>
              <w:shd w:val="clear" w:color="auto" w:fill="FFFFFF"/>
              <w:tabs>
                <w:tab w:val="left" w:pos="1358"/>
              </w:tabs>
              <w:autoSpaceDE w:val="0"/>
              <w:autoSpaceDN w:val="0"/>
              <w:adjustRightInd w:val="0"/>
              <w:rPr>
                <w:rFonts w:ascii="Times New Roman" w:hAnsi="Times New Roman"/>
              </w:rPr>
            </w:pPr>
            <w:r w:rsidRPr="00576C1D">
              <w:rPr>
                <w:rFonts w:ascii="Times New Roman" w:hAnsi="Times New Roman"/>
                <w:color w:val="000000"/>
                <w:sz w:val="24"/>
                <w:szCs w:val="24"/>
              </w:rPr>
              <w:tab/>
              <w:t>jasan i mjerljiv doprinos relevantnom pokazatelju neposrednih rezultata,</w:t>
            </w:r>
          </w:p>
          <w:p w:rsidR="008C24C0" w:rsidRPr="00576C1D" w:rsidRDefault="008C24C0" w:rsidP="004229A4">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z w:val="24"/>
                <w:szCs w:val="24"/>
              </w:rPr>
              <w:t xml:space="preserve">Prioritet će imati projekti (osobito vezano uz ulaganja u infrastrukturu za istraživanje, razvoj i inovacije) koji doprinose zelenom rastu. Posebna vodeća načela za odabir operacija za </w:t>
            </w:r>
            <w:r w:rsidRPr="00576C1D">
              <w:rPr>
                <w:rFonts w:ascii="Times New Roman" w:hAnsi="Times New Roman"/>
                <w:b/>
                <w:color w:val="000000"/>
                <w:sz w:val="24"/>
                <w:szCs w:val="24"/>
              </w:rPr>
              <w:t>potporu ulaganja za istraživanje i razvoj poduzeća su</w:t>
            </w:r>
            <w:r w:rsidRPr="00576C1D">
              <w:rPr>
                <w:rFonts w:ascii="Times New Roman" w:hAnsi="Times New Roman"/>
                <w:b/>
                <w:bCs/>
                <w:color w:val="000000"/>
                <w:spacing w:val="-1"/>
                <w:sz w:val="24"/>
                <w:szCs w:val="24"/>
              </w:rPr>
              <w:t>:</w:t>
            </w:r>
          </w:p>
          <w:p w:rsidR="008C24C0" w:rsidRPr="00576C1D" w:rsidRDefault="008C24C0" w:rsidP="008C24C0">
            <w:pPr>
              <w:widowControl w:val="0"/>
              <w:numPr>
                <w:ilvl w:val="0"/>
                <w:numId w:val="7"/>
              </w:numPr>
              <w:shd w:val="clear" w:color="auto" w:fill="FFFFFF"/>
              <w:tabs>
                <w:tab w:val="left" w:pos="1358"/>
              </w:tabs>
              <w:autoSpaceDE w:val="0"/>
              <w:autoSpaceDN w:val="0"/>
              <w:adjustRightInd w:val="0"/>
              <w:ind w:left="1037"/>
              <w:rPr>
                <w:rFonts w:ascii="Times New Roman" w:hAnsi="Times New Roman"/>
                <w:color w:val="000000"/>
                <w:sz w:val="24"/>
                <w:szCs w:val="24"/>
              </w:rPr>
            </w:pPr>
            <w:r w:rsidRPr="00576C1D">
              <w:rPr>
                <w:rFonts w:ascii="Times New Roman" w:hAnsi="Times New Roman"/>
                <w:color w:val="000000"/>
                <w:sz w:val="24"/>
                <w:szCs w:val="24"/>
              </w:rPr>
              <w:t>sukladnost s tematskim prioritetnim područjima identificiranima u S3,</w:t>
            </w:r>
          </w:p>
          <w:p w:rsidR="008C24C0" w:rsidRPr="00576C1D" w:rsidRDefault="008C24C0" w:rsidP="008C24C0">
            <w:pPr>
              <w:widowControl w:val="0"/>
              <w:numPr>
                <w:ilvl w:val="0"/>
                <w:numId w:val="7"/>
              </w:numPr>
              <w:shd w:val="clear" w:color="auto" w:fill="FFFFFF"/>
              <w:tabs>
                <w:tab w:val="left" w:pos="1358"/>
              </w:tabs>
              <w:autoSpaceDE w:val="0"/>
              <w:autoSpaceDN w:val="0"/>
              <w:adjustRightInd w:val="0"/>
              <w:ind w:left="1037"/>
              <w:rPr>
                <w:rFonts w:ascii="Times New Roman" w:hAnsi="Times New Roman"/>
                <w:color w:val="000000"/>
                <w:sz w:val="24"/>
                <w:szCs w:val="24"/>
              </w:rPr>
            </w:pPr>
            <w:r w:rsidRPr="00576C1D">
              <w:rPr>
                <w:rFonts w:ascii="Times New Roman" w:hAnsi="Times New Roman"/>
                <w:color w:val="000000"/>
                <w:spacing w:val="-1"/>
                <w:sz w:val="24"/>
                <w:szCs w:val="24"/>
              </w:rPr>
              <w:t>blizina tržišta,</w:t>
            </w:r>
          </w:p>
          <w:p w:rsidR="008C24C0" w:rsidRPr="00576C1D" w:rsidRDefault="008C24C0" w:rsidP="008C24C0">
            <w:pPr>
              <w:widowControl w:val="0"/>
              <w:numPr>
                <w:ilvl w:val="0"/>
                <w:numId w:val="7"/>
              </w:numPr>
              <w:shd w:val="clear" w:color="auto" w:fill="FFFFFF"/>
              <w:tabs>
                <w:tab w:val="left" w:pos="1358"/>
              </w:tabs>
              <w:autoSpaceDE w:val="0"/>
              <w:autoSpaceDN w:val="0"/>
              <w:adjustRightInd w:val="0"/>
              <w:ind w:left="1037"/>
              <w:rPr>
                <w:rFonts w:ascii="Times New Roman" w:hAnsi="Times New Roman"/>
                <w:color w:val="000000"/>
                <w:sz w:val="24"/>
                <w:szCs w:val="24"/>
              </w:rPr>
            </w:pPr>
            <w:r w:rsidRPr="00576C1D">
              <w:rPr>
                <w:rFonts w:ascii="Times New Roman" w:hAnsi="Times New Roman"/>
                <w:color w:val="000000"/>
                <w:spacing w:val="1"/>
                <w:sz w:val="24"/>
                <w:szCs w:val="24"/>
              </w:rPr>
              <w:t>razina inovativnosti rezultata predloženog projekta za tržište,</w:t>
            </w:r>
          </w:p>
          <w:p w:rsidR="008C24C0" w:rsidRPr="00576C1D" w:rsidRDefault="008C24C0" w:rsidP="008C24C0">
            <w:pPr>
              <w:widowControl w:val="0"/>
              <w:numPr>
                <w:ilvl w:val="0"/>
                <w:numId w:val="7"/>
              </w:numPr>
              <w:shd w:val="clear" w:color="auto" w:fill="FFFFFF"/>
              <w:tabs>
                <w:tab w:val="left" w:pos="1358"/>
              </w:tabs>
              <w:autoSpaceDE w:val="0"/>
              <w:autoSpaceDN w:val="0"/>
              <w:adjustRightInd w:val="0"/>
              <w:ind w:left="1037"/>
              <w:rPr>
                <w:rFonts w:ascii="Times New Roman" w:hAnsi="Times New Roman"/>
                <w:color w:val="000000"/>
                <w:sz w:val="24"/>
                <w:szCs w:val="24"/>
              </w:rPr>
            </w:pPr>
            <w:r w:rsidRPr="00576C1D">
              <w:rPr>
                <w:rFonts w:ascii="Times New Roman" w:hAnsi="Times New Roman"/>
                <w:color w:val="000000"/>
                <w:sz w:val="24"/>
                <w:szCs w:val="24"/>
              </w:rPr>
              <w:t>stupanj suradnje i broj uključenih partnera,</w:t>
            </w:r>
          </w:p>
          <w:p w:rsidR="008C24C0" w:rsidRPr="00576C1D" w:rsidRDefault="008C24C0" w:rsidP="008C24C0">
            <w:pPr>
              <w:widowControl w:val="0"/>
              <w:numPr>
                <w:ilvl w:val="0"/>
                <w:numId w:val="7"/>
              </w:numPr>
              <w:shd w:val="clear" w:color="auto" w:fill="FFFFFF"/>
              <w:tabs>
                <w:tab w:val="left" w:pos="1358"/>
              </w:tabs>
              <w:autoSpaceDE w:val="0"/>
              <w:autoSpaceDN w:val="0"/>
              <w:adjustRightInd w:val="0"/>
              <w:ind w:left="1037"/>
              <w:rPr>
                <w:rFonts w:ascii="Times New Roman" w:hAnsi="Times New Roman"/>
                <w:color w:val="000000"/>
                <w:sz w:val="24"/>
                <w:szCs w:val="24"/>
              </w:rPr>
            </w:pPr>
            <w:r w:rsidRPr="00576C1D">
              <w:rPr>
                <w:rFonts w:ascii="Times New Roman" w:hAnsi="Times New Roman"/>
                <w:color w:val="000000"/>
                <w:spacing w:val="-1"/>
                <w:sz w:val="24"/>
                <w:szCs w:val="24"/>
              </w:rPr>
              <w:t>značaj aktivnosti za regionalno/nacionalno/globalno gospodarstvo.</w:t>
            </w:r>
          </w:p>
          <w:p w:rsidR="008C24C0" w:rsidRPr="00576C1D" w:rsidRDefault="008C24C0" w:rsidP="004229A4">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z w:val="24"/>
                <w:szCs w:val="24"/>
              </w:rPr>
              <w:t xml:space="preserve">Potpora centrima za kompetencije </w:t>
            </w:r>
            <w:r w:rsidRPr="00576C1D">
              <w:rPr>
                <w:rFonts w:ascii="Times New Roman" w:hAnsi="Times New Roman"/>
                <w:bCs/>
                <w:color w:val="000000"/>
                <w:sz w:val="24"/>
                <w:szCs w:val="24"/>
              </w:rPr>
              <w:t>kao vrste infrastrukturnog elementa za istraživanje, razvoj i inovacije koji EU prepoznaje mora biti u skladu s hrvatskom strategijom pametne specijalizacije ali i odražavati interes i potencijale za razvojem i specijalizacijom akademskog sektora, lokalne uprave i poslovnog sektora na određenom području unutar specifičnih tematskih prioritetnih područja. Centre za kompetencije prethodno će izabrati Ministarstvo gospodarstva na temelju smjernica koje su u ovom trenutku u razvoju. Glavna vodeća načela za odabir potpore za centre za kompetencije moraju biti sposobnost centra za kompetencije da zadovolji potrebe poduzeća, osobito MSP-ova, i sposobnost dokazivanja da će centar kompetencija pomoći pri stvaranju kritične mase subjekata i njihovog interesa za razvojem aktivnosti istraživanja, razvoja i inovacija. Stoga će ova opća potpora biti regionalne i suradničke prirode i pristupati će barem jednom prioritetu S3. Odabrani će centar za kompetencije predstaviti prijedloge projekata koji će se ocijeniti pomoću sljedećih kriterija</w:t>
            </w:r>
            <w:r w:rsidRPr="00576C1D">
              <w:rPr>
                <w:rFonts w:ascii="Times New Roman" w:hAnsi="Times New Roman"/>
                <w:color w:val="000000"/>
                <w:spacing w:val="-1"/>
                <w:sz w:val="24"/>
                <w:szCs w:val="24"/>
              </w:rPr>
              <w:t>:</w:t>
            </w:r>
          </w:p>
          <w:p w:rsidR="008C24C0" w:rsidRPr="00576C1D" w:rsidRDefault="008C24C0" w:rsidP="008C24C0">
            <w:pPr>
              <w:widowControl w:val="0"/>
              <w:numPr>
                <w:ilvl w:val="0"/>
                <w:numId w:val="7"/>
              </w:numPr>
              <w:shd w:val="clear" w:color="auto" w:fill="FFFFFF"/>
              <w:tabs>
                <w:tab w:val="left" w:pos="1358"/>
              </w:tabs>
              <w:autoSpaceDE w:val="0"/>
              <w:autoSpaceDN w:val="0"/>
              <w:adjustRightInd w:val="0"/>
              <w:ind w:left="1037"/>
              <w:rPr>
                <w:rFonts w:ascii="Times New Roman" w:hAnsi="Times New Roman"/>
                <w:color w:val="000000"/>
                <w:sz w:val="24"/>
                <w:szCs w:val="24"/>
              </w:rPr>
            </w:pPr>
            <w:r w:rsidRPr="00576C1D">
              <w:rPr>
                <w:rFonts w:ascii="Times New Roman" w:hAnsi="Times New Roman"/>
                <w:color w:val="000000"/>
                <w:spacing w:val="-1"/>
                <w:sz w:val="24"/>
                <w:szCs w:val="24"/>
              </w:rPr>
              <w:t>Razina inovativnosti,</w:t>
            </w:r>
          </w:p>
          <w:p w:rsidR="008C24C0" w:rsidRPr="00576C1D" w:rsidRDefault="008C24C0" w:rsidP="008C24C0">
            <w:pPr>
              <w:widowControl w:val="0"/>
              <w:numPr>
                <w:ilvl w:val="0"/>
                <w:numId w:val="7"/>
              </w:numPr>
              <w:shd w:val="clear" w:color="auto" w:fill="FFFFFF"/>
              <w:tabs>
                <w:tab w:val="left" w:pos="1358"/>
              </w:tabs>
              <w:autoSpaceDE w:val="0"/>
              <w:autoSpaceDN w:val="0"/>
              <w:adjustRightInd w:val="0"/>
              <w:ind w:left="1037"/>
              <w:rPr>
                <w:rFonts w:ascii="Times New Roman" w:hAnsi="Times New Roman"/>
                <w:color w:val="000000"/>
                <w:sz w:val="24"/>
                <w:szCs w:val="24"/>
              </w:rPr>
            </w:pPr>
            <w:r w:rsidRPr="00576C1D">
              <w:rPr>
                <w:rFonts w:ascii="Times New Roman" w:hAnsi="Times New Roman"/>
                <w:color w:val="000000"/>
                <w:sz w:val="24"/>
                <w:szCs w:val="24"/>
              </w:rPr>
              <w:t>Uključenost partnera (istraživačkih partnera, tijela javne vlasti i tvrtki),</w:t>
            </w:r>
          </w:p>
          <w:p w:rsidR="008C24C0" w:rsidRDefault="008C24C0" w:rsidP="004229A4">
            <w:pPr>
              <w:widowControl w:val="0"/>
              <w:shd w:val="clear" w:color="auto" w:fill="FFFFFF"/>
              <w:autoSpaceDE w:val="0"/>
              <w:autoSpaceDN w:val="0"/>
              <w:adjustRightInd w:val="0"/>
              <w:rPr>
                <w:rFonts w:ascii="Times New Roman" w:hAnsi="Times New Roman"/>
                <w:color w:val="000000"/>
                <w:spacing w:val="1"/>
                <w:sz w:val="24"/>
                <w:szCs w:val="24"/>
              </w:rPr>
            </w:pPr>
            <w:r w:rsidRPr="00576C1D">
              <w:rPr>
                <w:rFonts w:ascii="Times New Roman" w:hAnsi="Times New Roman"/>
                <w:color w:val="000000"/>
                <w:spacing w:val="1"/>
                <w:sz w:val="24"/>
                <w:szCs w:val="24"/>
              </w:rPr>
              <w:t>sukladnost sa strategijom S3,</w:t>
            </w:r>
          </w:p>
          <w:p w:rsidR="008C24C0" w:rsidRPr="005E763C" w:rsidRDefault="008C24C0" w:rsidP="004229A4">
            <w:pPr>
              <w:widowControl w:val="0"/>
              <w:shd w:val="clear" w:color="auto" w:fill="FFFFFF"/>
              <w:autoSpaceDE w:val="0"/>
              <w:autoSpaceDN w:val="0"/>
              <w:adjustRightInd w:val="0"/>
              <w:rPr>
                <w:rFonts w:ascii="Times New Roman" w:hAnsi="Times New Roman"/>
                <w:color w:val="000000"/>
                <w:spacing w:val="-1"/>
                <w:sz w:val="24"/>
                <w:szCs w:val="24"/>
              </w:rPr>
            </w:pPr>
            <w:r w:rsidRPr="00576C1D">
              <w:rPr>
                <w:rFonts w:ascii="Times New Roman" w:hAnsi="Times New Roman"/>
                <w:color w:val="000000"/>
                <w:spacing w:val="-1"/>
                <w:sz w:val="24"/>
                <w:szCs w:val="24"/>
              </w:rPr>
              <w:t>•    razina financiranja iz privatnih poduzeća.</w:t>
            </w:r>
          </w:p>
        </w:tc>
      </w:tr>
      <w:tr w:rsidR="008C24C0" w:rsidRPr="005E763C" w:rsidTr="008C24C0">
        <w:tc>
          <w:tcPr>
            <w:tcW w:w="4545" w:type="dxa"/>
            <w:gridSpan w:val="3"/>
            <w:vAlign w:val="center"/>
          </w:tcPr>
          <w:p w:rsidR="008C24C0" w:rsidRPr="005E763C" w:rsidRDefault="008C24C0" w:rsidP="004229A4">
            <w:pPr>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0589" w:type="dxa"/>
            <w:vAlign w:val="center"/>
          </w:tcPr>
          <w:p w:rsidR="008C24C0" w:rsidRPr="005E763C" w:rsidRDefault="008C24C0" w:rsidP="004229A4">
            <w:pPr>
              <w:rPr>
                <w:rFonts w:ascii="Times New Roman" w:hAnsi="Times New Roman"/>
                <w:sz w:val="24"/>
                <w:szCs w:val="24"/>
              </w:rPr>
            </w:pPr>
            <w:r w:rsidRPr="00576C1D">
              <w:rPr>
                <w:rFonts w:ascii="Times New Roman" w:hAnsi="Times New Roman"/>
                <w:color w:val="000000"/>
                <w:sz w:val="18"/>
                <w:szCs w:val="18"/>
              </w:rPr>
              <w:t xml:space="preserve">lb - </w:t>
            </w:r>
            <w:r w:rsidRPr="00576C1D">
              <w:rPr>
                <w:rFonts w:ascii="Times New Roman" w:hAnsi="Times New Roman"/>
                <w:lang w:eastAsia="fr-BE"/>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8C24C0" w:rsidRPr="005E763C" w:rsidTr="008C24C0">
        <w:tc>
          <w:tcPr>
            <w:tcW w:w="15134" w:type="dxa"/>
            <w:gridSpan w:val="4"/>
            <w:vAlign w:val="center"/>
          </w:tcPr>
          <w:p w:rsidR="008C24C0" w:rsidRPr="005E763C" w:rsidRDefault="008C24C0" w:rsidP="004229A4">
            <w:pPr>
              <w:widowControl w:val="0"/>
              <w:shd w:val="clear" w:color="auto" w:fill="FFFFFF"/>
              <w:autoSpaceDE w:val="0"/>
              <w:autoSpaceDN w:val="0"/>
              <w:adjustRightInd w:val="0"/>
              <w:rPr>
                <w:rFonts w:ascii="Times New Roman" w:hAnsi="Times New Roman"/>
                <w:color w:val="000000"/>
                <w:spacing w:val="-1"/>
                <w:sz w:val="24"/>
                <w:szCs w:val="24"/>
              </w:rPr>
            </w:pPr>
            <w:r w:rsidRPr="00785403">
              <w:rPr>
                <w:rFonts w:ascii="Times New Roman" w:hAnsi="Times New Roman"/>
                <w:color w:val="000000"/>
                <w:spacing w:val="-1"/>
                <w:sz w:val="24"/>
                <w:szCs w:val="24"/>
              </w:rPr>
              <w:t xml:space="preserve">U slučaju projekata društveno-korisnih inovacija, kako bi primili potporu, projekti se moraju pozabaviti specifičnim društvenim izazovima na regionalnoj i </w:t>
            </w:r>
            <w:r w:rsidRPr="00785403">
              <w:rPr>
                <w:rFonts w:ascii="Times New Roman" w:hAnsi="Times New Roman"/>
                <w:color w:val="000000"/>
                <w:spacing w:val="-1"/>
                <w:sz w:val="24"/>
                <w:szCs w:val="24"/>
              </w:rPr>
              <w:lastRenderedPageBreak/>
              <w:t>lokalnoj razini na inovativan način te se moraju temeljiti na suradnji lokalne/regionalne/nacionalne vlade i poslovnog sektora, akademskog sektora i organizacija civilnog društva. Ocijenit će se njihova relevantnost i kapacitet za rješavanje društvenih izazova lokalne zajednice. Prijedlozi projekata koje treba financirati trebaju biti u skladu sa strategijom pametne specijalizacije. Detaljni kriteriji odabira pripremit će se na temelju rezultata projekta OECD-a "Trostruka spirala unutar društvene inovacije" kojim se definiraju društvene potrebe koje treba riješiti, društvene kvalitete korištenih alata ili metoda te inovativna svojstva aktivnosti itd.</w:t>
            </w:r>
          </w:p>
        </w:tc>
      </w:tr>
    </w:tbl>
    <w:p w:rsidR="00B201EA" w:rsidRDefault="00B201EA" w:rsidP="00FC3F35">
      <w:pPr>
        <w:widowControl w:val="0"/>
        <w:shd w:val="clear" w:color="auto" w:fill="FFFFFF"/>
        <w:autoSpaceDE w:val="0"/>
        <w:autoSpaceDN w:val="0"/>
        <w:adjustRightInd w:val="0"/>
        <w:spacing w:before="1003" w:after="187" w:line="240" w:lineRule="auto"/>
        <w:ind w:left="533"/>
        <w:rPr>
          <w:rFonts w:ascii="Times New Roman" w:eastAsia="Times New Roman" w:hAnsi="Times New Roman" w:cs="Times New Roman"/>
          <w:b/>
          <w:bCs/>
          <w:i/>
          <w:iCs/>
          <w:color w:val="000000"/>
          <w:spacing w:val="-1"/>
          <w:sz w:val="24"/>
          <w:szCs w:val="24"/>
          <w:lang w:eastAsia="hr-HR"/>
        </w:rPr>
      </w:pPr>
    </w:p>
    <w:p w:rsidR="00FC3F35" w:rsidRDefault="00FC3F35" w:rsidP="00FC3F35">
      <w:pPr>
        <w:widowControl w:val="0"/>
        <w:shd w:val="clear" w:color="auto" w:fill="FFFFFF"/>
        <w:autoSpaceDE w:val="0"/>
        <w:autoSpaceDN w:val="0"/>
        <w:adjustRightInd w:val="0"/>
        <w:spacing w:before="1003" w:after="187" w:line="240" w:lineRule="auto"/>
        <w:ind w:left="533"/>
        <w:rPr>
          <w:rFonts w:ascii="Times New Roman" w:eastAsia="Times New Roman" w:hAnsi="Times New Roman" w:cs="Times New Roman"/>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2.A.6.3 Planirano korištenje financijskih instrumenata </w:t>
      </w:r>
      <w:r w:rsidRPr="00576C1D">
        <w:rPr>
          <w:rFonts w:ascii="Times New Roman" w:eastAsia="Times New Roman" w:hAnsi="Times New Roman" w:cs="Times New Roman"/>
          <w:bCs/>
          <w:i/>
          <w:iCs/>
          <w:color w:val="000000"/>
          <w:spacing w:val="-1"/>
          <w:sz w:val="24"/>
          <w:szCs w:val="24"/>
          <w:lang w:eastAsia="hr-HR"/>
        </w:rPr>
        <w:t>(po potrebi)</w:t>
      </w:r>
    </w:p>
    <w:tbl>
      <w:tblPr>
        <w:tblStyle w:val="TableGrid"/>
        <w:tblW w:w="0" w:type="auto"/>
        <w:tblLook w:val="04A0" w:firstRow="1" w:lastRow="0" w:firstColumn="1" w:lastColumn="0" w:noHBand="0" w:noVBand="1"/>
      </w:tblPr>
      <w:tblGrid>
        <w:gridCol w:w="4531"/>
        <w:gridCol w:w="11170"/>
      </w:tblGrid>
      <w:tr w:rsidR="008C24C0" w:rsidRPr="005E763C" w:rsidTr="008C24C0">
        <w:tc>
          <w:tcPr>
            <w:tcW w:w="4531" w:type="dxa"/>
            <w:vAlign w:val="center"/>
          </w:tcPr>
          <w:p w:rsidR="008C24C0" w:rsidRPr="005E763C" w:rsidRDefault="008C24C0" w:rsidP="004229A4">
            <w:pPr>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1170" w:type="dxa"/>
            <w:vAlign w:val="center"/>
          </w:tcPr>
          <w:p w:rsidR="008C24C0" w:rsidRPr="005E763C" w:rsidRDefault="008C24C0" w:rsidP="004229A4">
            <w:pPr>
              <w:rPr>
                <w:rFonts w:ascii="Times New Roman" w:hAnsi="Times New Roman"/>
                <w:sz w:val="24"/>
                <w:szCs w:val="24"/>
              </w:rPr>
            </w:pPr>
            <w:r w:rsidRPr="00576C1D">
              <w:rPr>
                <w:rFonts w:ascii="Times New Roman" w:hAnsi="Times New Roman"/>
                <w:color w:val="000000"/>
                <w:sz w:val="18"/>
                <w:szCs w:val="18"/>
              </w:rPr>
              <w:t xml:space="preserve">lb - </w:t>
            </w:r>
            <w:r w:rsidRPr="00576C1D">
              <w:rPr>
                <w:rFonts w:ascii="Times New Roman" w:hAnsi="Times New Roman"/>
                <w:lang w:eastAsia="fr-BE"/>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8C24C0" w:rsidRPr="005E763C" w:rsidTr="008C24C0">
        <w:tc>
          <w:tcPr>
            <w:tcW w:w="15701" w:type="dxa"/>
            <w:gridSpan w:val="2"/>
            <w:vAlign w:val="center"/>
          </w:tcPr>
          <w:p w:rsidR="008C24C0" w:rsidRPr="005E763C" w:rsidRDefault="008C24C0" w:rsidP="004229A4">
            <w:pPr>
              <w:widowControl w:val="0"/>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Nije predviđeno</w:t>
            </w:r>
          </w:p>
          <w:p w:rsidR="008C24C0" w:rsidRPr="005E763C" w:rsidRDefault="008C24C0" w:rsidP="004229A4">
            <w:pPr>
              <w:widowControl w:val="0"/>
              <w:shd w:val="clear" w:color="auto" w:fill="FFFFFF"/>
              <w:autoSpaceDE w:val="0"/>
              <w:autoSpaceDN w:val="0"/>
              <w:adjustRightInd w:val="0"/>
              <w:rPr>
                <w:rFonts w:ascii="Times New Roman" w:hAnsi="Times New Roman"/>
                <w:sz w:val="24"/>
                <w:szCs w:val="24"/>
              </w:rPr>
            </w:pPr>
          </w:p>
        </w:tc>
      </w:tr>
    </w:tbl>
    <w:p w:rsidR="00FC3F35" w:rsidRDefault="00FC3F35" w:rsidP="00FC3F35">
      <w:pPr>
        <w:widowControl w:val="0"/>
        <w:shd w:val="clear" w:color="auto" w:fill="FFFFFF"/>
        <w:autoSpaceDE w:val="0"/>
        <w:autoSpaceDN w:val="0"/>
        <w:adjustRightInd w:val="0"/>
        <w:spacing w:before="1008" w:after="182"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 xml:space="preserve">2.A.6.4 Planirano korištenje velikih projekata </w:t>
      </w:r>
      <w:r w:rsidRPr="00576C1D">
        <w:rPr>
          <w:rFonts w:ascii="Times New Roman" w:eastAsia="Times New Roman" w:hAnsi="Times New Roman" w:cs="Times New Roman"/>
          <w:bCs/>
          <w:i/>
          <w:iCs/>
          <w:color w:val="000000"/>
          <w:sz w:val="24"/>
          <w:szCs w:val="24"/>
          <w:lang w:eastAsia="hr-HR"/>
        </w:rPr>
        <w:t>(po potrebi)</w:t>
      </w:r>
    </w:p>
    <w:tbl>
      <w:tblPr>
        <w:tblStyle w:val="TableGrid"/>
        <w:tblW w:w="0" w:type="auto"/>
        <w:tblLook w:val="04A0" w:firstRow="1" w:lastRow="0" w:firstColumn="1" w:lastColumn="0" w:noHBand="0" w:noVBand="1"/>
      </w:tblPr>
      <w:tblGrid>
        <w:gridCol w:w="4531"/>
        <w:gridCol w:w="11170"/>
      </w:tblGrid>
      <w:tr w:rsidR="008C24C0" w:rsidRPr="005E763C" w:rsidTr="008C24C0">
        <w:tc>
          <w:tcPr>
            <w:tcW w:w="4531" w:type="dxa"/>
            <w:vAlign w:val="center"/>
          </w:tcPr>
          <w:p w:rsidR="008C24C0" w:rsidRPr="005E763C" w:rsidRDefault="008C24C0" w:rsidP="004229A4">
            <w:pPr>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1170" w:type="dxa"/>
            <w:vAlign w:val="center"/>
          </w:tcPr>
          <w:p w:rsidR="008C24C0" w:rsidRPr="005E763C" w:rsidRDefault="008C24C0" w:rsidP="004229A4">
            <w:pPr>
              <w:rPr>
                <w:rFonts w:ascii="Times New Roman" w:hAnsi="Times New Roman"/>
                <w:sz w:val="24"/>
                <w:szCs w:val="24"/>
              </w:rPr>
            </w:pPr>
            <w:r w:rsidRPr="00576C1D">
              <w:rPr>
                <w:rFonts w:ascii="Times New Roman" w:hAnsi="Times New Roman"/>
                <w:color w:val="000000"/>
                <w:sz w:val="18"/>
                <w:szCs w:val="18"/>
              </w:rPr>
              <w:t xml:space="preserve">lb - </w:t>
            </w:r>
            <w:r w:rsidRPr="00576C1D">
              <w:rPr>
                <w:rFonts w:ascii="Times New Roman" w:hAnsi="Times New Roman"/>
                <w:lang w:eastAsia="fr-BE"/>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8C24C0" w:rsidRPr="005E763C" w:rsidTr="008C24C0">
        <w:tc>
          <w:tcPr>
            <w:tcW w:w="15701" w:type="dxa"/>
            <w:gridSpan w:val="2"/>
            <w:vAlign w:val="center"/>
          </w:tcPr>
          <w:p w:rsidR="008C24C0" w:rsidRPr="005E763C" w:rsidRDefault="008C24C0" w:rsidP="004229A4">
            <w:pPr>
              <w:widowControl w:val="0"/>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Nije predviđeno</w:t>
            </w:r>
          </w:p>
          <w:p w:rsidR="008C24C0" w:rsidRPr="005E763C" w:rsidRDefault="008C24C0" w:rsidP="004229A4">
            <w:pPr>
              <w:widowControl w:val="0"/>
              <w:shd w:val="clear" w:color="auto" w:fill="FFFFFF"/>
              <w:autoSpaceDE w:val="0"/>
              <w:autoSpaceDN w:val="0"/>
              <w:adjustRightInd w:val="0"/>
              <w:rPr>
                <w:rFonts w:ascii="Times New Roman" w:hAnsi="Times New Roman"/>
                <w:sz w:val="24"/>
                <w:szCs w:val="24"/>
              </w:rPr>
            </w:pPr>
          </w:p>
        </w:tc>
      </w:tr>
    </w:tbl>
    <w:p w:rsidR="00B201EA" w:rsidRDefault="00B201EA" w:rsidP="00FC3F35">
      <w:pPr>
        <w:widowControl w:val="0"/>
        <w:shd w:val="clear" w:color="auto" w:fill="FFFFFF"/>
        <w:autoSpaceDE w:val="0"/>
        <w:autoSpaceDN w:val="0"/>
        <w:adjustRightInd w:val="0"/>
        <w:spacing w:before="1008" w:after="0" w:line="240" w:lineRule="auto"/>
        <w:ind w:left="533"/>
        <w:rPr>
          <w:rFonts w:ascii="Times New Roman" w:eastAsia="Times New Roman" w:hAnsi="Times New Roman" w:cs="Times New Roman"/>
          <w:b/>
          <w:bCs/>
          <w:i/>
          <w:iCs/>
          <w:color w:val="000000"/>
          <w:sz w:val="24"/>
          <w:szCs w:val="24"/>
          <w:lang w:eastAsia="hr-HR"/>
        </w:rPr>
      </w:pPr>
    </w:p>
    <w:p w:rsidR="00B201EA" w:rsidRDefault="00B201EA">
      <w:pPr>
        <w:rPr>
          <w:rFonts w:ascii="Times New Roman" w:eastAsia="Times New Roman" w:hAnsi="Times New Roman" w:cs="Times New Roman"/>
          <w:b/>
          <w:bCs/>
          <w:i/>
          <w:iCs/>
          <w:color w:val="000000"/>
          <w:sz w:val="24"/>
          <w:szCs w:val="24"/>
          <w:lang w:eastAsia="hr-HR"/>
        </w:rPr>
      </w:pPr>
      <w:r>
        <w:rPr>
          <w:rFonts w:ascii="Times New Roman" w:eastAsia="Times New Roman" w:hAnsi="Times New Roman" w:cs="Times New Roman"/>
          <w:b/>
          <w:bCs/>
          <w:i/>
          <w:iCs/>
          <w:color w:val="000000"/>
          <w:sz w:val="24"/>
          <w:szCs w:val="24"/>
          <w:lang w:eastAsia="hr-HR"/>
        </w:rPr>
        <w:br w:type="page"/>
      </w:r>
    </w:p>
    <w:p w:rsidR="00FC3F35" w:rsidRPr="00576C1D" w:rsidRDefault="00FC3F35" w:rsidP="00FC3F35">
      <w:pPr>
        <w:widowControl w:val="0"/>
        <w:shd w:val="clear" w:color="auto" w:fill="FFFFFF"/>
        <w:autoSpaceDE w:val="0"/>
        <w:autoSpaceDN w:val="0"/>
        <w:adjustRightInd w:val="0"/>
        <w:spacing w:before="1008"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lastRenderedPageBreak/>
        <w:t>2.A.6.5 Pokazatelji neposrednih rezultata po investicijskom prioritetu i, gdje je prikladno,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998"/>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lb </w:t>
            </w:r>
            <w:r w:rsidRPr="00576C1D">
              <w:rPr>
                <w:rFonts w:ascii="Times New Roman" w:eastAsia="Times New Roman" w:hAnsi="Times New Roman" w:cs="Times New Roman"/>
                <w:b/>
                <w:color w:val="000000"/>
                <w:spacing w:val="3"/>
                <w:sz w:val="16"/>
                <w:szCs w:val="16"/>
                <w:lang w:eastAsia="hr-HR"/>
              </w:rPr>
              <w:t xml:space="preserve">- </w:t>
            </w:r>
            <w:r w:rsidRPr="00576C1D">
              <w:rPr>
                <w:rFonts w:ascii="Times New Roman" w:eastAsia="Times New Roman" w:hAnsi="Times New Roman" w:cs="Times New Roman"/>
                <w:b/>
                <w:sz w:val="16"/>
                <w:szCs w:val="20"/>
                <w:lang w:eastAsia="fr-BE"/>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1171"/>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CO02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Proizvodno ulaganje: Broj poduzeća koja primaju bespovratna sredstva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Poduzeća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r w:rsidR="00FC3F35" w:rsidRPr="00576C1D" w:rsidTr="00FC3F35">
        <w:trPr>
          <w:trHeight w:hRule="exact" w:val="1555"/>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CO26</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7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Istraživanje, inovacije: Broj poduzeća koja surađuju sa znanstveno-istraživačkim institucijama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Poduzeća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1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100,00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r w:rsidR="00FC3F35" w:rsidRPr="00576C1D" w:rsidTr="00FC3F35">
        <w:trPr>
          <w:trHeight w:hRule="exact" w:val="989"/>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lb </w:t>
            </w:r>
            <w:r w:rsidRPr="00576C1D">
              <w:rPr>
                <w:rFonts w:ascii="Times New Roman" w:eastAsia="Times New Roman" w:hAnsi="Times New Roman" w:cs="Times New Roman"/>
                <w:color w:val="000000"/>
                <w:spacing w:val="3"/>
                <w:sz w:val="16"/>
                <w:szCs w:val="16"/>
                <w:lang w:eastAsia="hr-HR"/>
              </w:rPr>
              <w:t xml:space="preserve">- </w:t>
            </w:r>
            <w:r w:rsidRPr="00576C1D">
              <w:rPr>
                <w:rFonts w:ascii="Times New Roman" w:eastAsia="Times New Roman" w:hAnsi="Times New Roman" w:cs="Times New Roman"/>
                <w:b/>
                <w:sz w:val="16"/>
                <w:szCs w:val="20"/>
                <w:lang w:eastAsia="fr-BE"/>
              </w:rPr>
              <w:t>Promicanje poslovnih ulaganja u inovacijama i istraživanjima te razvoj veza i sinergija između poduzeća, IR centara i visokog obrazovanja, osobito razvoja proizvoda i usluga,tehnološko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osobito u Ključnim tehnologijama koje potiču razvoj i inovacije i širenje tehnologija za opću namjenu</w:t>
            </w:r>
          </w:p>
        </w:tc>
      </w:tr>
      <w:tr w:rsidR="00FC3F35" w:rsidRPr="00576C1D" w:rsidTr="00FC3F35">
        <w:trPr>
          <w:trHeight w:hRule="exact" w:val="44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797"/>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7"/>
                <w:sz w:val="16"/>
                <w:szCs w:val="16"/>
                <w:lang w:eastAsia="hr-HR"/>
              </w:rPr>
              <w:t>lbll</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podržanih projekata istraživanja i razvoja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r w:rsidR="00FC3F35" w:rsidRPr="00576C1D" w:rsidTr="00FC3F35">
        <w:trPr>
          <w:trHeight w:hRule="exact" w:val="80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Ib21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Broj aktivnih centara za kompetencije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r w:rsidR="00FC3F35" w:rsidRPr="00576C1D" w:rsidTr="00FC3F35">
        <w:trPr>
          <w:trHeight w:hRule="exact" w:val="797"/>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6"/>
                <w:sz w:val="16"/>
                <w:szCs w:val="16"/>
                <w:lang w:eastAsia="hr-HR"/>
              </w:rPr>
              <w:lastRenderedPageBreak/>
              <w:t>Ib22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podržanih inicijativa klastera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r w:rsidR="00FC3F35" w:rsidRPr="00576C1D" w:rsidTr="00FC3F35">
        <w:trPr>
          <w:trHeight w:hRule="exact" w:val="1171"/>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7"/>
                <w:sz w:val="16"/>
                <w:szCs w:val="16"/>
                <w:lang w:eastAsia="hr-HR"/>
              </w:rPr>
              <w:t>Ib23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tabs>
                <w:tab w:val="left" w:pos="1033"/>
              </w:tabs>
              <w:autoSpaceDE w:val="0"/>
              <w:autoSpaceDN w:val="0"/>
              <w:adjustRightInd w:val="0"/>
              <w:spacing w:after="0" w:line="182" w:lineRule="exact"/>
              <w:ind w:right="2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 uspostavljenih tematskih inovacijskih platformi</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r w:rsidR="00FC3F35" w:rsidRPr="00576C1D" w:rsidTr="00FC3F35">
        <w:trPr>
          <w:trHeight w:hRule="exact" w:val="1373"/>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Ib31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7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rješenja za društvene izazove zajednice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before="398"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26"/>
          <w:szCs w:val="26"/>
          <w:lang w:eastAsia="hr-HR"/>
        </w:rPr>
        <w:t>2.A.7 Socijalne inovacije, međudržavna suradnja i doprinos tematskim ciljevima 1-7</w:t>
      </w:r>
    </w:p>
    <w:tbl>
      <w:tblPr>
        <w:tblStyle w:val="TableGrid"/>
        <w:tblW w:w="0" w:type="auto"/>
        <w:tblLook w:val="04A0" w:firstRow="1" w:lastRow="0" w:firstColumn="1" w:lastColumn="0" w:noHBand="0" w:noVBand="1"/>
      </w:tblPr>
      <w:tblGrid>
        <w:gridCol w:w="2802"/>
        <w:gridCol w:w="12474"/>
      </w:tblGrid>
      <w:tr w:rsidR="00C02CB4" w:rsidRPr="005E763C" w:rsidTr="00112AA2">
        <w:tc>
          <w:tcPr>
            <w:tcW w:w="2802" w:type="dxa"/>
            <w:vAlign w:val="center"/>
          </w:tcPr>
          <w:p w:rsidR="00C02CB4" w:rsidRPr="00576C1D" w:rsidRDefault="00C02CB4" w:rsidP="004229A4">
            <w:pPr>
              <w:widowControl w:val="0"/>
              <w:shd w:val="clear" w:color="auto" w:fill="FFFFFF"/>
              <w:autoSpaceDE w:val="0"/>
              <w:autoSpaceDN w:val="0"/>
              <w:adjustRightInd w:val="0"/>
              <w:rPr>
                <w:rFonts w:ascii="Times New Roman" w:hAnsi="Times New Roman"/>
              </w:rPr>
            </w:pPr>
            <w:r>
              <w:rPr>
                <w:rFonts w:ascii="Times New Roman" w:hAnsi="Times New Roman"/>
                <w:b/>
                <w:bCs/>
                <w:color w:val="000000"/>
                <w:spacing w:val="-2"/>
                <w:sz w:val="16"/>
                <w:szCs w:val="16"/>
              </w:rPr>
              <w:t>P</w:t>
            </w:r>
            <w:r w:rsidRPr="00576C1D">
              <w:rPr>
                <w:rFonts w:ascii="Times New Roman" w:hAnsi="Times New Roman"/>
                <w:b/>
                <w:bCs/>
                <w:color w:val="000000"/>
                <w:spacing w:val="-2"/>
                <w:sz w:val="16"/>
                <w:szCs w:val="16"/>
              </w:rPr>
              <w:t>rioritetna os</w:t>
            </w:r>
          </w:p>
          <w:p w:rsidR="00C02CB4" w:rsidRPr="005E763C" w:rsidRDefault="00C02CB4" w:rsidP="004229A4">
            <w:pPr>
              <w:rPr>
                <w:rFonts w:ascii="Times New Roman" w:hAnsi="Times New Roman"/>
                <w:sz w:val="24"/>
                <w:szCs w:val="24"/>
              </w:rPr>
            </w:pPr>
          </w:p>
        </w:tc>
        <w:tc>
          <w:tcPr>
            <w:tcW w:w="12474" w:type="dxa"/>
            <w:vAlign w:val="center"/>
          </w:tcPr>
          <w:p w:rsidR="00C02CB4" w:rsidRPr="00576C1D" w:rsidRDefault="00C02CB4" w:rsidP="004229A4">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z w:val="16"/>
                <w:szCs w:val="16"/>
              </w:rPr>
              <w:t>- Jačanje gospodarstva primjenom istraživanja i inovacija</w:t>
            </w:r>
          </w:p>
          <w:p w:rsidR="00C02CB4" w:rsidRPr="005E763C" w:rsidRDefault="00C02CB4" w:rsidP="004229A4">
            <w:pPr>
              <w:rPr>
                <w:rFonts w:ascii="Times New Roman" w:hAnsi="Times New Roman"/>
                <w:sz w:val="24"/>
                <w:szCs w:val="24"/>
              </w:rPr>
            </w:pPr>
          </w:p>
        </w:tc>
      </w:tr>
    </w:tbl>
    <w:p w:rsidR="00112AA2" w:rsidRDefault="00112AA2"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2"/>
          <w:sz w:val="24"/>
          <w:szCs w:val="24"/>
          <w:lang w:eastAsia="hr-HR"/>
        </w:rPr>
      </w:pPr>
    </w:p>
    <w:p w:rsidR="00112AA2" w:rsidRDefault="00112AA2"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2"/>
          <w:sz w:val="24"/>
          <w:szCs w:val="24"/>
          <w:lang w:eastAsia="hr-HR"/>
        </w:rPr>
      </w:pPr>
    </w:p>
    <w:p w:rsidR="00112AA2" w:rsidRDefault="00112AA2"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2"/>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2.A.8 Okvir uspješnosti</w:t>
      </w:r>
    </w:p>
    <w:p w:rsidR="00FC3F35" w:rsidRPr="00576C1D" w:rsidRDefault="00FC3F35" w:rsidP="00FC3F35">
      <w:pPr>
        <w:widowControl w:val="0"/>
        <w:autoSpaceDE w:val="0"/>
        <w:autoSpaceDN w:val="0"/>
        <w:adjustRightInd w:val="0"/>
        <w:spacing w:after="562"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662"/>
        <w:gridCol w:w="710"/>
        <w:gridCol w:w="854"/>
        <w:gridCol w:w="1680"/>
        <w:gridCol w:w="1200"/>
        <w:gridCol w:w="960"/>
        <w:gridCol w:w="1008"/>
        <w:gridCol w:w="1018"/>
        <w:gridCol w:w="1018"/>
        <w:gridCol w:w="1018"/>
        <w:gridCol w:w="1008"/>
        <w:gridCol w:w="1018"/>
        <w:gridCol w:w="902"/>
        <w:gridCol w:w="1181"/>
      </w:tblGrid>
      <w:tr w:rsidR="00FC3F35" w:rsidRPr="00576C1D" w:rsidTr="00FC3F35">
        <w:trPr>
          <w:trHeight w:hRule="exact" w:val="355"/>
        </w:trPr>
        <w:tc>
          <w:tcPr>
            <w:tcW w:w="11040" w:type="dxa"/>
            <w:gridSpan w:val="11"/>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6"/>
                <w:sz w:val="24"/>
                <w:szCs w:val="24"/>
                <w:lang w:eastAsia="hr-HR"/>
              </w:rPr>
              <w:t xml:space="preserve">Tablica 6: </w:t>
            </w:r>
            <w:r w:rsidRPr="00576C1D">
              <w:rPr>
                <w:rFonts w:ascii="Times New Roman" w:eastAsia="Times New Roman" w:hAnsi="Times New Roman" w:cs="Times New Roman"/>
                <w:b/>
                <w:bCs/>
                <w:color w:val="000000"/>
                <w:spacing w:val="-3"/>
                <w:sz w:val="24"/>
                <w:szCs w:val="24"/>
                <w:lang w:eastAsia="hr-HR"/>
              </w:rPr>
              <w:t xml:space="preserve">Okvir uspješnosti prioritetne osi </w:t>
            </w:r>
            <w:r w:rsidRPr="00576C1D">
              <w:rPr>
                <w:rFonts w:ascii="Times New Roman" w:eastAsia="Times New Roman" w:hAnsi="Times New Roman" w:cs="Times New Roman"/>
                <w:bCs/>
                <w:color w:val="000000"/>
                <w:spacing w:val="-3"/>
                <w:sz w:val="24"/>
                <w:szCs w:val="24"/>
                <w:lang w:eastAsia="hr-HR"/>
              </w:rPr>
              <w:t>(po fondu i, za EFRR i ESF, po kategoriji regije)</w:t>
            </w:r>
          </w:p>
        </w:tc>
        <w:tc>
          <w:tcPr>
            <w:tcW w:w="100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0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B201EA" w:rsidTr="00FC3F35">
        <w:trPr>
          <w:trHeight w:hRule="exact" w:val="365"/>
        </w:trPr>
        <w:tc>
          <w:tcPr>
            <w:tcW w:w="228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pacing w:val="-1"/>
                <w:sz w:val="16"/>
                <w:szCs w:val="16"/>
                <w:lang w:eastAsia="hr-HR"/>
              </w:rPr>
              <w:t>Prioritetna os</w:t>
            </w:r>
          </w:p>
        </w:tc>
        <w:tc>
          <w:tcPr>
            <w:tcW w:w="12865" w:type="dxa"/>
            <w:gridSpan w:val="12"/>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pacing w:val="-1"/>
                <w:sz w:val="16"/>
                <w:szCs w:val="16"/>
                <w:lang w:eastAsia="hr-HR"/>
              </w:rPr>
              <w:t>1 - Jačanje gospodarstva primjenom istraživanja i inovacija</w:t>
            </w:r>
          </w:p>
        </w:tc>
      </w:tr>
      <w:tr w:rsidR="00FC3F35" w:rsidRPr="00B201EA" w:rsidTr="00FC3F35">
        <w:trPr>
          <w:trHeight w:hRule="exact" w:val="365"/>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Oznaka</w:t>
            </w:r>
          </w:p>
        </w:tc>
        <w:tc>
          <w:tcPr>
            <w:tcW w:w="662" w:type="dxa"/>
            <w:vMerge w:val="restart"/>
            <w:tcBorders>
              <w:top w:val="single" w:sz="6" w:space="0" w:color="auto"/>
              <w:left w:val="single" w:sz="6" w:space="0" w:color="auto"/>
              <w:bottom w:val="nil"/>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pacing w:val="-2"/>
                <w:sz w:val="16"/>
                <w:szCs w:val="16"/>
                <w:lang w:eastAsia="hr-HR"/>
              </w:rPr>
              <w:t>Vrsta pokazatelja</w:t>
            </w:r>
          </w:p>
        </w:tc>
        <w:tc>
          <w:tcPr>
            <w:tcW w:w="1564" w:type="dxa"/>
            <w:gridSpan w:val="2"/>
            <w:vMerge w:val="restart"/>
            <w:tcBorders>
              <w:top w:val="single" w:sz="6" w:space="0" w:color="auto"/>
              <w:left w:val="single" w:sz="6" w:space="0" w:color="auto"/>
              <w:bottom w:val="nil"/>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Pokazatelj ili glavni provedbeni korak</w:t>
            </w:r>
          </w:p>
        </w:tc>
        <w:tc>
          <w:tcPr>
            <w:tcW w:w="1680" w:type="dxa"/>
            <w:vMerge w:val="restart"/>
            <w:tcBorders>
              <w:top w:val="single" w:sz="6" w:space="0" w:color="auto"/>
              <w:left w:val="single" w:sz="6" w:space="0" w:color="auto"/>
              <w:bottom w:val="nil"/>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pacing w:val="-1"/>
                <w:sz w:val="16"/>
                <w:szCs w:val="16"/>
                <w:lang w:eastAsia="hr-HR"/>
              </w:rPr>
              <w:t>Mjerna jedinica, po potrebi</w:t>
            </w:r>
          </w:p>
        </w:tc>
        <w:tc>
          <w:tcPr>
            <w:tcW w:w="1200" w:type="dxa"/>
            <w:vMerge w:val="restart"/>
            <w:tcBorders>
              <w:top w:val="single" w:sz="6" w:space="0" w:color="auto"/>
              <w:left w:val="single" w:sz="6" w:space="0" w:color="auto"/>
              <w:bottom w:val="nil"/>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pacing w:val="-3"/>
                <w:sz w:val="16"/>
                <w:szCs w:val="16"/>
                <w:lang w:eastAsia="hr-HR"/>
              </w:rPr>
              <w:t>Fond</w:t>
            </w:r>
          </w:p>
        </w:tc>
        <w:tc>
          <w:tcPr>
            <w:tcW w:w="960" w:type="dxa"/>
            <w:vMerge w:val="restart"/>
            <w:tcBorders>
              <w:top w:val="single" w:sz="6" w:space="0" w:color="auto"/>
              <w:left w:val="single" w:sz="6" w:space="0" w:color="auto"/>
              <w:bottom w:val="nil"/>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pacing w:val="-1"/>
                <w:sz w:val="16"/>
                <w:szCs w:val="16"/>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pacing w:val="-2"/>
                <w:sz w:val="16"/>
                <w:szCs w:val="16"/>
                <w:lang w:eastAsia="hr-HR"/>
              </w:rPr>
              <w:t>Konačni cilj (2023.)</w:t>
            </w:r>
          </w:p>
        </w:tc>
        <w:tc>
          <w:tcPr>
            <w:tcW w:w="902" w:type="dxa"/>
            <w:vMerge w:val="restart"/>
            <w:tcBorders>
              <w:top w:val="single" w:sz="6" w:space="0" w:color="auto"/>
              <w:left w:val="single" w:sz="6" w:space="0" w:color="auto"/>
              <w:bottom w:val="nil"/>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pacing w:val="-1"/>
                <w:sz w:val="16"/>
                <w:szCs w:val="16"/>
                <w:lang w:eastAsia="hr-HR"/>
              </w:rPr>
              <w:t>Izvor podataka</w:t>
            </w:r>
          </w:p>
        </w:tc>
        <w:tc>
          <w:tcPr>
            <w:tcW w:w="1181" w:type="dxa"/>
            <w:vMerge w:val="restart"/>
            <w:tcBorders>
              <w:top w:val="single" w:sz="6" w:space="0" w:color="auto"/>
              <w:left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14" w:firstLine="5"/>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Objašnjenje značaja pokazatelja, po potrebi</w:t>
            </w:r>
          </w:p>
        </w:tc>
      </w:tr>
      <w:tr w:rsidR="00FC3F35" w:rsidRPr="00B201EA" w:rsidTr="00FC3F35">
        <w:trPr>
          <w:trHeight w:hRule="exact" w:val="365"/>
        </w:trPr>
        <w:tc>
          <w:tcPr>
            <w:tcW w:w="912" w:type="dxa"/>
            <w:tcBorders>
              <w:top w:val="nil"/>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662" w:type="dxa"/>
            <w:tcBorders>
              <w:top w:val="nil"/>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564" w:type="dxa"/>
            <w:gridSpan w:val="2"/>
            <w:tcBorders>
              <w:top w:val="nil"/>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680" w:type="dxa"/>
            <w:tcBorders>
              <w:top w:val="nil"/>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200" w:type="dxa"/>
            <w:tcBorders>
              <w:top w:val="nil"/>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960" w:type="dxa"/>
            <w:tcBorders>
              <w:top w:val="nil"/>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B201EA"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M</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z w:val="16"/>
                <w:szCs w:val="16"/>
                <w:lang w:eastAsia="hr-HR"/>
              </w:rPr>
              <w:t>U</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M</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U</w:t>
            </w:r>
          </w:p>
        </w:tc>
        <w:tc>
          <w:tcPr>
            <w:tcW w:w="902" w:type="dxa"/>
            <w:tcBorders>
              <w:top w:val="nil"/>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p>
          <w:p w:rsidR="00FC3F35" w:rsidRPr="00B201EA"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p>
        </w:tc>
        <w:tc>
          <w:tcPr>
            <w:tcW w:w="1181" w:type="dxa"/>
            <w:vMerge/>
            <w:tcBorders>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r>
      <w:tr w:rsidR="00FC3F35" w:rsidRPr="00B201EA" w:rsidTr="00FC3F35">
        <w:trPr>
          <w:trHeight w:hRule="exact" w:val="941"/>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2"/>
                <w:sz w:val="16"/>
                <w:szCs w:val="16"/>
                <w:lang w:eastAsia="hr-HR"/>
              </w:rPr>
              <w:t>CO02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O</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67"/>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Proizvodno ulaganje: Broj poduzeća koja primaju bespovratna sredstva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Poduzeća</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696"/>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z w:val="16"/>
                <w:szCs w:val="16"/>
                <w:lang w:eastAsia="hr-HR"/>
              </w:rPr>
              <w:t>60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523"/>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2"/>
                <w:sz w:val="16"/>
                <w:szCs w:val="16"/>
                <w:lang w:eastAsia="hr-HR"/>
              </w:rPr>
              <w:t>300,00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0" w:lineRule="exact"/>
              <w:ind w:right="24"/>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z w:val="16"/>
                <w:szCs w:val="16"/>
                <w:lang w:eastAsia="hr-HR"/>
              </w:rPr>
              <w:t>Pokazatelj pokriva većinu predloženih aktivnosti unutar investicijskog prioriteta 1b koje su povezane s potporom poduzećima.</w:t>
            </w:r>
          </w:p>
        </w:tc>
      </w:tr>
      <w:tr w:rsidR="00FC3F35" w:rsidRPr="00B201EA" w:rsidTr="00FC3F35">
        <w:trPr>
          <w:trHeight w:hRule="exact" w:val="105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3"/>
                <w:sz w:val="16"/>
                <w:szCs w:val="16"/>
                <w:lang w:eastAsia="hr-HR"/>
              </w:rPr>
              <w:lastRenderedPageBreak/>
              <w:t>PF31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F</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z w:val="16"/>
                <w:szCs w:val="16"/>
                <w:lang w:eastAsia="hr-HR"/>
              </w:rPr>
              <w:t>Ukupni iznos potvrđenih/prihvatljivih izdataka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z w:val="16"/>
                <w:szCs w:val="16"/>
                <w:lang w:eastAsia="hr-HR"/>
              </w:rPr>
              <w:t>milijuna EUR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2"/>
                <w:sz w:val="16"/>
                <w:szCs w:val="16"/>
                <w:lang w:eastAsia="hr-HR"/>
              </w:rPr>
              <w:t>171,150.352,00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782,108.429,00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48" w:firstLine="5"/>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U kontrolnoj je točki prisutno pravilo N+3 za PO osim 6 % (tj. ukupna dodijeljena sredstva za 2014. i 2015. neto 6 %).</w:t>
            </w:r>
          </w:p>
        </w:tc>
      </w:tr>
      <w:tr w:rsidR="00FC3F35" w:rsidRPr="00B201EA" w:rsidTr="00FC3F35">
        <w:trPr>
          <w:trHeight w:hRule="exact" w:val="720"/>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1"/>
                <w:sz w:val="16"/>
                <w:szCs w:val="16"/>
                <w:lang w:eastAsia="hr-HR"/>
              </w:rPr>
              <w:t>la11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0</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130" w:hanging="5"/>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Broj integriranih projekata istraživanja, razvoja i inovacija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z w:val="16"/>
                <w:szCs w:val="16"/>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1"/>
                <w:sz w:val="16"/>
                <w:szCs w:val="16"/>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749"/>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pacing w:val="-2"/>
                <w:sz w:val="16"/>
                <w:szCs w:val="16"/>
                <w:lang w:eastAsia="hr-HR"/>
              </w:rPr>
              <w:t>4,00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B201EA">
              <w:rPr>
                <w:rFonts w:ascii="Times New Roman" w:eastAsia="Times New Roman" w:hAnsi="Times New Roman" w:cs="Times New Roman"/>
                <w:b/>
                <w:bCs/>
                <w:color w:val="000000"/>
                <w:sz w:val="16"/>
                <w:szCs w:val="16"/>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16"/>
                <w:szCs w:val="16"/>
                <w:lang w:eastAsia="hr-HR"/>
              </w:rPr>
            </w:pPr>
            <w:r w:rsidRPr="00B201EA">
              <w:rPr>
                <w:rFonts w:ascii="Times New Roman" w:eastAsia="Times New Roman" w:hAnsi="Times New Roman" w:cs="Times New Roman"/>
                <w:color w:val="000000"/>
                <w:sz w:val="16"/>
                <w:szCs w:val="16"/>
                <w:lang w:eastAsia="hr-HR"/>
              </w:rPr>
              <w:t>Ovom je pokazatelju dodijeljena većina sredstava dodijeljenih investicijskom prioritetu 1a.</w:t>
            </w:r>
          </w:p>
        </w:tc>
      </w:tr>
    </w:tbl>
    <w:p w:rsidR="00FC3F35" w:rsidRPr="00576C1D" w:rsidRDefault="00FC3F35" w:rsidP="00FC3F35">
      <w:pPr>
        <w:widowControl w:val="0"/>
        <w:shd w:val="clear" w:color="auto" w:fill="FFFFFF"/>
        <w:autoSpaceDE w:val="0"/>
        <w:autoSpaceDN w:val="0"/>
        <w:adjustRightInd w:val="0"/>
        <w:spacing w:before="451"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Dodatne kvalitativne informacije o uspostavi okvira uspješnosti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2.A.9 Kategorije intervencije</w:t>
      </w:r>
    </w:p>
    <w:p w:rsidR="00FC3F35" w:rsidRPr="00576C1D" w:rsidRDefault="00FC3F35" w:rsidP="00FC3F35">
      <w:pPr>
        <w:widowControl w:val="0"/>
        <w:shd w:val="clear" w:color="auto" w:fill="FFFFFF"/>
        <w:autoSpaceDE w:val="0"/>
        <w:autoSpaceDN w:val="0"/>
        <w:adjustRightInd w:val="0"/>
        <w:spacing w:before="130" w:after="1574" w:line="269" w:lineRule="exact"/>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4"/>
          <w:szCs w:val="24"/>
          <w:lang w:eastAsia="hr-HR"/>
        </w:rPr>
        <w:t>Kategorije intervencije koje odgovaraju sadržaju prioritetne osi na temelju nazivlja koje usvaja Komisija, i indikativna analiza potpore Unije</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after="0" w:line="514" w:lineRule="exact"/>
        <w:ind w:left="542" w:right="110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6"/>
          <w:szCs w:val="26"/>
          <w:lang w:eastAsia="hr-HR"/>
        </w:rPr>
        <w:t>Tablice 7-11: Kategorije intervencije</w:t>
      </w:r>
      <w:r w:rsidRPr="00576C1D">
        <w:rPr>
          <w:rFonts w:ascii="Times New Roman" w:eastAsia="Times New Roman" w:hAnsi="Times New Roman" w:cs="Times New Roman"/>
          <w:color w:val="000000"/>
          <w:spacing w:val="-5"/>
          <w:sz w:val="26"/>
          <w:szCs w:val="26"/>
          <w:lang w:eastAsia="hr-HR"/>
        </w:rPr>
        <w:br/>
      </w:r>
      <w:r w:rsidRPr="00576C1D">
        <w:rPr>
          <w:rFonts w:ascii="Times New Roman" w:eastAsia="Times New Roman" w:hAnsi="Times New Roman" w:cs="Times New Roman"/>
          <w:color w:val="000000"/>
          <w:spacing w:val="-4"/>
          <w:lang w:eastAsia="hr-HR"/>
        </w:rPr>
        <w:t>Tablica 7: Dimenzija 1 - Područje intervencije</w:t>
      </w: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87"/>
      </w:tblGrid>
      <w:tr w:rsidR="00FC3F35" w:rsidRPr="00576C1D" w:rsidTr="00FC3F35">
        <w:trPr>
          <w:trHeight w:hRule="exact" w:val="451"/>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1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Jačanje gospodarstva primjenom istraživanja i inovacija</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002. Procesi istraživanja i inovacija u velikim poduzećima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112,000.000,00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056. Ulaganja u infrastrukturu, kapacitete i opremu u MSP-ovima izravno povezanima s aktivnostima istraživanja i inovacija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60,000.000,00</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057. Ulaganja u infrastrukturu, kapacitete i opremu u velikim poduzećima izravno povezanima s aktivnostima istraživanja i inovacija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058. Istraživačka i inovacijska infrastruktura (javna)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172,621.739,00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059. Istraživačka i inovacijska infrastruktura (privatna, uključujući znanstvene parkove)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79,400.000,00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lastRenderedPageBreak/>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060. Istraživačke i inovacijske aktivnosti u javnim znanstveno-istraživačkim centrima i centrima za kompetencije, uključujući umrežavanje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173,670.000,00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061. Istraživačke i inovacijske aktivnosti u privatnim centrima za istraživanje, uključujući umrežavanje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11,330.000,00</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063. Klasterska potpora i poslovne mreže čije pogodnosti ostvaruju ponajviše MSP-ovi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15,470.426,00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070. Promicanje energetske učinkovitosti u velikim poduzećima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2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5,000.000,00</w:t>
            </w:r>
          </w:p>
        </w:tc>
      </w:tr>
      <w:tr w:rsidR="00FC3F35" w:rsidRPr="00576C1D" w:rsidTr="00B201EA">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121. Priprema, provedba, nadzor i inspekcijski pregled</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10,300.000,00</w:t>
            </w:r>
          </w:p>
        </w:tc>
      </w:tr>
    </w:tbl>
    <w:p w:rsidR="00B201EA" w:rsidRDefault="00B201EA">
      <w:r>
        <w:br w:type="page"/>
      </w: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87"/>
      </w:tblGrid>
      <w:tr w:rsidR="00FC3F35" w:rsidRPr="00576C1D" w:rsidTr="00B201EA">
        <w:trPr>
          <w:trHeight w:hRule="exact" w:val="720"/>
        </w:trPr>
        <w:tc>
          <w:tcPr>
            <w:tcW w:w="15140" w:type="dxa"/>
            <w:gridSpan w:val="5"/>
            <w:tcBorders>
              <w:left w:val="nil"/>
              <w:bottom w:val="single" w:sz="4" w:space="0" w:color="auto"/>
              <w:right w:val="nil"/>
            </w:tcBorders>
            <w:shd w:val="clear" w:color="auto" w:fill="FFFFFF"/>
          </w:tcPr>
          <w:p w:rsidR="00B201EA" w:rsidRDefault="00B201EA"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lang w:eastAsia="hr-HR"/>
              </w:rPr>
              <w:t>Tablica 8: Dimenzija 2 - Oblik financiranja</w:t>
            </w:r>
          </w:p>
        </w:tc>
      </w:tr>
      <w:tr w:rsidR="00FC3F35" w:rsidRPr="00576C1D" w:rsidTr="00B201EA">
        <w:trPr>
          <w:trHeight w:hRule="exact" w:val="442"/>
        </w:trPr>
        <w:tc>
          <w:tcPr>
            <w:tcW w:w="2189" w:type="dxa"/>
            <w:gridSpan w:val="2"/>
            <w:tcBorders>
              <w:top w:val="single" w:sz="4" w:space="0" w:color="auto"/>
              <w:left w:val="single" w:sz="6" w:space="0" w:color="auto"/>
              <w:bottom w:val="single" w:sz="4"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4" w:space="0" w:color="auto"/>
              <w:left w:val="single" w:sz="6" w:space="0" w:color="auto"/>
              <w:bottom w:val="single" w:sz="4"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1 - Jačanje gospodarstva primjenom istraživanja i inovacija</w:t>
            </w:r>
          </w:p>
        </w:tc>
      </w:tr>
      <w:tr w:rsidR="00FC3F35" w:rsidRPr="00576C1D" w:rsidTr="00B201EA">
        <w:trPr>
          <w:trHeight w:hRule="exact" w:val="432"/>
        </w:trPr>
        <w:tc>
          <w:tcPr>
            <w:tcW w:w="979" w:type="dxa"/>
            <w:tcBorders>
              <w:top w:val="single" w:sz="4"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4"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4"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4"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 </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664,792.165,00</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lang w:eastAsia="hr-HR"/>
        </w:rPr>
        <w:t>Tablica 9: Dimenzija 3 - Vrsta teritorija</w:t>
      </w:r>
    </w:p>
    <w:p w:rsidR="00FC3F35" w:rsidRPr="00576C1D" w:rsidRDefault="00FC3F35" w:rsidP="00FC3F35">
      <w:pPr>
        <w:widowControl w:val="0"/>
        <w:autoSpaceDE w:val="0"/>
        <w:autoSpaceDN w:val="0"/>
        <w:adjustRightInd w:val="0"/>
        <w:spacing w:after="48"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2515"/>
        <w:gridCol w:w="480"/>
        <w:gridCol w:w="4118"/>
        <w:gridCol w:w="5059"/>
        <w:gridCol w:w="1997"/>
      </w:tblGrid>
      <w:tr w:rsidR="00FC3F35" w:rsidRPr="00576C1D" w:rsidTr="00FC3F35">
        <w:trPr>
          <w:trHeight w:hRule="exact" w:val="442"/>
        </w:trPr>
        <w:tc>
          <w:tcPr>
            <w:tcW w:w="1134"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7113" w:type="dxa"/>
            <w:gridSpan w:val="3"/>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1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Jačanje gospodarstva primjenom istraživanja i inovacija</w:t>
            </w:r>
          </w:p>
        </w:tc>
        <w:tc>
          <w:tcPr>
            <w:tcW w:w="7056"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3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15"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480"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118"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059"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iznos u € </w:t>
            </w:r>
          </w:p>
        </w:tc>
      </w:tr>
      <w:tr w:rsidR="00FC3F35" w:rsidRPr="00576C1D" w:rsidTr="00FC3F35">
        <w:trPr>
          <w:trHeight w:hRule="exact" w:val="45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15"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480"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118"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5059"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664,792.165,00</w:t>
            </w:r>
          </w:p>
        </w:tc>
      </w:tr>
    </w:tbl>
    <w:p w:rsidR="00FC3F35" w:rsidRPr="00576C1D" w:rsidRDefault="00FC3F35" w:rsidP="00FC3F35">
      <w:pPr>
        <w:widowControl w:val="0"/>
        <w:shd w:val="clear" w:color="auto" w:fill="FFFFFF"/>
        <w:autoSpaceDE w:val="0"/>
        <w:autoSpaceDN w:val="0"/>
        <w:adjustRightInd w:val="0"/>
        <w:spacing w:before="422"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lang w:eastAsia="hr-HR"/>
        </w:rPr>
        <w:t>Tablica 10: Dimenzija 4 - Mehanizmi teritorijalne provedbe</w:t>
      </w:r>
    </w:p>
    <w:p w:rsidR="00FC3F35" w:rsidRPr="00576C1D" w:rsidRDefault="00FC3F35" w:rsidP="00FC3F35">
      <w:pPr>
        <w:widowControl w:val="0"/>
        <w:autoSpaceDE w:val="0"/>
        <w:autoSpaceDN w:val="0"/>
        <w:adjustRightInd w:val="0"/>
        <w:spacing w:after="43"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2995"/>
        <w:gridCol w:w="9178"/>
        <w:gridCol w:w="1997"/>
      </w:tblGrid>
      <w:tr w:rsidR="00FC3F35" w:rsidRPr="00576C1D" w:rsidTr="00FC3F35">
        <w:trPr>
          <w:trHeight w:hRule="exact" w:val="470"/>
        </w:trPr>
        <w:tc>
          <w:tcPr>
            <w:tcW w:w="1514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Prioritetna os                               1 - Jačanje gospodarstva primjenom istraživanja i inovacija</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Integrirano teritorijalno ulaganje - urbano</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644,792.165,00</w:t>
            </w:r>
          </w:p>
        </w:tc>
      </w:tr>
    </w:tbl>
    <w:p w:rsidR="00FC3F35" w:rsidRPr="00576C1D" w:rsidRDefault="00FC3F35" w:rsidP="00FC3F35">
      <w:pPr>
        <w:widowControl w:val="0"/>
        <w:autoSpaceDE w:val="0"/>
        <w:autoSpaceDN w:val="0"/>
        <w:adjustRightInd w:val="0"/>
        <w:spacing w:after="509"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826"/>
        <w:gridCol w:w="384"/>
        <w:gridCol w:w="1786"/>
        <w:gridCol w:w="4099"/>
        <w:gridCol w:w="5078"/>
        <w:gridCol w:w="1997"/>
      </w:tblGrid>
      <w:tr w:rsidR="00FC3F35" w:rsidRPr="00576C1D" w:rsidTr="00FC3F35">
        <w:trPr>
          <w:trHeight w:hRule="exact" w:val="250"/>
        </w:trPr>
        <w:tc>
          <w:tcPr>
            <w:tcW w:w="1805"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0"/>
                <w:szCs w:val="20"/>
                <w:lang w:eastAsia="hr-HR"/>
              </w:rPr>
              <w:t>Tablica 11:</w:t>
            </w:r>
          </w:p>
        </w:tc>
        <w:tc>
          <w:tcPr>
            <w:tcW w:w="11347" w:type="dxa"/>
            <w:gridSpan w:val="4"/>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lang w:eastAsia="hr-HR"/>
              </w:rPr>
              <w:t xml:space="preserve">Dimenzija 6 - </w:t>
            </w:r>
            <w:r w:rsidRPr="00576C1D">
              <w:rPr>
                <w:rFonts w:ascii="Times New Roman" w:eastAsia="Times New Roman" w:hAnsi="Times New Roman" w:cs="Times New Roman"/>
                <w:b/>
                <w:color w:val="000000"/>
                <w:spacing w:val="2"/>
                <w:sz w:val="20"/>
                <w:szCs w:val="20"/>
                <w:lang w:eastAsia="hr-HR"/>
              </w:rPr>
              <w:t xml:space="preserve">Sporedna tema Europskog socijalnog fonda </w:t>
            </w:r>
            <w:r w:rsidRPr="00576C1D">
              <w:rPr>
                <w:rFonts w:ascii="Times New Roman" w:eastAsia="Times New Roman" w:hAnsi="Times New Roman" w:cs="Times New Roman"/>
                <w:color w:val="000000"/>
                <w:spacing w:val="2"/>
                <w:sz w:val="20"/>
                <w:szCs w:val="20"/>
                <w:lang w:eastAsia="hr-HR"/>
              </w:rPr>
              <w:t>(samo Europski socijalni fond i Inicijativa za zapošljavanje mladih)</w:t>
            </w:r>
          </w:p>
        </w:tc>
        <w:tc>
          <w:tcPr>
            <w:tcW w:w="199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32"/>
        </w:trPr>
        <w:tc>
          <w:tcPr>
            <w:tcW w:w="1805"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38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885"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1 - Jačanje gospodarstva primjenom istraživanja i inovacija</w:t>
            </w:r>
          </w:p>
        </w:tc>
        <w:tc>
          <w:tcPr>
            <w:tcW w:w="7075"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82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170"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4099"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078"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iznos u €</w:t>
            </w:r>
          </w:p>
        </w:tc>
      </w:tr>
    </w:tbl>
    <w:p w:rsidR="00B201EA" w:rsidRDefault="00B201EA" w:rsidP="00FC3F35">
      <w:pPr>
        <w:widowControl w:val="0"/>
        <w:shd w:val="clear" w:color="auto" w:fill="FFFFFF"/>
        <w:autoSpaceDE w:val="0"/>
        <w:autoSpaceDN w:val="0"/>
        <w:adjustRightInd w:val="0"/>
        <w:spacing w:before="504" w:after="240" w:line="278" w:lineRule="exact"/>
        <w:ind w:left="1392" w:hanging="854"/>
        <w:rPr>
          <w:rFonts w:ascii="Times New Roman" w:eastAsia="Times New Roman" w:hAnsi="Times New Roman" w:cs="Times New Roman"/>
          <w:b/>
          <w:bCs/>
          <w:color w:val="000000"/>
          <w:spacing w:val="5"/>
          <w:sz w:val="24"/>
          <w:szCs w:val="24"/>
          <w:lang w:eastAsia="hr-HR"/>
        </w:rPr>
      </w:pPr>
    </w:p>
    <w:p w:rsidR="00B201EA" w:rsidRDefault="00B201EA">
      <w:pPr>
        <w:rPr>
          <w:rFonts w:ascii="Times New Roman" w:eastAsia="Times New Roman" w:hAnsi="Times New Roman" w:cs="Times New Roman"/>
          <w:b/>
          <w:bCs/>
          <w:color w:val="000000"/>
          <w:spacing w:val="5"/>
          <w:sz w:val="24"/>
          <w:szCs w:val="24"/>
          <w:lang w:eastAsia="hr-HR"/>
        </w:rPr>
      </w:pPr>
      <w:r>
        <w:rPr>
          <w:rFonts w:ascii="Times New Roman" w:eastAsia="Times New Roman" w:hAnsi="Times New Roman" w:cs="Times New Roman"/>
          <w:b/>
          <w:bCs/>
          <w:color w:val="000000"/>
          <w:spacing w:val="5"/>
          <w:sz w:val="24"/>
          <w:szCs w:val="24"/>
          <w:lang w:eastAsia="hr-HR"/>
        </w:rPr>
        <w:br w:type="page"/>
      </w:r>
    </w:p>
    <w:p w:rsidR="00FC3F35" w:rsidRPr="00576C1D" w:rsidRDefault="00FC3F35" w:rsidP="00FC3F35">
      <w:pPr>
        <w:widowControl w:val="0"/>
        <w:shd w:val="clear" w:color="auto" w:fill="FFFFFF"/>
        <w:autoSpaceDE w:val="0"/>
        <w:autoSpaceDN w:val="0"/>
        <w:adjustRightInd w:val="0"/>
        <w:spacing w:before="504" w:after="240" w:line="278" w:lineRule="exact"/>
        <w:ind w:left="1392" w:hanging="8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24"/>
          <w:szCs w:val="24"/>
          <w:lang w:eastAsia="hr-HR"/>
        </w:rPr>
        <w:lastRenderedPageBreak/>
        <w:t xml:space="preserve">2.A.10 Sažetak planiranog korištenja tehničke pomoći uključujući, prema potrebi, aktivnosti kojima se ojačava administrativni kapacitet nadležnih tijela uključenih u upravu i kontrolu programa i korisnika </w:t>
      </w:r>
      <w:r w:rsidRPr="00576C1D">
        <w:rPr>
          <w:rFonts w:ascii="Times New Roman" w:eastAsia="Times New Roman" w:hAnsi="Times New Roman" w:cs="Times New Roman"/>
          <w:bCs/>
          <w:color w:val="000000"/>
          <w:spacing w:val="5"/>
          <w:sz w:val="24"/>
          <w:szCs w:val="24"/>
          <w:lang w:eastAsia="hr-HR"/>
        </w:rPr>
        <w:t>(po potrebi) (po prioritetnoj osi)</w:t>
      </w:r>
    </w:p>
    <w:tbl>
      <w:tblPr>
        <w:tblStyle w:val="TableGrid"/>
        <w:tblW w:w="0" w:type="auto"/>
        <w:tblLook w:val="04A0" w:firstRow="1" w:lastRow="0" w:firstColumn="1" w:lastColumn="0" w:noHBand="0" w:noVBand="1"/>
      </w:tblPr>
      <w:tblGrid>
        <w:gridCol w:w="4531"/>
        <w:gridCol w:w="10745"/>
      </w:tblGrid>
      <w:tr w:rsidR="00112AA2" w:rsidRPr="005E763C" w:rsidTr="00112AA2">
        <w:tc>
          <w:tcPr>
            <w:tcW w:w="4531" w:type="dxa"/>
            <w:vAlign w:val="center"/>
          </w:tcPr>
          <w:p w:rsidR="00112AA2" w:rsidRPr="005E763C" w:rsidRDefault="00112AA2" w:rsidP="00112AA2">
            <w:pPr>
              <w:widowControl w:val="0"/>
              <w:shd w:val="clear" w:color="auto" w:fill="FFFFFF"/>
              <w:autoSpaceDE w:val="0"/>
              <w:autoSpaceDN w:val="0"/>
              <w:adjustRightInd w:val="0"/>
              <w:rPr>
                <w:rFonts w:ascii="Times New Roman" w:hAnsi="Times New Roman"/>
                <w:sz w:val="24"/>
                <w:szCs w:val="24"/>
              </w:rPr>
            </w:pPr>
            <w:r>
              <w:rPr>
                <w:rFonts w:ascii="Times New Roman" w:hAnsi="Times New Roman"/>
                <w:b/>
                <w:bCs/>
                <w:color w:val="000000"/>
                <w:spacing w:val="-2"/>
                <w:sz w:val="16"/>
                <w:szCs w:val="16"/>
              </w:rPr>
              <w:t>P</w:t>
            </w:r>
            <w:r w:rsidRPr="00576C1D">
              <w:rPr>
                <w:rFonts w:ascii="Times New Roman" w:hAnsi="Times New Roman"/>
                <w:b/>
                <w:bCs/>
                <w:color w:val="000000"/>
                <w:spacing w:val="-2"/>
                <w:sz w:val="16"/>
                <w:szCs w:val="16"/>
              </w:rPr>
              <w:t>rioritetna os</w:t>
            </w:r>
          </w:p>
        </w:tc>
        <w:tc>
          <w:tcPr>
            <w:tcW w:w="10745" w:type="dxa"/>
            <w:vAlign w:val="center"/>
          </w:tcPr>
          <w:p w:rsidR="00112AA2" w:rsidRPr="005E763C" w:rsidRDefault="00112AA2" w:rsidP="00112AA2">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6"/>
                <w:szCs w:val="16"/>
              </w:rPr>
              <w:t>- Jačanje gospodarstva primjenom istraživanja i inovacija</w:t>
            </w:r>
          </w:p>
        </w:tc>
      </w:tr>
      <w:tr w:rsidR="00112AA2" w:rsidRPr="005E763C" w:rsidTr="00112AA2">
        <w:tc>
          <w:tcPr>
            <w:tcW w:w="15276" w:type="dxa"/>
            <w:gridSpan w:val="2"/>
            <w:vAlign w:val="center"/>
          </w:tcPr>
          <w:p w:rsidR="00112AA2" w:rsidRPr="005E763C" w:rsidRDefault="00112AA2" w:rsidP="004229A4">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color w:val="000000"/>
                <w:spacing w:val="1"/>
                <w:sz w:val="24"/>
                <w:szCs w:val="24"/>
              </w:rPr>
              <w:t>Unutar investicijskog prioriteta 1a također je potrebno pružiti potporu jačanju kapaciteta potencijalnih korisnika pripremom visokokvalitetnih projekata kako bi korisnici mogli dobiti potporu od EFRR-a za predviđena ulaganja u opremu i IRI infrastrukturu. Pretpostavlja se da korisnici predloženih aktivnosti nemaju kapacitete i vještine potrebne da samostalno pripreme visokokvalitetnu projektnu dokumentaciju i svu potrebnu tehničku dokumentaciju potrebnu da bi se prijavili i dobili sredstva za IRI ulaganja. Nadalje, tehnička pomoć je potrebna</w:t>
            </w:r>
            <w:r w:rsidRPr="00112AA2">
              <w:rPr>
                <w:rFonts w:ascii="Times New Roman" w:hAnsi="Times New Roman"/>
                <w:color w:val="000000"/>
                <w:spacing w:val="1"/>
                <w:sz w:val="24"/>
                <w:szCs w:val="24"/>
              </w:rPr>
              <w:t>za studije, analize, troškove i administrativne poslove uključenih nadležnih tijela i korisnika. Ovim će se aktivnostima osigurati pravovremeno i učinkovito upravljanje infrastrukturnim projektima u razdoblju 2014. - 2020.</w:t>
            </w:r>
          </w:p>
        </w:tc>
      </w:tr>
    </w:tbl>
    <w:p w:rsidR="00112AA2" w:rsidRPr="00576C1D" w:rsidRDefault="00112AA2" w:rsidP="00FC3F35">
      <w:pPr>
        <w:widowControl w:val="0"/>
        <w:shd w:val="clear" w:color="auto" w:fill="FFFFFF"/>
        <w:autoSpaceDE w:val="0"/>
        <w:autoSpaceDN w:val="0"/>
        <w:adjustRightInd w:val="0"/>
        <w:spacing w:before="504" w:after="240" w:line="278" w:lineRule="exact"/>
        <w:ind w:left="1392" w:hanging="854"/>
        <w:rPr>
          <w:rFonts w:ascii="Times New Roman" w:eastAsia="Times New Roman" w:hAnsi="Times New Roman" w:cs="Times New Roman"/>
          <w:sz w:val="20"/>
          <w:szCs w:val="20"/>
          <w:lang w:eastAsia="hr-HR"/>
        </w:rPr>
        <w:sectPr w:rsidR="00112AA2" w:rsidRPr="00576C1D">
          <w:pgSz w:w="16834" w:h="11909" w:orient="landscape"/>
          <w:pgMar w:top="1162"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1"/>
          <w:sz w:val="24"/>
          <w:szCs w:val="24"/>
          <w:lang w:eastAsia="hr-HR"/>
        </w:rPr>
      </w:pPr>
    </w:p>
    <w:p w:rsidR="00FC3F35"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2.A.I Prioritetna os</w:t>
      </w:r>
    </w:p>
    <w:tbl>
      <w:tblPr>
        <w:tblStyle w:val="TableGrid"/>
        <w:tblW w:w="0" w:type="auto"/>
        <w:tblInd w:w="108" w:type="dxa"/>
        <w:tblLook w:val="04A0" w:firstRow="1" w:lastRow="0" w:firstColumn="1" w:lastColumn="0" w:noHBand="0" w:noVBand="1"/>
      </w:tblPr>
      <w:tblGrid>
        <w:gridCol w:w="4423"/>
        <w:gridCol w:w="10745"/>
      </w:tblGrid>
      <w:tr w:rsidR="00112000" w:rsidRPr="00112000" w:rsidTr="00112000">
        <w:trPr>
          <w:trHeight w:val="450"/>
        </w:trPr>
        <w:tc>
          <w:tcPr>
            <w:tcW w:w="4423" w:type="dxa"/>
          </w:tcPr>
          <w:p w:rsidR="00112000" w:rsidRPr="00112000" w:rsidRDefault="00112000" w:rsidP="004229A4">
            <w:pPr>
              <w:rPr>
                <w:rFonts w:ascii="Times New Roman" w:hAnsi="Times New Roman"/>
                <w:sz w:val="24"/>
                <w:szCs w:val="24"/>
              </w:rPr>
            </w:pPr>
            <w:r w:rsidRPr="00112000">
              <w:rPr>
                <w:rFonts w:ascii="Times New Roman" w:hAnsi="Times New Roman"/>
                <w:sz w:val="24"/>
                <w:szCs w:val="24"/>
              </w:rPr>
              <w:t>Oznaka Prioritetne osi</w:t>
            </w:r>
          </w:p>
        </w:tc>
        <w:tc>
          <w:tcPr>
            <w:tcW w:w="10745" w:type="dxa"/>
          </w:tcPr>
          <w:p w:rsidR="00112000" w:rsidRPr="00112000" w:rsidRDefault="00112000" w:rsidP="004229A4">
            <w:pPr>
              <w:rPr>
                <w:rFonts w:ascii="Times New Roman" w:hAnsi="Times New Roman"/>
                <w:sz w:val="24"/>
                <w:szCs w:val="24"/>
              </w:rPr>
            </w:pPr>
          </w:p>
        </w:tc>
      </w:tr>
      <w:tr w:rsidR="00112000" w:rsidRPr="00112000" w:rsidTr="00112000">
        <w:trPr>
          <w:trHeight w:val="354"/>
        </w:trPr>
        <w:tc>
          <w:tcPr>
            <w:tcW w:w="4423" w:type="dxa"/>
          </w:tcPr>
          <w:p w:rsidR="00112000" w:rsidRPr="00112000" w:rsidRDefault="00112000" w:rsidP="004229A4">
            <w:pPr>
              <w:rPr>
                <w:rFonts w:ascii="Times New Roman" w:hAnsi="Times New Roman"/>
                <w:sz w:val="24"/>
                <w:szCs w:val="24"/>
              </w:rPr>
            </w:pPr>
            <w:r w:rsidRPr="00112000">
              <w:rPr>
                <w:rFonts w:ascii="Times New Roman" w:hAnsi="Times New Roman"/>
                <w:sz w:val="24"/>
                <w:szCs w:val="24"/>
              </w:rPr>
              <w:t>Naziv Prioritetne osi</w:t>
            </w:r>
          </w:p>
        </w:tc>
        <w:tc>
          <w:tcPr>
            <w:tcW w:w="10745" w:type="dxa"/>
          </w:tcPr>
          <w:p w:rsidR="00112000" w:rsidRPr="00112000" w:rsidRDefault="00112000" w:rsidP="004229A4">
            <w:pPr>
              <w:rPr>
                <w:rFonts w:ascii="Times New Roman" w:hAnsi="Times New Roman"/>
                <w:sz w:val="24"/>
                <w:szCs w:val="24"/>
              </w:rPr>
            </w:pPr>
            <w:r w:rsidRPr="00112000">
              <w:rPr>
                <w:rFonts w:ascii="Times New Roman" w:hAnsi="Times New Roman"/>
                <w:color w:val="000000"/>
                <w:spacing w:val="-1"/>
                <w:sz w:val="24"/>
                <w:szCs w:val="24"/>
              </w:rPr>
              <w:t>Korištenje informacijske i komunikacijske tehnologije</w:t>
            </w:r>
          </w:p>
        </w:tc>
      </w:tr>
    </w:tbl>
    <w:p w:rsidR="00112000" w:rsidRPr="00576C1D" w:rsidRDefault="00112000"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isključivo putem financijskih instrumenata uspostavljenih na razini Unije</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putem lokalnog razvoja koji vodi zajednica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Za ESF: Cjelokupna prioritetna os posvećena je društvenoj inovaciji ili međudržavnoj suradnji, ili oboje</w:t>
      </w:r>
    </w:p>
    <w:p w:rsidR="00FC3F35" w:rsidRPr="00576C1D" w:rsidRDefault="00FC3F35" w:rsidP="00FC3F35">
      <w:pPr>
        <w:widowControl w:val="0"/>
        <w:shd w:val="clear" w:color="auto" w:fill="FFFFFF"/>
        <w:autoSpaceDE w:val="0"/>
        <w:autoSpaceDN w:val="0"/>
        <w:adjustRightInd w:val="0"/>
        <w:spacing w:before="518" w:after="0" w:line="274" w:lineRule="exact"/>
        <w:ind w:left="542" w:right="13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2.A.2 Opravdavanje za uspostavu prioritetne osi koja obuhvaća više od jedne kategorije regija, tematskog cilja ili fonda </w:t>
      </w:r>
      <w:r w:rsidRPr="00576C1D">
        <w:rPr>
          <w:rFonts w:ascii="Times New Roman" w:eastAsia="Times New Roman" w:hAnsi="Times New Roman" w:cs="Times New Roman"/>
          <w:bCs/>
          <w:color w:val="000000"/>
          <w:spacing w:val="-1"/>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2.A.3 Fond, kategorija regije i osnovica za obračun potpore Unije</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Obračunska osnovica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Kategorija regije za najudaljenije regije i sjeverne rijetko naseljene regije (po potrebi)</w:t>
            </w:r>
          </w:p>
        </w:tc>
      </w:tr>
      <w:tr w:rsidR="00FC3F35" w:rsidRPr="00576C1D" w:rsidTr="00FC3F35">
        <w:trPr>
          <w:trHeight w:hRule="exact" w:val="47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EFRR</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Manje razvijena</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Ukupno</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566" w:line="1" w:lineRule="exact"/>
        <w:rPr>
          <w:rFonts w:ascii="Times New Roman" w:eastAsia="Times New Roman" w:hAnsi="Times New Roman" w:cs="Times New Roman"/>
          <w:sz w:val="2"/>
          <w:szCs w:val="2"/>
          <w:lang w:eastAsia="hr-HR"/>
        </w:rPr>
      </w:pPr>
    </w:p>
    <w:tbl>
      <w:tblPr>
        <w:tblW w:w="15985" w:type="dxa"/>
        <w:tblInd w:w="40" w:type="dxa"/>
        <w:tblLayout w:type="fixed"/>
        <w:tblCellMar>
          <w:left w:w="40" w:type="dxa"/>
          <w:right w:w="40" w:type="dxa"/>
        </w:tblCellMar>
        <w:tblLook w:val="0000" w:firstRow="0" w:lastRow="0" w:firstColumn="0" w:lastColumn="0" w:noHBand="0" w:noVBand="0"/>
      </w:tblPr>
      <w:tblGrid>
        <w:gridCol w:w="3544"/>
        <w:gridCol w:w="864"/>
        <w:gridCol w:w="3072"/>
        <w:gridCol w:w="1834"/>
        <w:gridCol w:w="758"/>
        <w:gridCol w:w="317"/>
        <w:gridCol w:w="1584"/>
        <w:gridCol w:w="691"/>
        <w:gridCol w:w="576"/>
        <w:gridCol w:w="1430"/>
        <w:gridCol w:w="1315"/>
      </w:tblGrid>
      <w:tr w:rsidR="00FC3F35" w:rsidRPr="00576C1D" w:rsidTr="00FC3F35">
        <w:trPr>
          <w:trHeight w:hRule="exact" w:val="346"/>
        </w:trPr>
        <w:tc>
          <w:tcPr>
            <w:tcW w:w="354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86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7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3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5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1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8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9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7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430"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15"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3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 xml:space="preserve">Oznaka investicijskog prioriteta </w:t>
            </w:r>
          </w:p>
        </w:tc>
        <w:tc>
          <w:tcPr>
            <w:tcW w:w="864"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2a</w:t>
            </w:r>
          </w:p>
        </w:tc>
        <w:tc>
          <w:tcPr>
            <w:tcW w:w="307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3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5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1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8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9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7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43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15"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55"/>
        </w:trPr>
        <w:tc>
          <w:tcPr>
            <w:tcW w:w="3544" w:type="dxa"/>
            <w:tcBorders>
              <w:top w:val="single" w:sz="6" w:space="0" w:color="auto"/>
              <w:left w:val="single" w:sz="6" w:space="0" w:color="auto"/>
              <w:bottom w:val="single" w:sz="4"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Naslov investicijskog prioriteta</w:t>
            </w:r>
          </w:p>
        </w:tc>
        <w:tc>
          <w:tcPr>
            <w:tcW w:w="12441" w:type="dxa"/>
            <w:gridSpan w:val="10"/>
            <w:tcBorders>
              <w:top w:val="single" w:sz="6" w:space="0" w:color="auto"/>
              <w:left w:val="single" w:sz="6" w:space="0" w:color="auto"/>
              <w:bottom w:val="single" w:sz="4"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Daljnji razvoj širokopojasnog pristupa i iskorak prema mrežama velikih brzina i podrška prihvaćanju novih tehnologija i mreža za digitalno gospodarstvo</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num="3" w:space="720" w:equalWidth="0">
            <w:col w:w="720" w:space="6989"/>
            <w:col w:w="720" w:space="6605"/>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2.A.5 Specifični ciljevi koji odgovaraju investicijskom prioritetu i očekivanim rezultatima</w:t>
      </w:r>
    </w:p>
    <w:tbl>
      <w:tblPr>
        <w:tblStyle w:val="TableGrid"/>
        <w:tblW w:w="0" w:type="auto"/>
        <w:tblInd w:w="108" w:type="dxa"/>
        <w:tblLook w:val="04A0" w:firstRow="1" w:lastRow="0" w:firstColumn="1" w:lastColumn="0" w:noHBand="0" w:noVBand="1"/>
      </w:tblPr>
      <w:tblGrid>
        <w:gridCol w:w="4423"/>
        <w:gridCol w:w="10745"/>
      </w:tblGrid>
      <w:tr w:rsidR="00112000" w:rsidRPr="00576C1D" w:rsidTr="004229A4">
        <w:tc>
          <w:tcPr>
            <w:tcW w:w="4423" w:type="dxa"/>
          </w:tcPr>
          <w:p w:rsidR="00112000" w:rsidRPr="00112000" w:rsidRDefault="00112000" w:rsidP="004229A4">
            <w:pPr>
              <w:widowControl w:val="0"/>
              <w:shd w:val="clear" w:color="auto" w:fill="FFFFFF"/>
              <w:autoSpaceDE w:val="0"/>
              <w:autoSpaceDN w:val="0"/>
              <w:adjustRightInd w:val="0"/>
              <w:spacing w:before="178" w:after="125"/>
              <w:ind w:left="643"/>
              <w:rPr>
                <w:rFonts w:ascii="Times New Roman" w:hAnsi="Times New Roman"/>
                <w:sz w:val="24"/>
                <w:szCs w:val="24"/>
              </w:rPr>
            </w:pPr>
            <w:r w:rsidRPr="00112000">
              <w:rPr>
                <w:rFonts w:ascii="Times New Roman" w:hAnsi="Times New Roman"/>
                <w:b/>
                <w:bCs/>
                <w:color w:val="000000"/>
                <w:sz w:val="24"/>
                <w:szCs w:val="24"/>
              </w:rPr>
              <w:t>Oznaka specifičnog cilja</w:t>
            </w:r>
          </w:p>
          <w:p w:rsidR="00112000" w:rsidRPr="00112000" w:rsidRDefault="00112000" w:rsidP="004229A4">
            <w:pPr>
              <w:rPr>
                <w:rFonts w:ascii="Times New Roman" w:hAnsi="Times New Roman"/>
                <w:sz w:val="24"/>
                <w:szCs w:val="24"/>
              </w:rPr>
            </w:pPr>
          </w:p>
        </w:tc>
        <w:tc>
          <w:tcPr>
            <w:tcW w:w="10745" w:type="dxa"/>
          </w:tcPr>
          <w:p w:rsidR="00112000" w:rsidRPr="00112000" w:rsidRDefault="00112000" w:rsidP="004229A4">
            <w:pPr>
              <w:rPr>
                <w:rFonts w:ascii="Times New Roman" w:hAnsi="Times New Roman"/>
                <w:sz w:val="24"/>
                <w:szCs w:val="24"/>
              </w:rPr>
            </w:pPr>
            <w:r w:rsidRPr="00112000">
              <w:rPr>
                <w:rFonts w:ascii="Times New Roman" w:hAnsi="Times New Roman"/>
                <w:sz w:val="24"/>
                <w:szCs w:val="24"/>
              </w:rPr>
              <w:t>2a</w:t>
            </w:r>
          </w:p>
        </w:tc>
      </w:tr>
      <w:tr w:rsidR="00112000" w:rsidRPr="00576C1D" w:rsidTr="004229A4">
        <w:tc>
          <w:tcPr>
            <w:tcW w:w="4423" w:type="dxa"/>
          </w:tcPr>
          <w:p w:rsidR="00112000" w:rsidRPr="00112000" w:rsidRDefault="00112000" w:rsidP="004229A4">
            <w:pPr>
              <w:rPr>
                <w:rFonts w:ascii="Times New Roman" w:hAnsi="Times New Roman"/>
                <w:sz w:val="24"/>
                <w:szCs w:val="24"/>
              </w:rPr>
            </w:pPr>
            <w:r w:rsidRPr="00112000">
              <w:rPr>
                <w:rFonts w:ascii="Times New Roman" w:hAnsi="Times New Roman"/>
                <w:b/>
                <w:bCs/>
                <w:color w:val="000000"/>
                <w:sz w:val="24"/>
                <w:szCs w:val="24"/>
              </w:rPr>
              <w:t>Naslov specifičnog cilja</w:t>
            </w:r>
          </w:p>
        </w:tc>
        <w:tc>
          <w:tcPr>
            <w:tcW w:w="10745" w:type="dxa"/>
          </w:tcPr>
          <w:p w:rsidR="00112000" w:rsidRPr="00112000" w:rsidRDefault="00112000" w:rsidP="004229A4">
            <w:pPr>
              <w:rPr>
                <w:rFonts w:ascii="Times New Roman" w:hAnsi="Times New Roman"/>
                <w:sz w:val="24"/>
                <w:szCs w:val="24"/>
              </w:rPr>
            </w:pPr>
            <w:r w:rsidRPr="00112000">
              <w:rPr>
                <w:rFonts w:ascii="Times New Roman" w:hAnsi="Times New Roman"/>
                <w:color w:val="000000"/>
                <w:spacing w:val="-2"/>
                <w:sz w:val="24"/>
                <w:szCs w:val="24"/>
              </w:rPr>
              <w:t>Daljnji razvoj širokopojasnog pristupa i iskorak prema mrežama velikih brzina i podrška prihvaćanju novih tehnologija i mreža za digitalno gospodarstvo</w:t>
            </w:r>
          </w:p>
        </w:tc>
      </w:tr>
      <w:tr w:rsidR="00112000" w:rsidRPr="00576C1D" w:rsidTr="004229A4">
        <w:tc>
          <w:tcPr>
            <w:tcW w:w="4423" w:type="dxa"/>
          </w:tcPr>
          <w:p w:rsidR="00112000" w:rsidRPr="00112000" w:rsidRDefault="00112000" w:rsidP="004229A4">
            <w:pPr>
              <w:rPr>
                <w:rFonts w:ascii="Times New Roman" w:hAnsi="Times New Roman"/>
                <w:b/>
                <w:bCs/>
                <w:color w:val="000000"/>
                <w:sz w:val="24"/>
                <w:szCs w:val="24"/>
              </w:rPr>
            </w:pPr>
            <w:r w:rsidRPr="00112000">
              <w:rPr>
                <w:rFonts w:ascii="Times New Roman" w:hAnsi="Times New Roman"/>
                <w:b/>
                <w:bCs/>
                <w:color w:val="000000"/>
                <w:spacing w:val="-1"/>
                <w:sz w:val="24"/>
                <w:szCs w:val="24"/>
              </w:rPr>
              <w:t>Rezultati koje države članice žele postići uz potporu Unije</w:t>
            </w:r>
          </w:p>
        </w:tc>
        <w:tc>
          <w:tcPr>
            <w:tcW w:w="10745" w:type="dxa"/>
          </w:tcPr>
          <w:p w:rsidR="00112000" w:rsidRPr="00112000" w:rsidRDefault="00112000" w:rsidP="004229A4">
            <w:pPr>
              <w:rPr>
                <w:rFonts w:ascii="Times New Roman" w:hAnsi="Times New Roman"/>
                <w:sz w:val="24"/>
                <w:szCs w:val="24"/>
              </w:rPr>
            </w:pPr>
            <w:r w:rsidRPr="00112000">
              <w:rPr>
                <w:rFonts w:ascii="Times New Roman" w:hAnsi="Times New Roman"/>
                <w:sz w:val="24"/>
                <w:szCs w:val="24"/>
              </w:rPr>
              <w:t>S obzirom na relevantna pravila za primjenu državnih potpora u sektoru širokopojasnih mreža, ovaj specifični cilj općenito podržava ulaganja u širokopojasnu infrastrukturu sljedeće generacije (eng. NGN – NextGenerationNetworks) u područjima bez širokopojasne infrastrukture sljedeće generacije i bez dovoljnog tržišnog interesa za ulaganja u takvu infrastrukturu od strane operatora na tržištu elektroničkih komunikacija (tzv. bijela i siva područja mreža sljedeće generacije).</w:t>
            </w:r>
          </w:p>
          <w:p w:rsidR="00112000" w:rsidRPr="00112000" w:rsidRDefault="00112000" w:rsidP="004229A4">
            <w:pPr>
              <w:rPr>
                <w:rFonts w:ascii="Times New Roman" w:hAnsi="Times New Roman"/>
                <w:sz w:val="24"/>
                <w:szCs w:val="24"/>
              </w:rPr>
            </w:pPr>
            <w:r w:rsidRPr="00112000">
              <w:rPr>
                <w:rFonts w:ascii="Times New Roman" w:hAnsi="Times New Roman"/>
                <w:sz w:val="24"/>
                <w:szCs w:val="24"/>
              </w:rPr>
              <w:t>Cilj će se postići aktivnostima usmjerenim na razvoj agregacijskih (eng. backhaul) mreža sljedeće generacije u bijelim i sivim područjima mreža sljedeće generacije, i na razvoj pristupnih mreža (s pristupom sljedeće generacije (eng. NGA – NextGeneration Access) s brzinama od najmanje 30 Mbit/s - 100 Mbit/s) u bijelim područjima (potpuni tržišni neuspjeh) za kućanstva, poduzeća i javne ustanove. Provedba aktivnosti u sivim zonama agregacijskih mreža sljedeće generacije potrebna je zbog tržišnog neuspjeha, budući da se u tim područjima pružaju samo neadekvatne agregacijske usluge mreža sljedeće generacije od strane bivšeg monopolističkog operatora (eng. incumbent).</w:t>
            </w:r>
          </w:p>
          <w:p w:rsidR="00112000" w:rsidRPr="00112000" w:rsidRDefault="00112000" w:rsidP="004229A4">
            <w:pPr>
              <w:rPr>
                <w:rFonts w:ascii="Times New Roman" w:hAnsi="Times New Roman"/>
                <w:sz w:val="24"/>
                <w:szCs w:val="24"/>
              </w:rPr>
            </w:pPr>
            <w:r w:rsidRPr="00112000">
              <w:rPr>
                <w:rFonts w:ascii="Times New Roman" w:hAnsi="Times New Roman"/>
                <w:sz w:val="24"/>
                <w:szCs w:val="24"/>
              </w:rPr>
              <w:t>Uzevši u obzir razinu raspoloživog sufinanciranja iz EFRR-a i nacionalnog sufinanciranja, te kako bi se osiguralo da ulaganja u širokopojasnu infrastrukturu sljedeće generacije imaju maksimalni poticajni učinak, ulaganja unutar ovog cilja bit će usmjerena na ostvarenje pristupa za većinu javnih ustanova. Zbog svoje društvene i gospodarske uloge, prioritet će imati ostvarenje veza za urede javne uprave te obrazovne, zdravstvene, sudske i kulturne ustanove. Naravno, ovo znači da će doći do geografske koncentracije ulaganja u regionalna i upravna središta jedinica lokalne samouprave gdje je koncentracija ciljanih javnih ustanova najveća. Drugi će prioritet imati aktivnosti ostvarenja veza za poslovne zone, poduzetničke potporne institucije i poduzeća.</w:t>
            </w:r>
          </w:p>
          <w:p w:rsidR="00112000" w:rsidRPr="00112000" w:rsidRDefault="00112000" w:rsidP="004229A4">
            <w:pPr>
              <w:rPr>
                <w:rFonts w:ascii="Times New Roman" w:hAnsi="Times New Roman"/>
                <w:sz w:val="24"/>
                <w:szCs w:val="24"/>
              </w:rPr>
            </w:pPr>
            <w:r w:rsidRPr="00112000">
              <w:rPr>
                <w:rFonts w:ascii="Times New Roman" w:hAnsi="Times New Roman"/>
                <w:sz w:val="24"/>
                <w:szCs w:val="24"/>
              </w:rPr>
              <w:t>Glavni očekivani rezultat koji će se postići korištenjem financiranja iz EFRR-a unutar ovog specifičnog cilja je povećanje nacionalne pokrivenosti širokopojasnom mrežom sljedeće generacije do 2023. godine kroz tri ključne komponente:</w:t>
            </w:r>
          </w:p>
          <w:p w:rsidR="00112000" w:rsidRPr="00112000" w:rsidRDefault="00112000" w:rsidP="004229A4">
            <w:pPr>
              <w:rPr>
                <w:rFonts w:ascii="Times New Roman" w:hAnsi="Times New Roman"/>
                <w:sz w:val="24"/>
                <w:szCs w:val="24"/>
              </w:rPr>
            </w:pPr>
          </w:p>
          <w:p w:rsidR="00112000" w:rsidRPr="00112000" w:rsidRDefault="00112000" w:rsidP="004229A4">
            <w:pPr>
              <w:rPr>
                <w:rFonts w:ascii="Times New Roman" w:hAnsi="Times New Roman"/>
                <w:color w:val="000000"/>
                <w:spacing w:val="-1"/>
                <w:sz w:val="24"/>
                <w:szCs w:val="24"/>
              </w:rPr>
            </w:pPr>
            <w:r w:rsidRPr="00112000">
              <w:rPr>
                <w:rFonts w:ascii="Times New Roman" w:hAnsi="Times New Roman"/>
                <w:sz w:val="24"/>
                <w:szCs w:val="24"/>
              </w:rPr>
              <w:t>•    Ostvarenjem pokrivenosti agregacijskim mrežama sljedeće generacije barem 350 središnjih naselja u jedinicama lokalne samouprave u bijelim i sivim područjima mreža sljedeće generacije</w:t>
            </w:r>
            <w:r w:rsidRPr="00112000">
              <w:rPr>
                <w:rFonts w:ascii="Times New Roman" w:hAnsi="Times New Roman"/>
                <w:color w:val="000000"/>
                <w:spacing w:val="-1"/>
                <w:sz w:val="24"/>
                <w:szCs w:val="24"/>
              </w:rPr>
              <w:t xml:space="preserve"> što je preduvjet daljnjeg razvoja pristupnih mreža sljedeće generacije•</w:t>
            </w:r>
            <w:r w:rsidRPr="00112000">
              <w:rPr>
                <w:rFonts w:ascii="Times New Roman" w:hAnsi="Times New Roman"/>
                <w:color w:val="000000"/>
                <w:spacing w:val="-1"/>
                <w:sz w:val="24"/>
                <w:szCs w:val="24"/>
              </w:rPr>
              <w:tab/>
              <w:t xml:space="preserve">Povećanjem nacionalne pokrivenosti pristupnom mrežom sljedeće generacije za dodatnih 12% stanovništva, podrškom širenju priključaka pristupne mreže </w:t>
            </w:r>
            <w:r w:rsidRPr="00112000">
              <w:rPr>
                <w:rFonts w:ascii="Times New Roman" w:hAnsi="Times New Roman"/>
                <w:color w:val="000000"/>
                <w:spacing w:val="-1"/>
                <w:sz w:val="24"/>
                <w:szCs w:val="24"/>
              </w:rPr>
              <w:lastRenderedPageBreak/>
              <w:t>sljedeće generacije za kućanstva, poslovne zone, poduzetničke potporne institucije i poduzeća (s barem 30 Mbit/s - 100 Mbit/s) u naseljima koja se nalaze u bijelim područjima mreža sljedeće generacije, s najvećim učinkom na poslovne aktivnosti u ovim naseljima.</w:t>
            </w:r>
          </w:p>
          <w:p w:rsidR="00112000" w:rsidRPr="00112000" w:rsidRDefault="00112000" w:rsidP="004229A4">
            <w:pPr>
              <w:rPr>
                <w:rFonts w:ascii="Times New Roman" w:hAnsi="Times New Roman"/>
                <w:color w:val="000000"/>
                <w:spacing w:val="-1"/>
                <w:sz w:val="24"/>
                <w:szCs w:val="24"/>
              </w:rPr>
            </w:pPr>
            <w:r w:rsidRPr="00112000">
              <w:rPr>
                <w:rFonts w:ascii="Times New Roman" w:hAnsi="Times New Roman"/>
                <w:color w:val="000000"/>
                <w:spacing w:val="-1"/>
                <w:sz w:val="24"/>
                <w:szCs w:val="24"/>
              </w:rPr>
              <w:t>•</w:t>
            </w:r>
            <w:r w:rsidRPr="00112000">
              <w:rPr>
                <w:rFonts w:ascii="Times New Roman" w:hAnsi="Times New Roman"/>
                <w:color w:val="000000"/>
                <w:spacing w:val="-1"/>
                <w:sz w:val="24"/>
                <w:szCs w:val="24"/>
              </w:rPr>
              <w:tab/>
              <w:t>Osiguranjem priključaka do svih ciljanih javnih ustanova u bijelim i sivim područjima mreža sljedeće generacije.</w:t>
            </w:r>
          </w:p>
          <w:p w:rsidR="00112000" w:rsidRPr="00112000" w:rsidRDefault="00112000" w:rsidP="004229A4">
            <w:pPr>
              <w:rPr>
                <w:rFonts w:ascii="Times New Roman" w:hAnsi="Times New Roman"/>
                <w:sz w:val="24"/>
                <w:szCs w:val="24"/>
              </w:rPr>
            </w:pPr>
            <w:r w:rsidRPr="00112000">
              <w:rPr>
                <w:rFonts w:ascii="Times New Roman" w:hAnsi="Times New Roman"/>
                <w:color w:val="000000"/>
                <w:spacing w:val="-1"/>
                <w:sz w:val="24"/>
                <w:szCs w:val="24"/>
              </w:rPr>
              <w:t>Druge očekivane koristi obuhvaćaju poticanje potražnje za širokopojasnom povezanošću, podrška razvoju digitalnog gospodarstva (kao posljedica porasta broja kućanstava i javnih ustanova pokrivenih mrežom sljedeće generacije) i u široj gospodarskoj perspektivi također porast investicijskih prilika za lokalne MSP-ove i vanjske tvrtke. Rezultati ovog specifičnog cilja izravno doprinose postizanju općih ciljeva Digitalne agende za Europu i nacionalnih širokopojasnih ciljeva u pogledu pokrivenosti širokopojasnim mrežama velikih brzina do 2020. godine.</w:t>
            </w:r>
          </w:p>
        </w:tc>
      </w:tr>
    </w:tbl>
    <w:p w:rsidR="00B201EA" w:rsidRDefault="00B201EA"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Tablica 3: Pokazatelji rezultata za pojedine programe, prema specifičnom cilju (za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672"/>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Razvoj širokopojasne infrastrukture mreža sljedeće generacije (NGN) za maksimalno povećanje socijalne i gospodarske koristi</w:t>
            </w:r>
          </w:p>
          <w:p w:rsidR="00FC3F35" w:rsidRPr="00576C1D" w:rsidRDefault="00FC3F35" w:rsidP="00FC3F35">
            <w:pPr>
              <w:widowControl w:val="0"/>
              <w:shd w:val="clear" w:color="auto" w:fill="FFFFFF"/>
              <w:autoSpaceDE w:val="0"/>
              <w:autoSpaceDN w:val="0"/>
              <w:adjustRightInd w:val="0"/>
              <w:spacing w:after="0" w:line="206" w:lineRule="exact"/>
              <w:ind w:right="14"/>
              <w:rPr>
                <w:rFonts w:ascii="Times New Roman" w:eastAsia="Times New Roman" w:hAnsi="Times New Roman" w:cs="Times New Roman"/>
                <w:sz w:val="20"/>
                <w:szCs w:val="20"/>
                <w:lang w:eastAsia="hr-HR"/>
              </w:rPr>
            </w:pP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79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0"/>
                <w:sz w:val="16"/>
                <w:szCs w:val="16"/>
                <w:lang w:eastAsia="hr-HR"/>
              </w:rPr>
              <w:t>2all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Ukupna pokrivenost pristupnim mrežama sljedeće generacije (kao % kućanstava)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kućanstava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33,00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45,00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78"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xml:space="preserve"> Prikaz pokazatelja DAE-a (Digitalna agenda Europe),, Državni zavod za statistiku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4" w:right="541" w:bottom="360" w:left="540" w:header="720" w:footer="720" w:gutter="0"/>
          <w:cols w:num="3" w:space="720" w:equalWidth="0">
            <w:col w:w="720" w:space="6989"/>
            <w:col w:w="720" w:space="6605"/>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2.A.6 Aktivnosti koje će se podržati u okviru prioriteta ulaganja (po prioritetu ulaganja)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0"/>
        <w:gridCol w:w="10604"/>
      </w:tblGrid>
      <w:tr w:rsidR="004229A4" w:rsidRPr="005E763C" w:rsidTr="004229A4">
        <w:trPr>
          <w:tblHeader/>
        </w:trPr>
        <w:tc>
          <w:tcPr>
            <w:tcW w:w="4530" w:type="dxa"/>
            <w:vAlign w:val="center"/>
          </w:tcPr>
          <w:p w:rsidR="004229A4" w:rsidRPr="005E763C" w:rsidRDefault="004229A4" w:rsidP="004229A4">
            <w:pPr>
              <w:rPr>
                <w:rFonts w:ascii="Times New Roman" w:hAnsi="Times New Roman"/>
                <w:sz w:val="24"/>
                <w:szCs w:val="24"/>
              </w:rPr>
            </w:pPr>
            <w:r w:rsidRPr="00576C1D">
              <w:rPr>
                <w:rFonts w:ascii="Times New Roman" w:hAnsi="Times New Roman"/>
                <w:b/>
                <w:sz w:val="18"/>
                <w:szCs w:val="18"/>
              </w:rPr>
              <w:t>Investicijski prioritet</w:t>
            </w:r>
          </w:p>
        </w:tc>
        <w:tc>
          <w:tcPr>
            <w:tcW w:w="10604" w:type="dxa"/>
            <w:vAlign w:val="center"/>
          </w:tcPr>
          <w:p w:rsidR="004229A4" w:rsidRPr="005E763C" w:rsidRDefault="004229A4" w:rsidP="004229A4">
            <w:pPr>
              <w:rPr>
                <w:rFonts w:ascii="Times New Roman" w:hAnsi="Times New Roman"/>
                <w:sz w:val="24"/>
                <w:szCs w:val="24"/>
              </w:rPr>
            </w:pPr>
            <w:r w:rsidRPr="00576C1D">
              <w:rPr>
                <w:rFonts w:ascii="Times New Roman" w:hAnsi="Times New Roman"/>
                <w:color w:val="000000"/>
                <w:spacing w:val="-1"/>
                <w:sz w:val="18"/>
                <w:szCs w:val="18"/>
              </w:rPr>
              <w:t>2a - Daljnji razvoj širokopojasnog pristupa i iskorak prema mrežama velikih brzina i podrška prihvaćanju novih tehnologija i mreža za digitalno gospodarstvo</w:t>
            </w:r>
          </w:p>
        </w:tc>
      </w:tr>
      <w:tr w:rsidR="004229A4" w:rsidRPr="005E763C" w:rsidTr="004229A4">
        <w:tc>
          <w:tcPr>
            <w:tcW w:w="15134" w:type="dxa"/>
            <w:gridSpan w:val="2"/>
            <w:vAlign w:val="center"/>
          </w:tcPr>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Ovim specifičnim investicijskim prioritetom podržat će se dvije akcije infrastrukturnih ulaganja: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1.</w:t>
            </w:r>
            <w:r w:rsidRPr="00334B1B">
              <w:rPr>
                <w:rFonts w:ascii="Times New Roman" w:hAnsi="Times New Roman"/>
                <w:sz w:val="24"/>
                <w:szCs w:val="24"/>
              </w:rPr>
              <w:tab/>
              <w:t>Financiranje razvoja agregacijskih (backhaul) mreža sljedeće generacije i povezivanje javnih ustanova na mreže sljedeće generacije, u NGN bijelim i sivim područjima – agregacijske mreže sljedeće generacije prikupljaju promet iz pristupnih mreža (mreža nove generacije) prema jezgrenoj mreži i obuhvaćaju dio mreže između prvih koncentracijskih čvorova i čvorova jezgrene mreže (taj dio mreže također se naziva i middle mile). Izravni korisnik ove akcije bit će javno poduzeće zaduženo za projektiranje, izgradnju (putem ugovora o javnoj nabavi) agregacijskih mreža "Odašiljači i veze" (OiV). OiV će biti vlasnik mreže i njome upravljati kao infrastrukturni operator. Međutim, cijelu će agregacijsku mrežu koristiti i drugi operatori. Ciljne skupine unutar javnih ustanova bit će nacionalni, regionalni i lokalni vladini uredi i podružnice, uključujući obrazovne, zdravstvene, kulturne, turističke i pravosudne ustanove.</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2.</w:t>
            </w:r>
            <w:r w:rsidRPr="00334B1B">
              <w:rPr>
                <w:rFonts w:ascii="Times New Roman" w:hAnsi="Times New Roman"/>
                <w:sz w:val="24"/>
                <w:szCs w:val="24"/>
              </w:rPr>
              <w:tab/>
              <w:t>Financiranje razvoja mreža sljedeće generacije (NGN)/pristupih mreža sljedeće generacije (NGA) u bijelim područjima pristupnih mreža sljedeće generacije - pristupne mreže se odnose na dio mreže koji se proteže između krajnjih korisnika (kućanstava, tvrtki i javne ustanove) i prvog koncentracijskog čvora mreže (posljednja milja). Pristupne mreže sljedeće generacije obuhvaćaju sva infrastrukturna i tehnološka rješenja kojima se može pružati brzi/ultrabrzi pristup (više od 30 Mbit/s - 100 Mbit/s), u skladu s definicijama Digitalne agende za Europu (tehnološki neutralno). Jednostavna nadogradnja bakrene infrastrukture, bez uvođenja svjetlovodnih niti bliže krajnjim korisnicima (FTTx), nije obuhvaćena.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Korisnici potpore bit će tijela lokalne i regionalne samouprave (općine, gradovi i županije) u bijelim NGA područjima, dok će građani i tvrtke predstavljati ciljne skupine. Među navedenim ciljnim skupinama, prioritet će imati poslovne zone, poduzetničke poslovne institucije i poduzeća.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Korisnik će odabrati jedan od tri moguća investicijska modela (koje definira Okvirni nacionalni program za razvoj infrastrukture širokopojasnog pristupa u područjima u kojima ne postoji dostatan komercijalni interes za ulaganja - ONP) implementacije projekta pristupne mreže, koji kombiniraju uloge korisnika kao javnih tijela, s ulogom privatnih operatora na tržištu elektroničkih komunikacija u projektima kojima se razvijaju pristupne mreže. Mogu se financirati akcije poput sljedećih:1.</w:t>
            </w:r>
            <w:r w:rsidRPr="00334B1B">
              <w:rPr>
                <w:rFonts w:ascii="Times New Roman" w:hAnsi="Times New Roman"/>
                <w:sz w:val="24"/>
                <w:szCs w:val="24"/>
              </w:rPr>
              <w:tab/>
              <w:t xml:space="preserve"> U modelu privatnog projektiranja, izgradnje i upravljanja (privatni DBO model), gdje će se korisnici potpora osloniti na operatore na tržištu za obavljanje svih aktivnosti vezanih za projektiranje, izgradnju i upravljanje pristupnim mrežama, financiranjem će se pokriti financijski jaz (do maksimalne stope sufinanciranja za prioritetnu os), što je financijska potpora za troškove ulaganja u izgradnju pristupnih mreža, kako bi operatori mogli profitabilno izgraditi i upravljati mrežom. Preostali će udio ulaganja u privatnom DBO modelu biti pokriven od strane operatora. Kod odabira operatora za privatni DBO model, korisnici moraju poštivati propise o javnoj nabavi, kako je specificirano ONP-om.</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2.</w:t>
            </w:r>
            <w:r w:rsidRPr="00334B1B">
              <w:rPr>
                <w:rFonts w:ascii="Times New Roman" w:hAnsi="Times New Roman"/>
                <w:sz w:val="24"/>
                <w:szCs w:val="24"/>
              </w:rPr>
              <w:tab/>
              <w:t>U modelu javnog projektiranja, izgradnje i upravljanja (javni DBO model), korisnici potpora bit će odgovorni za sve aktivnosti vezane za projektiranje, izgradnju i upravljanje pristupnim mrežama. Izgrađena pristupna mreža bit će u javnom vlasništvu i korisnici će njome upravljati isključivo po veleprodajnom poslovnom modelu. Financiranjem će se pokriti svi troškove ulaganja za izgradnju mreže, do utvrđene maksimalne stope sufinanciranja za prioritetnu os.</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lastRenderedPageBreak/>
              <w:t>3.</w:t>
            </w:r>
            <w:r w:rsidRPr="00334B1B">
              <w:rPr>
                <w:rFonts w:ascii="Times New Roman" w:hAnsi="Times New Roman"/>
                <w:sz w:val="24"/>
                <w:szCs w:val="24"/>
              </w:rPr>
              <w:tab/>
              <w:t>U modelu javno-privatnog partnerstva (JPP), korisnik potpora (javni partner) bira operatora (privatnog partnera) koji će izgraditi i upravljati mrežom, u skladu s JPP konceptom. U ovom se modelu mora slijediti nacionalno zakonodavstvo  u području JPP-a, i mrežom se mora upravljati isključivo po veleprodajnom poslovnom modelu. Financiranjem će se pokriti javna potpora za troškove ulaganja u izgradnju pristupne mreže (do maksimalne stope sufinanciranja za prioritetnu os), a preostali će dio pokriti privatni partner u JPP-u.</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Svi projekti za pristupne mreže moraju primijeniti određene veleprodajne obveze i pravila o formiranju cijena, kao i mehanizme povrata prekomjernih potpora (clawback), u skladu s financijskom veličinom projekta, kako je definirano ONP-om.</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Osim toga, uvest će se jedna akcija za pripremu baze projekata. Tom će se aktivnošću pružati pomoć u pripremi projektne dokumentacije, uključujući obrazovanje i razvoj vještina, s ciljem poboljšanja apsorpcijskih kapaciteta potencijalnih korisnika u shemi dodjele bespovratnih sredstava za pristupne mreže sljedeće generacije (općina, gradova i županija).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Prethodno navedene akcije doprinose dostizanju specifičnog cilja na komplementaran način, budući da su usredotočene na razvoj širokopojasne infrastrukture sljedeće generacije u jasno identificiranim zajednicama koje se nalaze u bijelim i sivim područjima mreža sljedeće generacije. Komplementarnost će se postići usklađenom podrškom javnog tijela s ulogom PT-a 1 za obje akcije. PT 1 će voditi računa da su sva bijela područja koja su pokrivena NGA projektima (kroz drugu akciju) već povezana s odgovarajućom NGN agregacijskom mrežom;  ili će takva područja biti pravovremeno povezana unutar projekta NGN agregacijske mreže (kroz prvu akciju).</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Budući da akcije ulaganja u infrastrukturu u ovom investicijskom prioritetu obuhvaćaju državne potpore, akcije su usklađene s odgovarajućim pravilima državnih potpora za širokopojasne mreže u EU-u i Hrvatskoj, što se posebno odnosi na Smjernice za primjenu pravila o državnim potporama za brzi razvoj širokopojasnih mreža (SL C 25/2013). Stoga će obje akcije biti provedene unutar dva Nacionalna programa državnih potpora za razvoj širokopojasne mreže, za pristup iagregacijske mreže (tim redoslijedom):</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1.</w:t>
            </w:r>
            <w:r w:rsidRPr="00334B1B">
              <w:rPr>
                <w:rFonts w:ascii="Times New Roman" w:hAnsi="Times New Roman"/>
                <w:sz w:val="24"/>
                <w:szCs w:val="24"/>
              </w:rPr>
              <w:tab/>
              <w:t xml:space="preserve">Okvirni nacionalni program za razvoj infrastrukture širokopojasnog pristupa u područjima u kojima ne postoji dostatan komercijalni interes za ulaganja – ONP </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2.</w:t>
            </w:r>
            <w:r w:rsidRPr="00334B1B">
              <w:rPr>
                <w:rFonts w:ascii="Times New Roman" w:hAnsi="Times New Roman"/>
                <w:sz w:val="24"/>
                <w:szCs w:val="24"/>
              </w:rPr>
              <w:tab/>
              <w:t xml:space="preserve">Nacionalni program razvoja širokopojasne agregacijske infrastrukture u područjima u kojima ne postoji dostatan komercijalni interes za ulaganja, kao preduvjet razvoja pristupnih mreža novih generacija (NGA) - NP-BBI </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Odobrenja sukladnosti s pravilima državnih potpora, za ONP i NP-BBI, koji postupci su u tijeku usporedno s postupkom programiranja za razdoblje 2014. - 2020., omogućit će provedbu operacija unutar obje akcije ovog investicijskog prioriteta: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1.</w:t>
            </w:r>
            <w:r w:rsidRPr="00334B1B">
              <w:rPr>
                <w:rFonts w:ascii="Times New Roman" w:hAnsi="Times New Roman"/>
                <w:sz w:val="24"/>
                <w:szCs w:val="24"/>
              </w:rPr>
              <w:tab/>
              <w:t>Pristupne mreže (ONP): Korisnici akcije kojom se podržava razvoj pristupnih mreža u okviru programa ONP-a bit će jedinice lokalne  (regionalne) samouprave (općine, gradovi i županije). Budući da se ONP-om propisuju praktična pravila i smjernice za sukladnost s pravilima državnih potpora vezanima uz širokopojasne mreže, time se smanjuje administrativno opterećenje za korisnike pri izvođenju operacija (projekata) u okviru ove akcije, budući da nema potrebe provoditi pojedinačne postupke odobrenja sukladnosti s pravilima državnih potpora za svaki projekt. Nadalje, ONP također propisuje praktična pravila mapiranja postojeće širokopojasne infrastrukture i određivanja ciljanih grupa, što je potrebno kako bi se precizno definirao zemljopisni opseg ciljanih područja obuhvaćenih operacijama (bijela i siva područja). Nacionalna regulatorna agencija (HAKOM) također je razvila interaktivnu kartu širokopojasne infrastrukture koja korisnicima još više olakšava ovaj proces. Razvoj operacija (projekata) unutar ONP-a vodit će i nadzirati javno tijelo, određeno kao davatelj državnih potpora (isto tijelo ima ulogu PT1).</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lastRenderedPageBreak/>
              <w:t>2.</w:t>
            </w:r>
            <w:r w:rsidRPr="00334B1B">
              <w:rPr>
                <w:rFonts w:ascii="Times New Roman" w:hAnsi="Times New Roman"/>
                <w:sz w:val="24"/>
                <w:szCs w:val="24"/>
              </w:rPr>
              <w:tab/>
              <w:t>Agregacijske mreže (NP-BBI): Korisnik akcije kojom se podržava izgradnja agregacijskih mreža unutar programa državne potpore NP-BBI je javno poduzeće "Odašiljači i veze" (OiV), nadležno za projektiranje, izgradnju i upravljanje agregacijskim mrežama. Operacije (projekti) unutar programa NP-BBI neće zahtijevati pojedinačne postupke odobrenja sukladnosti s pravilima državnih potpora. NP-BBI propisuje praktična pravila državnih potpora za precizno određivanje ciljanih bijelih i sivih područja, definiranju veleprodajnih obveza i pravila o formiranju cijena, te implementaciji mehanizma povrata prekomjernih potpora. Razvoj operacija (projekata) unutar NP-BBI-ja vodit će i nadzirati javno tijelo, određeno kao davatelj državnih potpora (isto tijelo ima ulogu PT1).</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 xml:space="preserve">           Interaktivna karta područja dostupnosti širokopojasnog pristupa (http://bbzone.hakom.hr/Home/InteraktivniPreglednik#sthash.vdTM8jlv.Fejp0STw.dpbs)  nacionalne regulatorne agencije (HAKOM) pruža pregled dostupnosti usluga osnovnog pristupa i pristupa sljedeće generacije (brzi i ultrabrzi) diljem Hrvatske (što je potrebno za mapiranjetzv. "bijelih", "sivih" i "crnih" područja).Sinergija će se postići s ulaganjima planiranima u okviru sljedećih tematskih ciljeva i investicijskih prioriteta OPKK-a: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w:t>
            </w:r>
            <w:r w:rsidRPr="00334B1B">
              <w:rPr>
                <w:rFonts w:ascii="Times New Roman" w:hAnsi="Times New Roman"/>
                <w:sz w:val="24"/>
                <w:szCs w:val="24"/>
              </w:rPr>
              <w:tab/>
              <w:t>Tematski cilj 2: Širenjem mreža sljedeće generacije ubrzat će razvoj ICT aplikacija, poput e-uprave, e-zdravstva, e-obrazovanja, e-kulture, e-uključivosti, e-turizma koje imaju potencijal višestruko povećati društveno-gospodarski utjecaj koji se očekuje od IKT-a, čime se naglašava važnost multisektorskih strategija nacionalnog razvoja, a širokopojasni pristup ostaje u prvom planu;</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w:t>
            </w:r>
            <w:r w:rsidRPr="00334B1B">
              <w:rPr>
                <w:rFonts w:ascii="Times New Roman" w:hAnsi="Times New Roman"/>
                <w:sz w:val="24"/>
                <w:szCs w:val="24"/>
              </w:rPr>
              <w:tab/>
              <w:t>Tematski cilj 3 - MSP-ovi trebaju pouzdane pristupne mreže sljedeće generacije kako bi bili konkurentni u sve povezanijem svijetu. Uz dostupnost brzih internetskih veza, usvajanje informacijskih i komunikacijskih tehnologija ključno je za poduzetnike kako bi se smanjili troškovi računalne opreme i usluga, što u konačnici omogućava bolju promociju usluga, aplikacija i lokalnog sadržaja te isporuku vladinih usluga preko interneta (e-uprava). Konkretno, unutar prioriteta ulaganja 3.4. Podupiranje kapaciteta MSP-ova za rast na regionalnim, nacionalnim i međunarodnim tržištima i za pokretanje procesa inovacije predviđaju se aktivnosti kojima se pruža podrška MSP-ovima u uvođenju i provođenju rješenja e-poslovanja koja pomoću IKT-a;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w:t>
            </w:r>
            <w:r w:rsidRPr="00334B1B">
              <w:rPr>
                <w:rFonts w:ascii="Times New Roman" w:hAnsi="Times New Roman"/>
                <w:sz w:val="24"/>
                <w:szCs w:val="24"/>
              </w:rPr>
              <w:tab/>
              <w:t>Tematski cilj 9 (pružanje potpore za javnu društvenu i zdravstvenu infrastrukturu);  10 (poboljšanje infrastrukturnih kapaciteta na pred-visokoškolskoj i visokoškolskoj razini uz poboljšanje obrazovnih standarda i okruženja za studente) i 11 (povećanje učinkovitosti pravosudnog sustava) - uz mogućnost korištenja državnih službi, kako bi se postigla bolja isporuka kvalitetnih državnih službi i na taj način doprinijelo regionalnom i lokalnom razvoju.</w:t>
            </w:r>
          </w:p>
          <w:p w:rsidR="004229A4" w:rsidRPr="005E763C"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E-pismenost i e-vještine, koje su važne za uspjeh širenja širokopojasnog pristupa, bit će posebno obrađene u sklopu Operativnog programa iz područja učinkovitih ljudskih resursa 2014. - 2020., tematskih ciljeva 8, 10 i 11.</w:t>
            </w:r>
          </w:p>
        </w:tc>
      </w:tr>
    </w:tbl>
    <w:p w:rsidR="004229A4" w:rsidRPr="00576C1D" w:rsidRDefault="004229A4"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4229A4" w:rsidRPr="00576C1D">
          <w:pgSz w:w="16834" w:h="11909" w:orient="landscape"/>
          <w:pgMar w:top="1433"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before="1008" w:after="182" w:line="240" w:lineRule="auto"/>
        <w:ind w:left="5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lastRenderedPageBreak/>
        <w:t>2.A.6.2 Vodeća načela za odabir operacija</w:t>
      </w:r>
    </w:p>
    <w:tbl>
      <w:tblPr>
        <w:tblStyle w:val="TableGrid"/>
        <w:tblW w:w="0" w:type="auto"/>
        <w:tblLook w:val="04A0" w:firstRow="1" w:lastRow="0" w:firstColumn="1" w:lastColumn="0" w:noHBand="0" w:noVBand="1"/>
      </w:tblPr>
      <w:tblGrid>
        <w:gridCol w:w="4530"/>
        <w:gridCol w:w="10604"/>
      </w:tblGrid>
      <w:tr w:rsidR="004229A4" w:rsidRPr="005E763C" w:rsidTr="004229A4">
        <w:trPr>
          <w:tblHeader/>
        </w:trPr>
        <w:tc>
          <w:tcPr>
            <w:tcW w:w="4530" w:type="dxa"/>
            <w:vAlign w:val="center"/>
          </w:tcPr>
          <w:p w:rsidR="004229A4" w:rsidRPr="005E763C" w:rsidRDefault="004229A4" w:rsidP="004229A4">
            <w:pPr>
              <w:rPr>
                <w:rFonts w:ascii="Times New Roman" w:hAnsi="Times New Roman"/>
                <w:sz w:val="24"/>
                <w:szCs w:val="24"/>
              </w:rPr>
            </w:pPr>
            <w:r w:rsidRPr="00576C1D">
              <w:rPr>
                <w:rFonts w:ascii="Times New Roman" w:hAnsi="Times New Roman"/>
                <w:b/>
                <w:sz w:val="18"/>
                <w:szCs w:val="18"/>
              </w:rPr>
              <w:t>Investicijski prioritet</w:t>
            </w:r>
          </w:p>
        </w:tc>
        <w:tc>
          <w:tcPr>
            <w:tcW w:w="10604" w:type="dxa"/>
            <w:vAlign w:val="center"/>
          </w:tcPr>
          <w:p w:rsidR="004229A4" w:rsidRPr="005E763C" w:rsidRDefault="004229A4" w:rsidP="004229A4">
            <w:pPr>
              <w:rPr>
                <w:rFonts w:ascii="Times New Roman" w:hAnsi="Times New Roman"/>
                <w:sz w:val="24"/>
                <w:szCs w:val="24"/>
              </w:rPr>
            </w:pPr>
            <w:r w:rsidRPr="00576C1D">
              <w:rPr>
                <w:rFonts w:ascii="Times New Roman" w:hAnsi="Times New Roman"/>
                <w:color w:val="000000"/>
                <w:spacing w:val="-1"/>
                <w:sz w:val="18"/>
                <w:szCs w:val="18"/>
              </w:rPr>
              <w:t>2a - Daljnji razvoj širokopojasnog pristupa i iskorak prema mrežama velikih brzina i podrška prihvaćanju novih tehnologija i mreža za digitalno gospodarstvo</w:t>
            </w:r>
          </w:p>
        </w:tc>
      </w:tr>
      <w:tr w:rsidR="004229A4" w:rsidRPr="005E763C" w:rsidTr="004229A4">
        <w:tc>
          <w:tcPr>
            <w:tcW w:w="15134" w:type="dxa"/>
            <w:gridSpan w:val="2"/>
            <w:vAlign w:val="center"/>
          </w:tcPr>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Sljedeća će se načela primjenjivati pri odabiru operacija: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 xml:space="preserve">Operacije pripremljene do strane korisnika moraju biti u skladu s pravilima o državnim potporama definiranima unutar shema Nacionalnog programa za </w:t>
            </w:r>
            <w:r w:rsidRPr="00334B1B">
              <w:rPr>
                <w:rFonts w:ascii="Times New Roman" w:hAnsi="Times New Roman"/>
                <w:sz w:val="24"/>
                <w:szCs w:val="24"/>
              </w:rPr>
              <w:lastRenderedPageBreak/>
              <w:t>agregacijsku širokopojasnu infrastrukturu (NP-BBI) i Okvirnog nacionalnog programa (ONP) za pristupne širokopojasne mreže.To se odnosi na praktična pravila i principe definiranja ciljanih područja unutar operacije (mapiranje), određivanje veleprodajnih obveza, provedbu mehanizma povrata prekomjernih potpora (clawback) itd. Davatelj držanih potpora (isto tijelo kao i Posredničko tijelo 1) nadzirat će usklađenost pravila državnih potpora u operacijama.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Usklađenost pravila u pripremnoj fazi operacija preduvjet je odabira operacije za financiranje unutar ovog investicijskog prioriteta.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1.   Za operacije (projekte) unutar NGN agregacijske (backhaul) mreže - prioritet, po redoslijedu važnosti, imat će projekti koji:</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w:t>
            </w:r>
            <w:r w:rsidRPr="00334B1B">
              <w:rPr>
                <w:rFonts w:ascii="Times New Roman" w:hAnsi="Times New Roman"/>
                <w:sz w:val="24"/>
                <w:szCs w:val="24"/>
              </w:rPr>
              <w:tab/>
              <w:t>obuhvaćaju središnja upravna naselja u jedinicama lokalne samouprave koja se nalaze u bijelim i sivim NGN agregacijskim područjima;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w:t>
            </w:r>
            <w:r w:rsidRPr="00334B1B">
              <w:rPr>
                <w:rFonts w:ascii="Times New Roman" w:hAnsi="Times New Roman"/>
                <w:sz w:val="24"/>
                <w:szCs w:val="24"/>
              </w:rPr>
              <w:tab/>
              <w:t>obuhvaćaju područja s većim potencijalom potražnje (s većim brojem postojećih internetskih priključaka, odnosno penetracijom širokopojasnog pristupa), u skladu s analizom investicijskih planova privatnih ulagača u NGA pristupne mreže (30 Mbit/s - 100 Mbit/s);</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w:t>
            </w:r>
            <w:r w:rsidRPr="00334B1B">
              <w:rPr>
                <w:rFonts w:ascii="Times New Roman" w:hAnsi="Times New Roman"/>
                <w:sz w:val="24"/>
                <w:szCs w:val="24"/>
              </w:rPr>
              <w:tab/>
              <w:t>povezuju ciljane javne ustanove (uredi uprave, obrazovne, zdravstvene, pravosudne, turističke i kulturne institucije),</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w:t>
            </w:r>
            <w:r w:rsidRPr="00334B1B">
              <w:rPr>
                <w:rFonts w:ascii="Times New Roman" w:hAnsi="Times New Roman"/>
                <w:sz w:val="24"/>
                <w:szCs w:val="24"/>
              </w:rPr>
              <w:tab/>
              <w:t>zatim, područja s velikim brojem poduzetničkih potpornih institucija i tvrtki;</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Implementirat će se javni investicijski model projektiranja, izgradnje i upravljanja (javni DBO). Izgrađenom mrežom upravljat će korisnik (OiV). Financiranjem će se pokriti troškovi ulaganja u izgradnju agregacijskih mreža i povezivanja ciljnih javnih ustanova, do maksimalne stope sufinanciranja za prioritetnu os. Ulaganja u agregacijske mreže su tehnološki neutralna. Budući da su ovo projekti mreža sljedeće generacije i s obzirom na potrebu agregacije prometa velikih brzina iz pristupnih mreža sljedeće generacije, projekti će uglavnom podržavati implementaciju višenitnih svjetlovodnih agregacijskih veza. Implementacija bežičnih agregacijskih veza bit će podržana jedino u slabo naseljenim područjima.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1.   Unutar sheme za dodjelu bespovratnih sredstava za razvoj pristupnih mreža sljedeće generacije (NGA, zadnja milja), prioritet će imati prijedlozi složenih projekata kojima se osigurava uvođenje infrastrukture svjetlovodnih niti (FTTx) u mrežni segment zadnje-milje, koje projekte predlažu tijela lokalne i regionalne samouprave:</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w:t>
            </w:r>
            <w:r w:rsidRPr="00334B1B">
              <w:rPr>
                <w:rFonts w:ascii="Times New Roman" w:hAnsi="Times New Roman"/>
                <w:sz w:val="24"/>
                <w:szCs w:val="24"/>
              </w:rPr>
              <w:tab/>
              <w:t>koji obuhvaćaju područja s većim potencijalom potražnje (s većim brojem postojećih internetskih priključaka, odnosno penetracijom širokopojasnog pristupa),Za operacije unutar sheme dodjele bespovratnih sredstava za razvoj NGA pristupnih mreža, financiranjem će se pokriti troškovi ulaganja za izgradnju pristupnih mreža do maksimalnog prihvatljivog prosječnog troška po krajnjem korisniku po operaciji. Maksimalni prihvatljivi prosječni trošak po krajnjem korisniku odredit će se uzimajući u obzir raspoloživa financijska sredstva unutar investicijskog prioriteta, ali također i potreba podrške implementaciji naprednih širokopojasnih mrežnih rješenja u operacijama (npr. FTTx pristupne mreže).</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1.   U pogledu podrške pripremi Baze projekata (za razvoj NGA pristupnih mreža), prioritet će imati jedinice lokalne i regionalne samouprave s najnižim gospodarskim mogućnostima i institucionalnim kapacitetima (poredane i uključene u listu potpomognutih područja temeljem Zakona o regionalnom razvoju).</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Maksimalna stopa sufinanciranja EFRR-a bit će modulirana ovisno o prioritetima operacija, što se posebno odnosi na operacije u potpomognutim i nepotpomognutim područjima.</w:t>
            </w:r>
          </w:p>
          <w:p w:rsidR="004229A4" w:rsidRPr="005E763C"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U skladu s Uredbom o mjerilima razvoja elektroničke komunikacijske infrastrukture i druge povezane opreme (Narodne novine 131/12), elektronička komunikacijska infrastruktura i druga povezana oprema treba se planirati, u načelu, u koridorima ili trasama komunalne infrastrukture; potrebna je koordinacija s obzirom na planirani vremenski slijed izgradnje komunalne infrastrukture. Smanjenje troškova i sinergije postići će se koordinacijom s projektima prometne i energetske infrastrukture koji su financirani u sklopu prioritetnih osi 4, 5 i 6 u sklopu OPKK-a.</w:t>
            </w:r>
          </w:p>
        </w:tc>
      </w:tr>
    </w:tbl>
    <w:p w:rsidR="004229A4" w:rsidRPr="00576C1D" w:rsidRDefault="004229A4" w:rsidP="00FC3F35">
      <w:pPr>
        <w:widowControl w:val="0"/>
        <w:shd w:val="clear" w:color="auto" w:fill="FFFFFF"/>
        <w:autoSpaceDE w:val="0"/>
        <w:autoSpaceDN w:val="0"/>
        <w:adjustRightInd w:val="0"/>
        <w:spacing w:before="1008" w:after="182" w:line="240" w:lineRule="auto"/>
        <w:ind w:left="590"/>
        <w:rPr>
          <w:rFonts w:ascii="Times New Roman" w:eastAsia="Times New Roman" w:hAnsi="Times New Roman" w:cs="Times New Roman"/>
          <w:sz w:val="20"/>
          <w:szCs w:val="20"/>
          <w:lang w:eastAsia="hr-HR"/>
        </w:rPr>
        <w:sectPr w:rsidR="004229A4" w:rsidRPr="00576C1D">
          <w:type w:val="continuous"/>
          <w:pgSz w:w="16834" w:h="11909" w:orient="landscape"/>
          <w:pgMar w:top="1207" w:right="541" w:bottom="360" w:left="540" w:header="720" w:footer="720" w:gutter="0"/>
          <w:cols w:space="60"/>
          <w:noEndnote/>
        </w:sectPr>
      </w:pPr>
    </w:p>
    <w:p w:rsidR="004229A4" w:rsidRDefault="004229A4"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i/>
          <w:iCs/>
          <w:color w:val="000000"/>
          <w:sz w:val="24"/>
          <w:szCs w:val="24"/>
          <w:lang w:eastAsia="hr-HR"/>
        </w:rPr>
      </w:pPr>
    </w:p>
    <w:p w:rsidR="004229A4" w:rsidRDefault="004229A4"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i/>
          <w:iCs/>
          <w:color w:val="000000"/>
          <w:sz w:val="24"/>
          <w:szCs w:val="24"/>
          <w:lang w:eastAsia="hr-HR"/>
        </w:rPr>
      </w:pPr>
    </w:p>
    <w:p w:rsidR="00FC3F35" w:rsidRDefault="00FC3F35"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i/>
          <w:iCs/>
          <w:color w:val="000000"/>
          <w:sz w:val="24"/>
          <w:szCs w:val="24"/>
          <w:lang w:eastAsia="hr-HR"/>
        </w:rPr>
      </w:pPr>
      <w:r w:rsidRPr="00576C1D">
        <w:rPr>
          <w:rFonts w:ascii="Times New Roman" w:eastAsia="Times New Roman" w:hAnsi="Times New Roman" w:cs="Times New Roman"/>
          <w:i/>
          <w:iCs/>
          <w:color w:val="000000"/>
          <w:sz w:val="24"/>
          <w:szCs w:val="24"/>
          <w:lang w:eastAsia="hr-HR"/>
        </w:rPr>
        <w:t>2.A.6.4 Planirano korištenje velikih projekata (po potrebi)</w:t>
      </w:r>
    </w:p>
    <w:tbl>
      <w:tblPr>
        <w:tblStyle w:val="TableGrid"/>
        <w:tblW w:w="0" w:type="auto"/>
        <w:tblLook w:val="04A0" w:firstRow="1" w:lastRow="0" w:firstColumn="1" w:lastColumn="0" w:noHBand="0" w:noVBand="1"/>
      </w:tblPr>
      <w:tblGrid>
        <w:gridCol w:w="4530"/>
        <w:gridCol w:w="10604"/>
      </w:tblGrid>
      <w:tr w:rsidR="004229A4" w:rsidRPr="005E763C" w:rsidTr="004229A4">
        <w:tc>
          <w:tcPr>
            <w:tcW w:w="4530" w:type="dxa"/>
            <w:vAlign w:val="center"/>
          </w:tcPr>
          <w:p w:rsidR="004229A4" w:rsidRPr="005E763C" w:rsidRDefault="004229A4" w:rsidP="004229A4">
            <w:pPr>
              <w:rPr>
                <w:rFonts w:ascii="Times New Roman" w:hAnsi="Times New Roman"/>
                <w:sz w:val="24"/>
                <w:szCs w:val="24"/>
              </w:rPr>
            </w:pPr>
            <w:r w:rsidRPr="00576C1D">
              <w:rPr>
                <w:rFonts w:ascii="Times New Roman" w:hAnsi="Times New Roman"/>
                <w:b/>
                <w:sz w:val="18"/>
                <w:szCs w:val="18"/>
              </w:rPr>
              <w:t>Investicijski prioritet</w:t>
            </w:r>
          </w:p>
        </w:tc>
        <w:tc>
          <w:tcPr>
            <w:tcW w:w="10604" w:type="dxa"/>
            <w:vAlign w:val="center"/>
          </w:tcPr>
          <w:p w:rsidR="004229A4" w:rsidRPr="005E763C" w:rsidRDefault="004229A4" w:rsidP="004229A4">
            <w:pPr>
              <w:rPr>
                <w:rFonts w:ascii="Times New Roman" w:hAnsi="Times New Roman"/>
                <w:sz w:val="24"/>
                <w:szCs w:val="24"/>
              </w:rPr>
            </w:pPr>
            <w:r w:rsidRPr="00576C1D">
              <w:rPr>
                <w:rFonts w:ascii="Times New Roman" w:hAnsi="Times New Roman"/>
                <w:color w:val="000000"/>
                <w:spacing w:val="-1"/>
                <w:sz w:val="18"/>
                <w:szCs w:val="18"/>
              </w:rPr>
              <w:t>2a - Daljnji razvoj širokopojasnog pristupa i iskorak prema mrežama velikih brzina i podrška prihvaćanju novih tehnologija i mreža za digitalno gospodarstvo</w:t>
            </w:r>
          </w:p>
        </w:tc>
      </w:tr>
      <w:tr w:rsidR="004229A4" w:rsidRPr="005E763C" w:rsidTr="004229A4">
        <w:tc>
          <w:tcPr>
            <w:tcW w:w="15134" w:type="dxa"/>
            <w:gridSpan w:val="2"/>
            <w:vAlign w:val="center"/>
          </w:tcPr>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Akcija Financiranje razvoja agregacijskih (backhaul) mreža sljedeće generacije u bijelim i sivim područjima provest će se kao jedan veliki projekt. Očekivani rezultat projekta je razvoj širokopojasne agregacijske infrastrukture u središnjim administrativnim naseljima jedinica lokalne samouprave lociranih u bijelim i sivim NGN agregacijskim područjima. Dio je to državnih mjera osmišljenih kao pomoć pri uklanjanju digitalnog jaza između županija, s ciljem povećanja društvene povezanosti i doprinosa gospodarskom rastu. Projektom će se poticati razvoj infrastrukture brze širokopojasne pristupne mreže sljedeće generacije od strane privatnih operatora i lokalnih zajednica u sklopu „Okvirnog nacionalnog programa za razvoj infrastrukture širokopojasnog pristupa“.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Projekt također ima za cilj povezati sve javne ustanove (državne, regionalne i lokalne Vladine urede i podružnice, uključujući obrazovne, zdravstvene, kulturne, turističke i pravosudne ustanove) u ciljanim područjima na brzu NGN mrežu, kako bi se omogućio razvoj i pružanje javnih e-usluga (e-obrazovanje, e-zdravlje, e-pravosuđe, itd.).</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Izravni korisnik ovog projekta bit će trgovačko društvo  „Odašiljači i veze d.o.o.“ (OiV), zaduženo za projektiranje, izgradnju (putem ugovora o javnoj nabavi) i upravljanje agregacijskim mrežama. Pružanje elektroničkih komunikacijskih usluga osnovna je djelatnost OiV-a, a njegov unutarnji ustroj potpuno je prilagođen za pružanje elektroničkih komunikacijskih usluga. OiV će izgraditi i biti vlasnik mreže te njome upravljati kao infrastrukturni operator (javni investicijski model projektiranja, izgradnje i upravljanja). Nova će mreža nuditi veleprodajni pristup na otvorenoj i nediskriminirajućoj bazi pružateljima usluga elektroničkih komunikacija, koji će pružati širokopojasne usluge krajnjim korisnicima.</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Ciljne skupine bit će javne ustanove (državni, regionalni i lokalni vladini uredi i podružnice, uključujući obrazovne, zdravstvene, kulturne, turističke i pravosudne ustanove); te svi operatori na tržištu koji će koristiti kapacitete agregacijske NGN mreže.</w:t>
            </w:r>
          </w:p>
          <w:p w:rsidR="004229A4" w:rsidRPr="00334B1B"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Ulaganja u agregacijske mreže tehnološki su neutralna. Projektom će se uglavnom podržavati implementacija višenitnih svjetlovodnih agregacijskih veza. Implementacija bežičnih agregacijskih veza bit će podržana samo u slabo naseljenim područjima.</w:t>
            </w:r>
          </w:p>
          <w:p w:rsidR="004229A4" w:rsidRPr="005E763C" w:rsidRDefault="004229A4" w:rsidP="004229A4">
            <w:pPr>
              <w:widowControl w:val="0"/>
              <w:shd w:val="clear" w:color="auto" w:fill="FFFFFF"/>
              <w:autoSpaceDE w:val="0"/>
              <w:autoSpaceDN w:val="0"/>
              <w:adjustRightInd w:val="0"/>
              <w:rPr>
                <w:rFonts w:ascii="Times New Roman" w:hAnsi="Times New Roman"/>
                <w:sz w:val="24"/>
                <w:szCs w:val="24"/>
              </w:rPr>
            </w:pPr>
            <w:r w:rsidRPr="00334B1B">
              <w:rPr>
                <w:rFonts w:ascii="Times New Roman" w:hAnsi="Times New Roman"/>
                <w:sz w:val="24"/>
                <w:szCs w:val="24"/>
              </w:rPr>
              <w:t xml:space="preserve">Iskorištavanje postojeće fizičke infrastrukture, uključujući infrastrukture drugih komunalnih sustava kao što su plinovodna, vodovodna ili elektroenergetska infrastruktura, predstavljat će mjeru za smanjenje troškova proširenja elektroničkih komunikacijskih mreža. Sinergijom između više </w:t>
            </w:r>
            <w:r w:rsidRPr="00334B1B">
              <w:rPr>
                <w:rFonts w:ascii="Times New Roman" w:hAnsi="Times New Roman"/>
                <w:sz w:val="24"/>
                <w:szCs w:val="24"/>
              </w:rPr>
              <w:lastRenderedPageBreak/>
              <w:t>sektora može se značajno smanjiti potreba za građevinskim radovima izgradnje elektroničkih komunikacijskih mreža, a s time također i potencijalni društveni i ekološki troškovi poput onečišćenja, smetnji i zagušenja prometa.Budući da akcije infrastrukturnih ulaganja u ovom projektu obuhvaćaju državne potpore, one su usklađene s odgovarajućim pravilima državnih potpora za širokopojasne mreže u EU-u i Hrvatskoj, što se osobito odnosi na Smjernice za državne potpore (SL C 25/2013). Akcije će se provoditi u okviru Nacionalnog programa državnih potpora za razvoj agregacijske širokopojasne mreže (NP-BBI). Odobrenje sukladnosti s pravilima državnih potpora, koji je postupak je u tijeku za NP-BBI usporedno s postupkom programiranja za razdoblje 2014. - 2020., omogućit će provedbu projekta.</w:t>
            </w:r>
          </w:p>
        </w:tc>
      </w:tr>
    </w:tbl>
    <w:p w:rsidR="004229A4" w:rsidRPr="00576C1D" w:rsidRDefault="004229A4"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008"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Tablica 5: Zajednički i pokazatelji neposrednih rezultata specifični za program (po investicijskom prioritetu, podijeljeno po kategoriji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B201EA">
        <w:trPr>
          <w:trHeight w:hRule="exact" w:val="442"/>
        </w:trPr>
        <w:tc>
          <w:tcPr>
            <w:tcW w:w="2285" w:type="dxa"/>
            <w:gridSpan w:val="2"/>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p>
        </w:tc>
        <w:tc>
          <w:tcPr>
            <w:tcW w:w="12864" w:type="dxa"/>
            <w:gridSpan w:val="8"/>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B201EA">
        <w:trPr>
          <w:trHeight w:hRule="exact" w:val="442"/>
        </w:trPr>
        <w:tc>
          <w:tcPr>
            <w:tcW w:w="9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podatka</w:t>
            </w: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B201EA">
        <w:trPr>
          <w:trHeight w:hRule="exact" w:val="432"/>
        </w:trPr>
        <w:tc>
          <w:tcPr>
            <w:tcW w:w="912"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B201EA">
        <w:trPr>
          <w:trHeight w:hRule="exact" w:val="1536"/>
        </w:trPr>
        <w:tc>
          <w:tcPr>
            <w:tcW w:w="9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CO10</w:t>
            </w:r>
          </w:p>
        </w:tc>
        <w:tc>
          <w:tcPr>
            <w:tcW w:w="1373"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IKT infrastruktura: dodatna kućanstva sa širokopojasnim pristupom od najmanje 30 Mbps</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Kućanstva</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315.000,00</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r w:rsidR="00FC3F35" w:rsidRPr="00576C1D" w:rsidTr="00B201EA">
        <w:trPr>
          <w:trHeight w:hRule="exact" w:val="1181"/>
        </w:trPr>
        <w:tc>
          <w:tcPr>
            <w:tcW w:w="9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3"/>
                <w:sz w:val="16"/>
                <w:szCs w:val="16"/>
                <w:lang w:eastAsia="hr-HR"/>
              </w:rPr>
              <w:t>2all</w:t>
            </w:r>
          </w:p>
        </w:tc>
        <w:tc>
          <w:tcPr>
            <w:tcW w:w="1373"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4"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Broj čvorova agregacijske mreže sljedeće generacije u bijelim i sivim NGN područjima </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350,00</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94"/>
            <w:col w:w="720" w:space="6600"/>
            <w:col w:w="720"/>
          </w:cols>
          <w:noEndnote/>
        </w:sectPr>
      </w:pPr>
    </w:p>
    <w:tbl>
      <w:tblPr>
        <w:tblW w:w="15593" w:type="dxa"/>
        <w:tblInd w:w="40" w:type="dxa"/>
        <w:tblLayout w:type="fixed"/>
        <w:tblCellMar>
          <w:left w:w="40" w:type="dxa"/>
          <w:right w:w="40" w:type="dxa"/>
        </w:tblCellMar>
        <w:tblLook w:val="0000" w:firstRow="0" w:lastRow="0" w:firstColumn="0" w:lastColumn="0" w:noHBand="0" w:noVBand="0"/>
      </w:tblPr>
      <w:tblGrid>
        <w:gridCol w:w="3474"/>
        <w:gridCol w:w="1041"/>
        <w:gridCol w:w="1156"/>
        <w:gridCol w:w="429"/>
        <w:gridCol w:w="1531"/>
        <w:gridCol w:w="7962"/>
      </w:tblGrid>
      <w:tr w:rsidR="00FC3F35" w:rsidRPr="00576C1D" w:rsidTr="00C42B8B">
        <w:trPr>
          <w:trHeight w:hRule="exact" w:val="411"/>
        </w:trPr>
        <w:tc>
          <w:tcPr>
            <w:tcW w:w="347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lastRenderedPageBreak/>
              <w:t>2.A.4 Investicijski prioritet</w:t>
            </w:r>
          </w:p>
        </w:tc>
        <w:tc>
          <w:tcPr>
            <w:tcW w:w="104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5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29"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3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96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C42B8B">
        <w:trPr>
          <w:trHeight w:hRule="exact" w:val="400"/>
        </w:trPr>
        <w:tc>
          <w:tcPr>
            <w:tcW w:w="347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1041"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2c</w:t>
            </w:r>
          </w:p>
        </w:tc>
        <w:tc>
          <w:tcPr>
            <w:tcW w:w="115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29"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3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96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C42B8B">
        <w:trPr>
          <w:trHeight w:hRule="exact" w:val="421"/>
        </w:trPr>
        <w:tc>
          <w:tcPr>
            <w:tcW w:w="347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2119"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8"/>
                <w:szCs w:val="18"/>
                <w:lang w:eastAsia="hr-HR"/>
              </w:rPr>
              <w:t>Jačanje aplikacija informacijskih i komunikacijskih tehnologija za e-vladu, e-učenje, e-uključenost, e-kulturu i e-zdravlje</w:t>
            </w:r>
          </w:p>
        </w:tc>
      </w:tr>
    </w:tbl>
    <w:p w:rsidR="00FC3F35" w:rsidRPr="00576C1D" w:rsidRDefault="00FC3F35" w:rsidP="00FC3F35">
      <w:pPr>
        <w:widowControl w:val="0"/>
        <w:shd w:val="clear" w:color="auto" w:fill="FFFFFF"/>
        <w:autoSpaceDE w:val="0"/>
        <w:autoSpaceDN w:val="0"/>
        <w:adjustRightInd w:val="0"/>
        <w:spacing w:before="485"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očekivanim rezultatima</w:t>
      </w:r>
    </w:p>
    <w:p w:rsidR="00FC3F35" w:rsidRDefault="00FC3F35" w:rsidP="00FC3F35">
      <w:pPr>
        <w:widowControl w:val="0"/>
        <w:shd w:val="clear" w:color="auto" w:fill="FFFFFF"/>
        <w:autoSpaceDE w:val="0"/>
        <w:autoSpaceDN w:val="0"/>
        <w:adjustRightInd w:val="0"/>
        <w:spacing w:before="485" w:after="178" w:line="240" w:lineRule="auto"/>
        <w:ind w:left="538"/>
        <w:rPr>
          <w:rFonts w:ascii="Times New Roman" w:eastAsia="Times New Roman" w:hAnsi="Times New Roman" w:cs="Times New Roman"/>
          <w:sz w:val="20"/>
          <w:szCs w:val="20"/>
          <w:lang w:eastAsia="hr-HR"/>
        </w:rPr>
      </w:pPr>
    </w:p>
    <w:tbl>
      <w:tblPr>
        <w:tblStyle w:val="TableGrid"/>
        <w:tblW w:w="0" w:type="auto"/>
        <w:tblLook w:val="04A0" w:firstRow="1" w:lastRow="0" w:firstColumn="1" w:lastColumn="0" w:noHBand="0" w:noVBand="1"/>
      </w:tblPr>
      <w:tblGrid>
        <w:gridCol w:w="4514"/>
        <w:gridCol w:w="16"/>
        <w:gridCol w:w="11171"/>
      </w:tblGrid>
      <w:tr w:rsidR="00C42B8B" w:rsidRPr="005E763C" w:rsidTr="00C42B8B">
        <w:tc>
          <w:tcPr>
            <w:tcW w:w="4530" w:type="dxa"/>
            <w:gridSpan w:val="2"/>
            <w:vAlign w:val="center"/>
          </w:tcPr>
          <w:p w:rsidR="00C42B8B" w:rsidRPr="005E763C" w:rsidRDefault="00C42B8B" w:rsidP="001A0292">
            <w:pPr>
              <w:rPr>
                <w:rFonts w:ascii="Times New Roman" w:hAnsi="Times New Roman"/>
                <w:sz w:val="24"/>
                <w:szCs w:val="24"/>
              </w:rPr>
            </w:pPr>
            <w:r w:rsidRPr="00576C1D">
              <w:rPr>
                <w:rFonts w:ascii="Times New Roman" w:hAnsi="Times New Roman"/>
              </w:rPr>
              <w:t>Oznaka specifičnog cilja</w:t>
            </w:r>
          </w:p>
        </w:tc>
        <w:tc>
          <w:tcPr>
            <w:tcW w:w="11171" w:type="dxa"/>
            <w:vAlign w:val="center"/>
          </w:tcPr>
          <w:p w:rsidR="00C42B8B" w:rsidRPr="005E763C" w:rsidRDefault="00C42B8B" w:rsidP="001A0292">
            <w:pPr>
              <w:rPr>
                <w:rFonts w:ascii="Times New Roman" w:hAnsi="Times New Roman"/>
                <w:sz w:val="24"/>
                <w:szCs w:val="24"/>
              </w:rPr>
            </w:pPr>
            <w:r>
              <w:rPr>
                <w:rFonts w:ascii="Times New Roman" w:hAnsi="Times New Roman"/>
                <w:sz w:val="24"/>
                <w:szCs w:val="24"/>
              </w:rPr>
              <w:t>1</w:t>
            </w:r>
          </w:p>
        </w:tc>
      </w:tr>
      <w:tr w:rsidR="00C42B8B" w:rsidRPr="005E763C" w:rsidTr="00C42B8B">
        <w:tc>
          <w:tcPr>
            <w:tcW w:w="4530" w:type="dxa"/>
            <w:gridSpan w:val="2"/>
            <w:vAlign w:val="center"/>
          </w:tcPr>
          <w:p w:rsidR="00C42B8B" w:rsidRPr="005E763C" w:rsidRDefault="00C42B8B" w:rsidP="001A0292">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rPr>
              <w:t>Naziv specifičnog cilja</w:t>
            </w:r>
          </w:p>
        </w:tc>
        <w:tc>
          <w:tcPr>
            <w:tcW w:w="11171" w:type="dxa"/>
            <w:vAlign w:val="center"/>
          </w:tcPr>
          <w:p w:rsidR="00C42B8B" w:rsidRPr="00835101" w:rsidRDefault="00C42B8B"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Povećanje korištenja IKT-a u komunikaciji između građana i javne uprave putem uspostave IKT koordinacijske strukture i softverskih rješenja</w:t>
            </w:r>
          </w:p>
        </w:tc>
      </w:tr>
      <w:tr w:rsidR="00C42B8B" w:rsidRPr="005E763C" w:rsidTr="00C42B8B">
        <w:tc>
          <w:tcPr>
            <w:tcW w:w="4514" w:type="dxa"/>
            <w:vAlign w:val="center"/>
          </w:tcPr>
          <w:p w:rsidR="00C42B8B" w:rsidRPr="005E763C" w:rsidRDefault="00C42B8B" w:rsidP="001A0292">
            <w:pPr>
              <w:rPr>
                <w:rFonts w:ascii="Times New Roman" w:hAnsi="Times New Roman"/>
                <w:sz w:val="24"/>
                <w:szCs w:val="24"/>
              </w:rPr>
            </w:pPr>
            <w:r w:rsidRPr="00576C1D">
              <w:rPr>
                <w:rFonts w:ascii="Times New Roman" w:hAnsi="Times New Roman"/>
              </w:rPr>
              <w:t>Rezultati koje države članice žele postići uz potporu Unije</w:t>
            </w:r>
          </w:p>
        </w:tc>
        <w:tc>
          <w:tcPr>
            <w:tcW w:w="11187" w:type="dxa"/>
            <w:gridSpan w:val="2"/>
            <w:vAlign w:val="center"/>
          </w:tcPr>
          <w:p w:rsidR="00C42B8B" w:rsidRPr="00576C1D" w:rsidRDefault="00C42B8B" w:rsidP="001A0292">
            <w:pPr>
              <w:widowControl w:val="0"/>
              <w:shd w:val="clear" w:color="auto" w:fill="FFFFFF"/>
              <w:autoSpaceDE w:val="0"/>
              <w:autoSpaceDN w:val="0"/>
              <w:adjustRightInd w:val="0"/>
              <w:spacing w:before="67" w:line="274" w:lineRule="exact"/>
              <w:rPr>
                <w:rFonts w:ascii="Times New Roman" w:hAnsi="Times New Roman"/>
              </w:rPr>
            </w:pPr>
            <w:r w:rsidRPr="00576C1D">
              <w:rPr>
                <w:rFonts w:ascii="Times New Roman" w:hAnsi="Times New Roman"/>
                <w:color w:val="000000"/>
                <w:sz w:val="24"/>
                <w:szCs w:val="24"/>
              </w:rPr>
              <w:t>Jedan od utvrđenih problema koji se negativno odražavaju na razinu korištenja javnih e-usluga u Hrvatskoj putem Interneta, kao i komunikacije s tijelima javne vlasti korištenjem on-line aplikacija, predstavlja neadekvatna i neučinkovito vođena infrastruktura IKT-a javne uprave. Prema predloženom rješenju, koje je Vlada već podržala, uspostavio bi se centar za zajedničke usluge koji bi bio zadužen za koordinaciju i upravljanje korištenja IKT-aplikacija i e-usluga koje razne Vladine institucije pružaju građanima. Time bi se omogućio razuman i isplativ razvoj međupovezanog i međuoperabilnog IKT sustava unutar državne uprave</w:t>
            </w:r>
            <w:r w:rsidRPr="00576C1D">
              <w:rPr>
                <w:rFonts w:ascii="Times New Roman" w:hAnsi="Times New Roman"/>
                <w:color w:val="000000"/>
                <w:spacing w:val="-1"/>
                <w:sz w:val="24"/>
                <w:szCs w:val="24"/>
              </w:rPr>
              <w:t>. Upravljanjem iz jednog jedinstvenog centra uvele bi se norme razvoja e-usluga, čime bi se i njihova upotreba olakšala</w:t>
            </w:r>
            <w:r w:rsidRPr="00576C1D">
              <w:rPr>
                <w:rFonts w:ascii="Times New Roman" w:hAnsi="Times New Roman"/>
                <w:color w:val="000000"/>
                <w:sz w:val="24"/>
                <w:szCs w:val="24"/>
              </w:rPr>
              <w:t>. Centar za zajedničke usluge predstavlja jednu od dugoročnih mjera u sklopu Nacionalnog programa reformi i podrazumijeva snažnu političku obvezu.</w:t>
            </w:r>
          </w:p>
          <w:p w:rsidR="00C42B8B" w:rsidRPr="00576C1D" w:rsidRDefault="00C42B8B" w:rsidP="001A0292">
            <w:pPr>
              <w:widowControl w:val="0"/>
              <w:shd w:val="clear" w:color="auto" w:fill="FFFFFF"/>
              <w:autoSpaceDE w:val="0"/>
              <w:autoSpaceDN w:val="0"/>
              <w:adjustRightInd w:val="0"/>
              <w:spacing w:before="278" w:line="274" w:lineRule="exact"/>
              <w:ind w:left="10"/>
              <w:rPr>
                <w:rFonts w:ascii="Times New Roman" w:hAnsi="Times New Roman"/>
              </w:rPr>
            </w:pPr>
            <w:r w:rsidRPr="00576C1D">
              <w:rPr>
                <w:rFonts w:ascii="Times New Roman" w:hAnsi="Times New Roman"/>
                <w:color w:val="000000"/>
                <w:spacing w:val="-1"/>
                <w:sz w:val="24"/>
                <w:szCs w:val="24"/>
              </w:rPr>
              <w:t>Poslužiteljeva se IKT-infrastruktura Centra za zajedničke usluge financira u sklopu ovog specifičnog cilja, čime se omogućuje stvaranje tzv. oblaka (cloud) i upravljanje njime, a koji se koristi za potrebe centra za podršku strategije.</w:t>
            </w:r>
          </w:p>
          <w:p w:rsidR="00C42B8B" w:rsidRPr="00835101" w:rsidRDefault="00C42B8B" w:rsidP="001A0292">
            <w:pPr>
              <w:rPr>
                <w:rFonts w:ascii="Times New Roman" w:hAnsi="Times New Roman"/>
                <w:color w:val="000000"/>
                <w:spacing w:val="-1"/>
                <w:sz w:val="24"/>
                <w:szCs w:val="24"/>
              </w:rPr>
            </w:pPr>
            <w:r w:rsidRPr="00576C1D">
              <w:rPr>
                <w:rFonts w:ascii="Times New Roman" w:hAnsi="Times New Roman"/>
                <w:color w:val="000000"/>
                <w:sz w:val="24"/>
                <w:szCs w:val="24"/>
              </w:rPr>
              <w:t>Drugi, blisko povezan problem koji negativno utječe na razinu pružanja javnih e-usluga jest nedostatak digitalnih podataka potrebnih za dostavu vrlo kompleksnih e-usluga i specifičnih aplikacija koje uključuju obradu podataka kojima barataju razne institucije. U svrhu poboljšavanja transparentnosti, odgovornosti i učinkovitosti javne uprave, potrebno je razviti aplikacije za rad javnih institucija i komunikaciju s građanima, te ih pružiti na konsolidiran način. Navedeno se smatra preduvjetom za usvajanje novih i budućih tehnologija i mreža za digitalno gospodarstvo na području čitave zemlje</w:t>
            </w:r>
            <w:r w:rsidRPr="00576C1D">
              <w:rPr>
                <w:rFonts w:ascii="Times New Roman" w:hAnsi="Times New Roman"/>
                <w:color w:val="000000"/>
                <w:spacing w:val="-1"/>
                <w:sz w:val="24"/>
                <w:szCs w:val="24"/>
              </w:rPr>
              <w:t>. Koordinacijom razvoja i pružanjem IKT-a na konsolidiran način razni će podaci javnih službi postati dostupniji građanima na različitim upravljačkim razinama (administracija, pravni i privatni subjekti, strani ulagači</w:t>
            </w:r>
            <w:r w:rsidRPr="00576C1D">
              <w:rPr>
                <w:rFonts w:ascii="Times New Roman" w:hAnsi="Times New Roman"/>
                <w:color w:val="000000"/>
                <w:sz w:val="24"/>
                <w:szCs w:val="24"/>
              </w:rPr>
              <w:t>). Tim se pristupom također pridonosi promicanju transparentnosti javne uprave i izbjegavanju bilo kakve mogućnosti korupcije ili zloupotrebe podataka</w:t>
            </w:r>
            <w:r w:rsidRPr="00576C1D">
              <w:rPr>
                <w:rFonts w:ascii="Times New Roman" w:hAnsi="Times New Roman"/>
                <w:color w:val="000000"/>
                <w:spacing w:val="-1"/>
                <w:sz w:val="24"/>
                <w:szCs w:val="24"/>
              </w:rPr>
              <w:t>.</w:t>
            </w:r>
            <w:r w:rsidRPr="00835101">
              <w:rPr>
                <w:rFonts w:ascii="Times New Roman" w:hAnsi="Times New Roman"/>
                <w:color w:val="000000"/>
                <w:spacing w:val="-1"/>
                <w:sz w:val="24"/>
                <w:szCs w:val="24"/>
              </w:rPr>
              <w:t xml:space="preserve">Specifični </w:t>
            </w:r>
            <w:r w:rsidRPr="00835101">
              <w:rPr>
                <w:rFonts w:ascii="Times New Roman" w:hAnsi="Times New Roman"/>
                <w:color w:val="000000"/>
                <w:spacing w:val="-1"/>
                <w:sz w:val="24"/>
                <w:szCs w:val="24"/>
              </w:rPr>
              <w:lastRenderedPageBreak/>
              <w:t>cilj u okviru korištenja financijskih sredstava EFRR-a u Hrvatskoj do 2023.:</w:t>
            </w:r>
          </w:p>
          <w:p w:rsidR="00C42B8B" w:rsidRPr="00835101" w:rsidRDefault="00C42B8B" w:rsidP="001A0292">
            <w:pPr>
              <w:rPr>
                <w:rFonts w:ascii="Times New Roman" w:hAnsi="Times New Roman"/>
                <w:color w:val="000000"/>
                <w:spacing w:val="-1"/>
                <w:sz w:val="24"/>
                <w:szCs w:val="24"/>
              </w:rPr>
            </w:pPr>
            <w:r w:rsidRPr="00835101">
              <w:rPr>
                <w:rFonts w:ascii="Times New Roman" w:hAnsi="Times New Roman"/>
                <w:color w:val="000000"/>
                <w:spacing w:val="-1"/>
                <w:sz w:val="24"/>
                <w:szCs w:val="24"/>
              </w:rPr>
              <w:t>Povećanje korištenja IKT-a u komunikaciji između građana i javne uprave putem uspostave IKT koordinacijske strukture i softverskih rješenja. Ovo će se postići:</w:t>
            </w:r>
          </w:p>
          <w:p w:rsidR="00C42B8B" w:rsidRPr="00835101" w:rsidRDefault="00C42B8B" w:rsidP="001A0292">
            <w:pPr>
              <w:rPr>
                <w:rFonts w:ascii="Times New Roman" w:hAnsi="Times New Roman"/>
                <w:color w:val="000000"/>
                <w:spacing w:val="-1"/>
                <w:sz w:val="24"/>
                <w:szCs w:val="24"/>
              </w:rPr>
            </w:pPr>
            <w:r w:rsidRPr="00835101">
              <w:rPr>
                <w:rFonts w:ascii="Times New Roman" w:hAnsi="Times New Roman"/>
                <w:color w:val="000000"/>
                <w:spacing w:val="-1"/>
                <w:sz w:val="24"/>
                <w:szCs w:val="24"/>
              </w:rPr>
              <w:t>1.</w:t>
            </w:r>
            <w:r w:rsidRPr="00835101">
              <w:rPr>
                <w:rFonts w:ascii="Times New Roman" w:hAnsi="Times New Roman"/>
                <w:color w:val="000000"/>
                <w:spacing w:val="-1"/>
                <w:sz w:val="24"/>
                <w:szCs w:val="24"/>
              </w:rPr>
              <w:tab/>
              <w:t>Podizanjem kvalitete i mogućnosti e-komunikacije građana s javnom upravom putem financiranja IKT infrastrukture i softvera potrebnog za stvaranje i jamčenje rada oblaka kojim upravlja Vladin centar za zajedničke usluge</w:t>
            </w:r>
          </w:p>
          <w:p w:rsidR="00C42B8B" w:rsidRPr="00835101" w:rsidRDefault="00C42B8B" w:rsidP="001A0292">
            <w:pPr>
              <w:rPr>
                <w:rFonts w:ascii="Times New Roman" w:hAnsi="Times New Roman"/>
                <w:color w:val="000000"/>
                <w:spacing w:val="-1"/>
                <w:sz w:val="24"/>
                <w:szCs w:val="24"/>
              </w:rPr>
            </w:pPr>
            <w:r w:rsidRPr="00835101">
              <w:rPr>
                <w:rFonts w:ascii="Times New Roman" w:hAnsi="Times New Roman"/>
                <w:color w:val="000000"/>
                <w:spacing w:val="-1"/>
                <w:sz w:val="24"/>
                <w:szCs w:val="24"/>
              </w:rPr>
              <w:t>2.</w:t>
            </w:r>
            <w:r w:rsidRPr="00835101">
              <w:rPr>
                <w:rFonts w:ascii="Times New Roman" w:hAnsi="Times New Roman"/>
                <w:color w:val="000000"/>
                <w:spacing w:val="-1"/>
                <w:sz w:val="24"/>
                <w:szCs w:val="24"/>
              </w:rPr>
              <w:tab/>
              <w:t>Razvojem e-aplikacija u područjima ključnim za gospodarski rast i socijalnu koheziju poput: e-građevinarstvo, e-zemljišna uprava, e-pravosuđe, e-zdravlje, e-turizam, e-škole, e-kultura i e-uključivanje</w:t>
            </w:r>
          </w:p>
          <w:p w:rsidR="00C42B8B" w:rsidRPr="00835101" w:rsidRDefault="00C42B8B" w:rsidP="001A0292">
            <w:pPr>
              <w:rPr>
                <w:rFonts w:ascii="Times New Roman" w:hAnsi="Times New Roman"/>
                <w:color w:val="000000"/>
                <w:spacing w:val="-1"/>
                <w:sz w:val="24"/>
                <w:szCs w:val="24"/>
              </w:rPr>
            </w:pPr>
            <w:r w:rsidRPr="00835101">
              <w:rPr>
                <w:rFonts w:ascii="Times New Roman" w:hAnsi="Times New Roman"/>
                <w:color w:val="000000"/>
                <w:spacing w:val="-1"/>
                <w:sz w:val="24"/>
                <w:szCs w:val="24"/>
              </w:rPr>
              <w:t>Ukupni očekivani rezultat ovog specifičnog cilja jest (do 2023. godine) povećati razinu korištenja usluga e-vlade od strane građana, što se vrednuje s obzirom na učestalost korištenja usluga e-vlade od strane pojedinaca i povećanja broja stanovnika koji komuniciraju s javnim ustanovama.</w:t>
            </w:r>
          </w:p>
          <w:p w:rsidR="00C42B8B" w:rsidRPr="005E763C" w:rsidRDefault="00C42B8B" w:rsidP="001A0292">
            <w:pPr>
              <w:rPr>
                <w:rFonts w:ascii="Times New Roman" w:hAnsi="Times New Roman"/>
                <w:sz w:val="24"/>
                <w:szCs w:val="24"/>
              </w:rPr>
            </w:pPr>
            <w:r w:rsidRPr="00835101">
              <w:rPr>
                <w:rFonts w:ascii="Times New Roman" w:hAnsi="Times New Roman"/>
                <w:color w:val="000000"/>
                <w:spacing w:val="-1"/>
                <w:sz w:val="24"/>
                <w:szCs w:val="24"/>
              </w:rPr>
              <w:t>Specifični rezultati koji bi se trebali postići uključuju funkcioniranje oblaka i jačanje e-usluga u spomenutim sektorima: povećanje postotka javnih ustanova integriranih u oblak i broj pruženih kompleksnih e-usluga usmjerenih na korisnika</w:t>
            </w:r>
          </w:p>
        </w:tc>
      </w:tr>
    </w:tbl>
    <w:p w:rsidR="00C42B8B" w:rsidRPr="00576C1D" w:rsidRDefault="00C42B8B" w:rsidP="00FC3F35">
      <w:pPr>
        <w:widowControl w:val="0"/>
        <w:shd w:val="clear" w:color="auto" w:fill="FFFFFF"/>
        <w:autoSpaceDE w:val="0"/>
        <w:autoSpaceDN w:val="0"/>
        <w:adjustRightInd w:val="0"/>
        <w:spacing w:before="485" w:after="178" w:line="240" w:lineRule="auto"/>
        <w:ind w:left="538"/>
        <w:rPr>
          <w:rFonts w:ascii="Times New Roman" w:eastAsia="Times New Roman" w:hAnsi="Times New Roman" w:cs="Times New Roman"/>
          <w:sz w:val="20"/>
          <w:szCs w:val="20"/>
          <w:lang w:eastAsia="hr-HR"/>
        </w:rPr>
        <w:sectPr w:rsidR="00C42B8B" w:rsidRPr="00576C1D">
          <w:pgSz w:w="16834" w:h="11909" w:orient="landscape"/>
          <w:pgMar w:top="1200"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8" w:right="541" w:bottom="360" w:left="540" w:header="720" w:footer="720" w:gutter="0"/>
          <w:cols w:num="3" w:space="720" w:equalWidth="0">
            <w:col w:w="720" w:space="6994"/>
            <w:col w:w="720" w:space="6600"/>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Table 3: Pokazatelji rezultata specifični za program, po specifičnom cilju (za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B201EA" w:rsidTr="00FC3F35">
        <w:trPr>
          <w:trHeight w:hRule="exact" w:val="672"/>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7"/>
                <w:sz w:val="20"/>
                <w:szCs w:val="20"/>
                <w:lang w:eastAsia="hr-HR"/>
              </w:rPr>
              <w:t>Specifičan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06" w:lineRule="exact"/>
              <w:ind w:right="14" w:firstLine="5"/>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1"/>
                <w:sz w:val="20"/>
                <w:szCs w:val="20"/>
                <w:lang w:eastAsia="hr-HR"/>
              </w:rPr>
              <w:t xml:space="preserve">1 - </w:t>
            </w:r>
            <w:r w:rsidRPr="00B201EA">
              <w:rPr>
                <w:rFonts w:ascii="Times New Roman" w:eastAsia="Times New Roman" w:hAnsi="Times New Roman" w:cs="Times New Roman"/>
                <w:color w:val="000000"/>
                <w:sz w:val="20"/>
                <w:szCs w:val="20"/>
                <w:lang w:eastAsia="hr-HR"/>
              </w:rPr>
              <w:t>Povećanje korištenja IKT-a u komunikaciji između građana i javne uprave putem uspostave IKT koordinacijske strukture i softverskih rješenja</w:t>
            </w:r>
          </w:p>
        </w:tc>
      </w:tr>
      <w:tr w:rsidR="00FC3F35" w:rsidRPr="00B201EA"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z w:val="20"/>
                <w:szCs w:val="20"/>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pacing w:val="-2"/>
                <w:sz w:val="20"/>
                <w:szCs w:val="20"/>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pacing w:val="-1"/>
                <w:sz w:val="20"/>
                <w:szCs w:val="20"/>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pacing w:val="-1"/>
                <w:sz w:val="20"/>
                <w:szCs w:val="20"/>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pacing w:val="-2"/>
                <w:sz w:val="20"/>
                <w:szCs w:val="20"/>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pacing w:val="-3"/>
                <w:sz w:val="20"/>
                <w:szCs w:val="20"/>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pacing w:val="-1"/>
                <w:sz w:val="20"/>
                <w:szCs w:val="20"/>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pacing w:val="-2"/>
                <w:sz w:val="20"/>
                <w:szCs w:val="20"/>
                <w:lang w:eastAsia="hr-HR"/>
              </w:rPr>
              <w:t>Izvor podatka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pacing w:val="-1"/>
                <w:sz w:val="20"/>
                <w:szCs w:val="20"/>
                <w:lang w:eastAsia="hr-HR"/>
              </w:rPr>
              <w:t>Učestalost izvješćivanja</w:t>
            </w:r>
          </w:p>
        </w:tc>
      </w:tr>
      <w:tr w:rsidR="00FC3F35" w:rsidRPr="00B201EA" w:rsidTr="00FC3F35">
        <w:trPr>
          <w:trHeight w:hRule="exact" w:val="499"/>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12"/>
                <w:sz w:val="20"/>
                <w:szCs w:val="20"/>
                <w:lang w:eastAsia="hr-HR"/>
              </w:rPr>
              <w:t>2c11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87" w:lineRule="exact"/>
              <w:ind w:right="264"/>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1"/>
                <w:sz w:val="20"/>
                <w:szCs w:val="20"/>
                <w:lang w:eastAsia="hr-HR"/>
              </w:rPr>
              <w:t>Korištenje usluga e-vlade od strane pojedinaca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z w:val="20"/>
                <w:szCs w:val="20"/>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1"/>
                <w:sz w:val="20"/>
                <w:szCs w:val="20"/>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7"/>
                <w:sz w:val="20"/>
                <w:szCs w:val="20"/>
                <w:lang w:eastAsia="hr-HR"/>
              </w:rPr>
              <w:t>16,00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4"/>
                <w:sz w:val="20"/>
                <w:szCs w:val="20"/>
                <w:lang w:eastAsia="hr-HR"/>
              </w:rPr>
              <w:t>2010.</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5"/>
                <w:sz w:val="20"/>
                <w:szCs w:val="20"/>
                <w:lang w:eastAsia="hr-HR"/>
              </w:rPr>
              <w:t>55,00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3"/>
                <w:sz w:val="20"/>
                <w:szCs w:val="20"/>
                <w:lang w:eastAsia="hr-HR"/>
              </w:rPr>
              <w:t>EUROSTAT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3"/>
                <w:sz w:val="20"/>
                <w:szCs w:val="20"/>
                <w:lang w:eastAsia="hr-HR"/>
              </w:rPr>
              <w:t>Godišnje</w:t>
            </w:r>
          </w:p>
        </w:tc>
      </w:tr>
      <w:tr w:rsidR="00FC3F35" w:rsidRPr="00B201EA" w:rsidTr="00FC3F35">
        <w:trPr>
          <w:trHeight w:hRule="exact" w:val="69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5"/>
                <w:sz w:val="20"/>
                <w:szCs w:val="20"/>
                <w:lang w:eastAsia="hr-HR"/>
              </w:rPr>
              <w:t>2c12</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182" w:lineRule="exact"/>
              <w:ind w:right="216"/>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z w:val="20"/>
                <w:szCs w:val="20"/>
                <w:lang w:eastAsia="hr-HR"/>
              </w:rPr>
              <w:t>Komunikacija stanovništva s državnim ustanovama putem online aplikacija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b/>
                <w:bCs/>
                <w:color w:val="000000"/>
                <w:sz w:val="20"/>
                <w:szCs w:val="20"/>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1"/>
                <w:sz w:val="20"/>
                <w:szCs w:val="20"/>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4"/>
                <w:sz w:val="20"/>
                <w:szCs w:val="20"/>
                <w:lang w:eastAsia="hr-HR"/>
              </w:rPr>
              <w:t>30,80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5"/>
                <w:sz w:val="20"/>
                <w:szCs w:val="20"/>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4"/>
                <w:sz w:val="20"/>
                <w:szCs w:val="20"/>
                <w:lang w:eastAsia="hr-HR"/>
              </w:rPr>
              <w:t>60,00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3"/>
                <w:sz w:val="20"/>
                <w:szCs w:val="20"/>
                <w:lang w:eastAsia="hr-HR"/>
              </w:rPr>
              <w:t>EUROSTAT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B201EA"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B201EA">
              <w:rPr>
                <w:rFonts w:ascii="Times New Roman" w:eastAsia="Times New Roman" w:hAnsi="Times New Roman" w:cs="Times New Roman"/>
                <w:color w:val="000000"/>
                <w:spacing w:val="-3"/>
                <w:sz w:val="20"/>
                <w:szCs w:val="20"/>
                <w:lang w:eastAsia="hr-HR"/>
              </w:rPr>
              <w:t>Godišnje</w:t>
            </w:r>
          </w:p>
        </w:tc>
      </w:tr>
    </w:tbl>
    <w:p w:rsidR="00FC3F35" w:rsidRPr="00576C1D" w:rsidRDefault="00FC3F35"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.A.6 Aktivnosti koje će se podržati u okviru prioriteta ulaganja (po prioritetima ulaganja)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0"/>
        <w:gridCol w:w="10604"/>
      </w:tblGrid>
      <w:tr w:rsidR="00DD0936" w:rsidRPr="00B201EA" w:rsidTr="00DD0936">
        <w:trPr>
          <w:tblHeader/>
        </w:trPr>
        <w:tc>
          <w:tcPr>
            <w:tcW w:w="4530" w:type="dxa"/>
            <w:vAlign w:val="center"/>
          </w:tcPr>
          <w:p w:rsidR="00DD0936" w:rsidRPr="00B201EA" w:rsidRDefault="00DD0936" w:rsidP="001A0292">
            <w:pPr>
              <w:rPr>
                <w:rFonts w:ascii="Times New Roman" w:hAnsi="Times New Roman"/>
              </w:rPr>
            </w:pPr>
            <w:r w:rsidRPr="00B201EA">
              <w:rPr>
                <w:rFonts w:ascii="Times New Roman" w:hAnsi="Times New Roman"/>
              </w:rPr>
              <w:t>Investicijski prioritet</w:t>
            </w:r>
          </w:p>
        </w:tc>
        <w:tc>
          <w:tcPr>
            <w:tcW w:w="10604" w:type="dxa"/>
            <w:vAlign w:val="center"/>
          </w:tcPr>
          <w:p w:rsidR="00DD0936" w:rsidRPr="00B201EA" w:rsidRDefault="00DD0936" w:rsidP="001A0292">
            <w:pPr>
              <w:widowControl w:val="0"/>
              <w:shd w:val="clear" w:color="auto" w:fill="FFFFFF"/>
              <w:autoSpaceDE w:val="0"/>
              <w:autoSpaceDN w:val="0"/>
              <w:adjustRightInd w:val="0"/>
              <w:rPr>
                <w:rFonts w:ascii="Times New Roman" w:hAnsi="Times New Roman"/>
              </w:rPr>
            </w:pPr>
            <w:r w:rsidRPr="00B201EA">
              <w:rPr>
                <w:rFonts w:ascii="Times New Roman" w:hAnsi="Times New Roman"/>
                <w:color w:val="000000"/>
                <w:spacing w:val="-1"/>
              </w:rPr>
              <w:t>2c - Jačanje aplikacija informacijskih i komunikacijskih tehnologija za e-vladu, e-učenje, e-uključenost, e-kulturu i e-zdravlje</w:t>
            </w:r>
          </w:p>
        </w:tc>
      </w:tr>
      <w:tr w:rsidR="00DD0936" w:rsidRPr="005E763C" w:rsidTr="00DD0936">
        <w:tc>
          <w:tcPr>
            <w:tcW w:w="15134" w:type="dxa"/>
            <w:gridSpan w:val="2"/>
            <w:vAlign w:val="center"/>
          </w:tcPr>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Aktivnosti će se provoditi u fazama, čime će e-usluge biti razvijene kada Digitalna strategija sazrije, što će dati sveobuhvatan strateški okvir, identificirati potrebne aktivnosti i nadzorne pokazatelje/alate. Okvir za izgradnju centra zajedničkih usluga definiran Odlukom Vlade (Vlada Republike Hrvatske Projektni je plan usvojila 5. ožujka 2014. nakon provedene analize na 2.300 ciljnih javnih tijela koja će biti uključena u projekt) pruža temelje za aktivnosti povezane s centrom koje će se provoditi istovremeno s razvojem Digitalne strategije. Zakon o državnoj informacijskoj infrastrukturi obvezuje sve dionike da međusobno povežu svoje evidencije kako bi se razvile integrirane e-usluge putem Vladine sabirnice usluga (projekt "Država bez papira") i navodi da središnje tijelo državne uprave odgovorno za e-Hrvatsku (Ministarstvo uprave) kao nadležno tijelo snosi odgovornost za koordinaciju, upravljanje i praćenje razvoja državne informacijske infrastrukture. Ministarstvo uprave, kao središnje državno tijelo za e-Hrvatsku, bit će izravno odgovorno za strategije i koordinaciju politika dok će nadopunjavanje i dosljednost ulaganja u smislu infrastruktura, platformi i e-usluga, kao i putem e-usluga, biti osigurano od agencije u državnom vlasništvu (pod nadzorom Ministarstva uprave) zamišljene kao agencija koja će upravljati oblakom.</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Primjeri aktivnosti koje se financiraju kako bi se postigli specifični ciljevi:</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1. Financiranje opreme i softvera za IKT u cilju uspostave oblaka Vlade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Financijska sredstva iz EFRR-a bit će pružena u okviru te akcije za potrebe uspostave, opremanja i stavljanja u rad oblaka Vlade. To uključuje: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konsolidaciju Vladine IKT infrastrukture i zajedničkih Vladinih aplikacija koje koristi centar zajedničkih usluga,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isporuku potrebne opreme i• kupnju ili razvijanje softvera.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Korisnik navedene akcije bit će Ministarstvo uprave RH, koje je odgovorno za Vladin centar za zajedničke usluge.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 Ciljne skupine: javne institucije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1 II. Razvoj e-aplikacija u niže navedenim područjima: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U okviru te akcije osigurat će se financijska sredstva za razvijanje e-aplikacija u ograničenom broju područja od najveće važnosti za učinkovito djelovanje hrvatskog gospodarstva i razvoj usluga e-vlade za korištenje građanima. Ministarstvo uprave RH usklađivat će razvoj i rad centra zajedničkih usluga, kao i e-usluga razvijenih unutar tog oblaka, dok će sam centar zajedničkih usluge upravljati oblakom.</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Izravne korisnike predstavlja ograničen broj resornih ministarstava navedenih u nastavku.</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Područja navedena u nastavku određena su u skladu s Nacionalnim programom reformi za 2014., dok će se Digitalnom strategijom, koja je trenutno u izradi, utvrditi konačni prioriteti ulaganja na temelju SWOT analize.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lastRenderedPageBreak/>
              <w:t>1. e-Zdravlje: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U posljednjih 10 godina ostvaren je značajan napredak u pogledu informatizacije zdravstvene skrbi, a postojeći centralni informacijski sustav zdravstva Republike Hrvatske (CEZIH) predstavlja dobre temelje za informatizaciju cjelokupnog zdravstva u Hrvatskoj. Sustav integrira sve institucije primarne zdravstvene zaštite te dio institucija sekundarne i tercijarne zdravstvene zaštite. Preostaje integrirati ostale institucije, posebice bolnice čiji rad i zdravstveni postupci trebaju potporu. Budući da zdravstvo predstavlja financijski izrazito zahtjevan sektor koji ima ogroman utjecaj na svakodnevnicu građana, postoji potreba za tim da informacijski sustav zdravstva integrira sve podatke koji se nalaze u sustavu zdravstva i osigura transparentnost, odgovornost i dostupnost podataka ovlaštenim subjektima, uz visoku razinu sigurnosti i zaštite. Nužno je postići interoperabilnost informacijskih sustava zdravstvene zaštite sa svim tijelima državne uprave (zajedničke službe) te državama članicama EU-a.Ulaganje u standardizirano interoperabilno poslovanje temeljeno na oblaku i sustave prijave bolnica, razvoj integriranog informacijskog sustava za Hrvatski zavod za zdravstveno osiguranje, razvoj e-direktiva i e-recepata, provedbu i nadogradnju sustava za plaćanje u okviru HR DTS-a.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Informatizacija središnjeg zdravstvenog sustava (razvoj internog informacijskog sustava e-HZZO, e-Smjernice, e-Lijekovi, uvođenje i poboljšanje sustava HR DTS za plaćanje i nadzor zdravstva)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e-Bolnica – uvođenje standardiziranog, integriranog i interoperabilnog informacijskog sustava u hrvatskim javnim bolnicama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Korisnik: Ministarstvo zdravlja i Hrvatski zavod za zdravstveno osiguranje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Ciljne skupine: zaposleni u zdravstvenim ustanovama, građani, turisti </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1. e-Škole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Predviđeno je financiranje jedne komponente velikog projekta e-Škole usmjerenog na stvaranje digitalno zrelih škola za 21. stoljeće, unutar investicijskog prioriteta 2.3 - združivanje postojećih i razvoj novih e-usluga nužnih za besprijekoran i jednostavan rad školskih subjekata: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e-usluge za administrativne postupke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e-usluge za prenošenje i usvajanje znanja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 • e-usluge za komunikacijske procese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Korisnik: Ministarstvo znanosti, obrazovanja i sporta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Ciljne skupine: zaposleni u obrazovnim ustanovama, učenici osnovnih i srednjih škola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 1. e-Uprava za zemljišno i prostorno planiranje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Daljnji razvoj IKT sustava kroz uvođenje integriranog transparentnog sustava za poboljšanje prostorno-planskih postupaka, primjena IKT-a s ciljem podrške bazi podataka za kreiranje prostorno-planskih dokumenata, postupci u području gradnje, nadzora i inspekcijskih kontrola, razvoj i jačanje državne aplikacije za pronalaženje, pristup i preuzimanje prostornih informacija javnog sektora i pružanje e-usluga u zemljišnoj upraviPotprojekti (Ministarstvo graditeljstva i prostornog uređenja):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Sustav e-dozvola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Baza podataka prodajnih cijena nekretnina i cjenovne razine nekretnina za iznajmljivanje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Uvođenje novog informacijskog sustava za građevinski nadzor i pregled radova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Potprojekti (Državna geodetska uprava, Hrvatski zavod za prostorni razvoj):</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Informacijski sustav prostornog uređenja (ENG: PhisicalPlanningInformationSystem (PPIS)</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Razvoj digitalnog državnog plana prostornog razvoja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Korisnik: Ministarstvo graditeljstva i prostornog uređenja, Hrvatski zavod za prostorni razvoj i Državna geodetska uprava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Ciljna skupina: djelatnici u katastarskim administrativnim institucijama, poslovni subjekti i šira javnost </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1. e-Kultura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Uspostavljanje nacionalnog informacijskog sustava za obradu digitalizirane kulturne baštine koji jamči očuvanje i prezentaciju kulturnog nasljedstva, kako nacionalnog tako i onog širom EU, kao i pružanje informacija javnosti.</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Potprojekt:</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Uspostavljanje nacionalnog informatičkog rješenja radi prikupljanja, obrade, distribucije i skladištenja digitalizirane kulturne baštine i združivanje s EUROPEANA-omKorisnik: Ministarstvo kulture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Ciljne skupine: zaposleni u kulturnom sektoru, šira javnost </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lastRenderedPageBreak/>
              <w:t>1. e-Turizam</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Razvoj e-turističkog informacijskog sustava, uključujući središnji i sveobuhvatni informacijski sustav koji objedinjuje podatke svih turističkih zajednica i registriranih aktera u turističkom sektoru te osigurava točne i pouzdane informacije, što pridonosi višoj kvaliteti usluge i zadovoljstvu građana, turista i turističke industrije.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Potprojekti:</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središnji informacijski sustav za kategorizaciju turističkih zajednica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 •</w:t>
            </w:r>
            <w:r w:rsidRPr="004C117D">
              <w:rPr>
                <w:rFonts w:ascii="Times New Roman" w:hAnsi="Times New Roman"/>
              </w:rPr>
              <w:tab/>
              <w:t>sustav turističkih informacija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Korisnik: Ministarstvo turizma </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Ciljne skupine: zaposleni u turističkim institucijama, turisti </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1. e-Pravosuđe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Stvaranje interoperabilnosti i međusobne povezanosti sudskih registara na državnoj razini i u odnosu na EU, kako bi se uspostavio integralni sustav e-pravosuđa s ciljem olakšavanje pristupa pravosuđu građanima i tvrtkama.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Potprojekti:</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 • </w:t>
            </w:r>
            <w:r w:rsidRPr="004C117D">
              <w:rPr>
                <w:rFonts w:ascii="Times New Roman" w:hAnsi="Times New Roman"/>
              </w:rPr>
              <w:tab/>
              <w:t xml:space="preserve">Interoperabilnost sa sustavima i registrima Europske unije </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 • Stvaranje interoperabilne infrastrukture unutar nacionalnih registara•</w:t>
            </w:r>
            <w:r w:rsidRPr="004C117D">
              <w:rPr>
                <w:rFonts w:ascii="Times New Roman" w:hAnsi="Times New Roman"/>
              </w:rPr>
              <w:tab/>
              <w:t xml:space="preserve">Nadogradnja informacijskog sustava zemljišnih knjiga </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Korisnik: Ministarstvo pravosuđa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Ciljne skupine: poslovni subjekti, šira javnost</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 1. e-Uključivanje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Razvoj središnjeg informacijskog sustava za Ministarstvo branitelja putem integriranja svih podataka s ciljem omogućavanja međupovezanosti i interoperabilnosti s drugim bitnim dionicima, što će ojačati kapacitete Ministarstva i osigurati pravovremenu i kvalitetnu potporu braniteljskoj i stradalničkoj populaciji.</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Potprojekti:</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Integrirani informacijski sustav za Ministarstvo branitelja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Aplikacija za plasman proizvoda i usluga braniteljskih zadruga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Informacijski sustav Veteranskih centara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Korisnik: Ministarstvo branitelja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Ciljne skupine: zaposleni u Ministarstvu branitelja, branitelji, šira javnostRazvoj e-usluga pri investicijskom prioritetu 2c temeljit će se na rezultatima strateških projekata "e-Građani" i "Država bez papira", koji su već u provedbi i definirani Zakonom o državnoj informacijskoj infrastrukturi, s ciljem postizanja načela "samo jednom, i to digitalno". Općenito, važne javne internetske stranice i servisi potpuno će sudjelovati u javnom životu i biti u skladu s međunarodnim standardima dostupnost internetska.Sinergije i komplementarnosti namjeravaju se postići kroz podršku različitih aspekata IKT-a, također i u sklopu drugih tematskih ciljeva u okviru OPKK-a: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U okviru investicijskog prioriteta 2a, jamči se da će investicije biti usmjerene u razvoj širokopojasnog Interneta, posebno na onim područjima gdje mogu najviše doprinijeti institucijama javne uprave;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U okviru Prioritetne osi 3 kojoj je cilj poboljšanje konkurentnosti MSP-ova - Investicijski prioritet 3.4. Podrška MSP-ovima pri širenju na regionalnom, državnom i međunarodnom tržištu te pri inovacijskim postupcima, predviđeno je podržati MSP-ove u uvođenju i provedbi e-poslovnih rješenja koje će omogućiti IKT;</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Intervencije unutar investicijskog prioriteta 10a - nabava specijalizirane IKT opreme za nastavnike i učenike kao i druge pripadajuće IKT opreme.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Komplementarne aktivnosti sa spomenutom EFRR vrstom aktivnosti omogućit će se putem ESF-a, točnije Operativnim programom iz područja učinkovitih ljudskih resursa: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U okviru investicijskog prioriteta 10.3 (tj. razvoj digitalnih obrazovnih materijala, alata i metoda, kao i organizacijskih modela koji podržavaju njihovo korištenje na nacionalnoj razini; razvoj digitalnih kompetencija školskih učitelja, ravnatelja i stručnog osoblja, posebice pri korištenju IKT-a za poučavanje i učenje te kao sistemsku podršku školama koje uvode IKT za poučavanje i učenje).</w:t>
            </w:r>
          </w:p>
          <w:p w:rsidR="00DD0936" w:rsidRPr="00835101"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U okviru tematskog cilja 11 usmjerenog na pametnu državnu upravu.</w:t>
            </w:r>
          </w:p>
        </w:tc>
      </w:tr>
    </w:tbl>
    <w:p w:rsidR="00DD0936" w:rsidRDefault="00DD0936" w:rsidP="00DD0936">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b/>
          <w:i/>
          <w:iCs/>
          <w:color w:val="000000"/>
          <w:spacing w:val="1"/>
          <w:sz w:val="24"/>
          <w:szCs w:val="24"/>
          <w:lang w:eastAsia="hr-HR"/>
        </w:rPr>
      </w:pPr>
    </w:p>
    <w:p w:rsidR="00DD0936" w:rsidRDefault="00DD0936" w:rsidP="00DD0936">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b/>
          <w:i/>
          <w:iCs/>
          <w:color w:val="000000"/>
          <w:spacing w:val="1"/>
          <w:sz w:val="24"/>
          <w:szCs w:val="24"/>
          <w:lang w:eastAsia="hr-HR"/>
        </w:rPr>
      </w:pPr>
    </w:p>
    <w:p w:rsidR="00FC3F35" w:rsidRDefault="00FC3F35" w:rsidP="00DD0936">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b/>
          <w:i/>
          <w:iCs/>
          <w:color w:val="000000"/>
          <w:spacing w:val="1"/>
          <w:sz w:val="24"/>
          <w:szCs w:val="24"/>
          <w:lang w:eastAsia="hr-HR"/>
        </w:rPr>
      </w:pPr>
      <w:r w:rsidRPr="00576C1D">
        <w:rPr>
          <w:rFonts w:ascii="Times New Roman" w:eastAsia="Times New Roman" w:hAnsi="Times New Roman" w:cs="Times New Roman"/>
          <w:b/>
          <w:i/>
          <w:iCs/>
          <w:color w:val="000000"/>
          <w:spacing w:val="1"/>
          <w:sz w:val="24"/>
          <w:szCs w:val="24"/>
          <w:lang w:eastAsia="hr-HR"/>
        </w:rPr>
        <w:lastRenderedPageBreak/>
        <w:t>2.A.6.2 Smjernice za odabir aktivnosti</w:t>
      </w:r>
    </w:p>
    <w:tbl>
      <w:tblPr>
        <w:tblStyle w:val="TableGrid"/>
        <w:tblW w:w="0" w:type="auto"/>
        <w:tblLook w:val="04A0" w:firstRow="1" w:lastRow="0" w:firstColumn="1" w:lastColumn="0" w:noHBand="0" w:noVBand="1"/>
      </w:tblPr>
      <w:tblGrid>
        <w:gridCol w:w="4530"/>
        <w:gridCol w:w="10604"/>
      </w:tblGrid>
      <w:tr w:rsidR="00DD0936" w:rsidRPr="006774A5" w:rsidTr="00DD0936">
        <w:tc>
          <w:tcPr>
            <w:tcW w:w="4530" w:type="dxa"/>
            <w:vAlign w:val="center"/>
          </w:tcPr>
          <w:p w:rsidR="00DD0936" w:rsidRPr="006774A5" w:rsidRDefault="00DD0936" w:rsidP="001A0292">
            <w:pPr>
              <w:rPr>
                <w:rFonts w:ascii="Times New Roman" w:hAnsi="Times New Roman"/>
              </w:rPr>
            </w:pPr>
            <w:r w:rsidRPr="006774A5">
              <w:rPr>
                <w:rFonts w:ascii="Times New Roman" w:hAnsi="Times New Roman"/>
              </w:rPr>
              <w:t>Investicijski prioritet</w:t>
            </w:r>
          </w:p>
        </w:tc>
        <w:tc>
          <w:tcPr>
            <w:tcW w:w="10604" w:type="dxa"/>
            <w:vAlign w:val="center"/>
          </w:tcPr>
          <w:p w:rsidR="00DD0936" w:rsidRPr="006774A5" w:rsidRDefault="00DD0936" w:rsidP="001A0292">
            <w:pPr>
              <w:widowControl w:val="0"/>
              <w:shd w:val="clear" w:color="auto" w:fill="FFFFFF"/>
              <w:autoSpaceDE w:val="0"/>
              <w:autoSpaceDN w:val="0"/>
              <w:adjustRightInd w:val="0"/>
              <w:rPr>
                <w:rFonts w:ascii="Times New Roman" w:hAnsi="Times New Roman"/>
              </w:rPr>
            </w:pPr>
            <w:r w:rsidRPr="006774A5">
              <w:rPr>
                <w:rFonts w:ascii="Times New Roman" w:hAnsi="Times New Roman"/>
                <w:color w:val="000000"/>
                <w:spacing w:val="-1"/>
              </w:rPr>
              <w:t>2c - Jačanje aplikacija informacijskih i komunikacijskih tehnologija za e-vladu, e-učenje, e-uključenost, e-kulturu i e-zdravlje</w:t>
            </w:r>
          </w:p>
        </w:tc>
      </w:tr>
      <w:tr w:rsidR="00DD0936" w:rsidRPr="006774A5" w:rsidTr="00DD0936">
        <w:tc>
          <w:tcPr>
            <w:tcW w:w="15134" w:type="dxa"/>
            <w:gridSpan w:val="2"/>
            <w:vAlign w:val="center"/>
          </w:tcPr>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rPr>
              <w:t>Sve operacije financirane unutar predviđenih aktivnosti bit će u skladu sa Strategijom digitalnog rasta koja je trenutno u razvoju (predstavlja ex-ante uvjetovanost)</w:t>
            </w:r>
            <w:r w:rsidRPr="006774A5">
              <w:rPr>
                <w:rFonts w:ascii="Times New Roman" w:hAnsi="Times New Roman"/>
                <w:color w:val="000000"/>
              </w:rPr>
              <w:t>. Okvir za uspostavljanje centra zajedničkih usluga te izgradnju infrastrukture nužne za konsolidaciju pružanja e-usluga od strane e-vlade, nalazi se u Zakonu o državnoj informacijskoj infrastrukturi.Operacije financirane kroz potpore za razvoj e-aplikacija u odabranim područjima ključnima za hrvatsko gospodarstvo i razvoj e-usluga bit će u skladu sa sektorskim strategijama i relevantnim planovima:•</w:t>
            </w:r>
            <w:r w:rsidRPr="006774A5">
              <w:rPr>
                <w:rFonts w:ascii="Times New Roman" w:hAnsi="Times New Roman"/>
                <w:color w:val="000000"/>
              </w:rPr>
              <w:tab/>
              <w:t>e-zdravstvo - Nacionalna strategija razvoja zdravstva Republike Hrvatske (kao prvi strateški razvojni prioritet identificirane su informatizacija i razvoj e-zdravstva)</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w:t>
            </w:r>
            <w:r w:rsidRPr="006774A5">
              <w:rPr>
                <w:rFonts w:ascii="Times New Roman" w:hAnsi="Times New Roman"/>
                <w:color w:val="000000"/>
              </w:rPr>
              <w:tab/>
              <w:t>e-nastava - Strategija za obrazovanje, znanost i tehnologiju (trenutačno u pripremi; naglašava važnost IKT-a u obrazovnom sustavu)</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w:t>
            </w:r>
            <w:r w:rsidRPr="006774A5">
              <w:rPr>
                <w:rFonts w:ascii="Times New Roman" w:hAnsi="Times New Roman"/>
                <w:color w:val="000000"/>
              </w:rPr>
              <w:tab/>
              <w:t>e-zemljišna uprava - Strategija za upravljanje nekretninama u vlasništvu Republike Hrvatske (2013.) (naglašena je potreba za razvojem e-usluga te umrežavanjem javnih registara (poglavlja 12.3., 12.4. i 13.)); Strateški plan Ministarstva graditeljstva i prostornog uređenja 2013. - 2016. (definira potrebu za daljnjim razvojem IKT-a unutar odgovarajućih posebnih ciljeva 1.5 i 1.6.).</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w:t>
            </w:r>
            <w:r w:rsidRPr="006774A5">
              <w:rPr>
                <w:rFonts w:ascii="Times New Roman" w:hAnsi="Times New Roman"/>
                <w:color w:val="000000"/>
              </w:rPr>
              <w:tab/>
              <w:t>e-kultura - Strategija za digitalizaciju kulturne baštine u 2013. (glavni cilj je ojačati i objediniti infrastrukturu za digitaliziranje, korištenje i čuvanje digitalne kulturne baštine)</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w:t>
            </w:r>
            <w:r w:rsidRPr="006774A5">
              <w:rPr>
                <w:rFonts w:ascii="Times New Roman" w:hAnsi="Times New Roman"/>
                <w:color w:val="000000"/>
              </w:rPr>
              <w:tab/>
              <w:t>e-turizam - Strategija razvoja turizma Republike Hrvatske do 2020. (u pripremi; naglašava važnost elektroničkih medija i IKT-a za razvoj turizma)</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w:t>
            </w:r>
            <w:r w:rsidRPr="006774A5">
              <w:rPr>
                <w:rFonts w:ascii="Times New Roman" w:hAnsi="Times New Roman"/>
                <w:color w:val="000000"/>
              </w:rPr>
              <w:tab/>
              <w:t>e-pravosuđe - Strategija razvoja pravosuđa za razdoblje 2013. - 2018. (Narodne novine 144/12; naglašava važnost elektroničkih medija i IKT-a za razvoj pravosuđa)</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w:t>
            </w:r>
            <w:r w:rsidRPr="006774A5">
              <w:rPr>
                <w:rFonts w:ascii="Times New Roman" w:hAnsi="Times New Roman"/>
                <w:color w:val="000000"/>
              </w:rPr>
              <w:tab/>
              <w:t>e-uključivanje - Strategija sveobuhvatne skrbi za hrvatske branitelje iz Domovinskog rata, članove njihovih obitelji te ostale stradalnike  rata (u pripremi; naglašava važnost elektronskih medija i IKT-a za razvoj ovog specifičnog područja)</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Svi podržani projekti bit će podložni kriterijima odabira prihvaćenima od strane Nadzornog odbora. Sve mora biti u skladu s načelima transparentnosti i nediskriminacije (čl. 7. i 8. Uredbe o zajedničkim odredbama Europskih strukturnih i investicijskih fondova).</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Zajedničko opće načelo za sve akcije podržane ovim konkretnim ciljem su smanjivanje troškova razvoja i pružanja e-usluge građanima.</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rPr>
            </w:pPr>
            <w:r w:rsidRPr="006774A5">
              <w:rPr>
                <w:rFonts w:ascii="Times New Roman" w:hAnsi="Times New Roman"/>
                <w:color w:val="000000"/>
              </w:rPr>
              <w:t>Općenito, prioritet za sufinanciranje iz EFRR-a imat će projekti koji najviše pridonose ostvarenju očekivanih rezultata za ovaj specifičan cilj, gospodarskom razvoju i poslovnim prilikama te koji će obuhvatiti širi opseg građana poboljšavajući njihovu kvalitetu življenja.</w:t>
            </w:r>
          </w:p>
          <w:p w:rsidR="00DD0936" w:rsidRPr="006774A5" w:rsidRDefault="00DD0936" w:rsidP="001A0292">
            <w:pPr>
              <w:widowControl w:val="0"/>
              <w:shd w:val="clear" w:color="auto" w:fill="FFFFFF"/>
              <w:autoSpaceDE w:val="0"/>
              <w:autoSpaceDN w:val="0"/>
              <w:adjustRightInd w:val="0"/>
              <w:rPr>
                <w:rFonts w:ascii="Times New Roman" w:hAnsi="Times New Roman"/>
                <w:color w:val="000000"/>
                <w:u w:val="single"/>
              </w:rPr>
            </w:pPr>
            <w:r w:rsidRPr="006774A5">
              <w:rPr>
                <w:rFonts w:ascii="Times New Roman" w:hAnsi="Times New Roman"/>
                <w:color w:val="000000"/>
                <w:u w:val="single"/>
              </w:rPr>
              <w:t>U slučaju potpore za opremu, infrastrukturu i softver potrebne za uspostavu i operacionalizaciju centra zajedničkih usluga, potpora će biti dodijeljena samo onim projektima koji mogu jasno pokazati doprinos u kreiranju oblaka te integraciji raznih e-sustava koje koristi nadležna uprava.</w:t>
            </w:r>
          </w:p>
          <w:p w:rsidR="00DD0936" w:rsidRPr="006774A5" w:rsidRDefault="00DD0936" w:rsidP="001A0292">
            <w:pPr>
              <w:widowControl w:val="0"/>
              <w:shd w:val="clear" w:color="auto" w:fill="FFFFFF"/>
              <w:autoSpaceDE w:val="0"/>
              <w:autoSpaceDN w:val="0"/>
              <w:adjustRightInd w:val="0"/>
              <w:rPr>
                <w:rFonts w:ascii="Times New Roman" w:hAnsi="Times New Roman"/>
                <w:u w:val="single"/>
              </w:rPr>
            </w:pPr>
            <w:r w:rsidRPr="006774A5">
              <w:rPr>
                <w:rFonts w:ascii="Times New Roman" w:hAnsi="Times New Roman"/>
                <w:color w:val="000000"/>
                <w:spacing w:val="-1"/>
              </w:rPr>
              <w:t>U slučaju financiranja e-aplikacija u odabranim sektorima, prioritet će imati sustavni projekti koji nude složena rješenja za digitaliziranje e-usluga u zadanom području.</w:t>
            </w:r>
          </w:p>
        </w:tc>
      </w:tr>
    </w:tbl>
    <w:p w:rsidR="006774A5" w:rsidRDefault="006774A5" w:rsidP="006774A5">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b/>
          <w:bCs/>
          <w:i/>
          <w:iCs/>
          <w:color w:val="000000"/>
          <w:spacing w:val="-1"/>
          <w:sz w:val="24"/>
          <w:szCs w:val="24"/>
          <w:lang w:eastAsia="hr-HR"/>
        </w:rPr>
      </w:pPr>
    </w:p>
    <w:p w:rsidR="00FC3F35" w:rsidRDefault="00FC3F35" w:rsidP="006774A5">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1"/>
          <w:sz w:val="24"/>
          <w:szCs w:val="24"/>
          <w:lang w:eastAsia="hr-HR"/>
        </w:rPr>
        <w:t xml:space="preserve">2.A.6.3 Planirano korištenje financijskih instrumenata </w:t>
      </w:r>
      <w:r w:rsidRPr="00576C1D">
        <w:rPr>
          <w:rFonts w:ascii="Times New Roman" w:eastAsia="Times New Roman" w:hAnsi="Times New Roman" w:cs="Times New Roman"/>
          <w:color w:val="000000"/>
          <w:spacing w:val="-1"/>
          <w:sz w:val="24"/>
          <w:szCs w:val="24"/>
          <w:lang w:eastAsia="hr-HR"/>
        </w:rPr>
        <w:t>(po potrebi)</w:t>
      </w:r>
    </w:p>
    <w:tbl>
      <w:tblPr>
        <w:tblStyle w:val="TableGrid"/>
        <w:tblW w:w="0" w:type="auto"/>
        <w:tblLook w:val="04A0" w:firstRow="1" w:lastRow="0" w:firstColumn="1" w:lastColumn="0" w:noHBand="0" w:noVBand="1"/>
      </w:tblPr>
      <w:tblGrid>
        <w:gridCol w:w="4530"/>
        <w:gridCol w:w="10604"/>
      </w:tblGrid>
      <w:tr w:rsidR="00DD0936" w:rsidRPr="00DD0936" w:rsidTr="00DD0936">
        <w:tc>
          <w:tcPr>
            <w:tcW w:w="4530" w:type="dxa"/>
            <w:vAlign w:val="center"/>
          </w:tcPr>
          <w:p w:rsidR="00DD0936" w:rsidRPr="00DD0936" w:rsidRDefault="00DD0936" w:rsidP="001A0292">
            <w:pPr>
              <w:rPr>
                <w:rFonts w:ascii="Times New Roman" w:hAnsi="Times New Roman"/>
                <w:sz w:val="24"/>
                <w:szCs w:val="24"/>
              </w:rPr>
            </w:pPr>
            <w:r w:rsidRPr="00DD0936">
              <w:rPr>
                <w:rFonts w:ascii="Times New Roman" w:hAnsi="Times New Roman"/>
                <w:sz w:val="24"/>
                <w:szCs w:val="24"/>
              </w:rPr>
              <w:t>Investicijski prioritet</w:t>
            </w:r>
          </w:p>
        </w:tc>
        <w:tc>
          <w:tcPr>
            <w:tcW w:w="10604" w:type="dxa"/>
            <w:vAlign w:val="center"/>
          </w:tcPr>
          <w:p w:rsidR="00DD0936" w:rsidRPr="00DD0936" w:rsidRDefault="00DD0936" w:rsidP="001A0292">
            <w:pPr>
              <w:widowControl w:val="0"/>
              <w:shd w:val="clear" w:color="auto" w:fill="FFFFFF"/>
              <w:autoSpaceDE w:val="0"/>
              <w:autoSpaceDN w:val="0"/>
              <w:adjustRightInd w:val="0"/>
              <w:rPr>
                <w:rFonts w:ascii="Times New Roman" w:hAnsi="Times New Roman"/>
                <w:sz w:val="24"/>
                <w:szCs w:val="24"/>
              </w:rPr>
            </w:pPr>
            <w:r w:rsidRPr="00DD0936">
              <w:rPr>
                <w:rFonts w:ascii="Times New Roman" w:hAnsi="Times New Roman"/>
                <w:color w:val="000000"/>
                <w:spacing w:val="-1"/>
                <w:sz w:val="24"/>
                <w:szCs w:val="24"/>
              </w:rPr>
              <w:t>2c - Jačanje aplikacija informacijskih i komunikacijskih tehnologija za e-vladu, e-učenje, e-uključenost, e-kulturu i e-zdravlje</w:t>
            </w:r>
          </w:p>
        </w:tc>
      </w:tr>
      <w:tr w:rsidR="00DD0936" w:rsidRPr="00DD0936" w:rsidTr="00DD0936">
        <w:tc>
          <w:tcPr>
            <w:tcW w:w="15134" w:type="dxa"/>
            <w:gridSpan w:val="2"/>
            <w:vAlign w:val="center"/>
          </w:tcPr>
          <w:p w:rsidR="00DD0936" w:rsidRPr="00DD0936" w:rsidRDefault="00DD0936" w:rsidP="001A0292">
            <w:pPr>
              <w:widowControl w:val="0"/>
              <w:shd w:val="clear" w:color="auto" w:fill="FFFFFF"/>
              <w:autoSpaceDE w:val="0"/>
              <w:autoSpaceDN w:val="0"/>
              <w:adjustRightInd w:val="0"/>
              <w:rPr>
                <w:rFonts w:ascii="Times New Roman" w:hAnsi="Times New Roman"/>
                <w:sz w:val="24"/>
                <w:szCs w:val="24"/>
              </w:rPr>
            </w:pPr>
            <w:r w:rsidRPr="00DD0936">
              <w:rPr>
                <w:rFonts w:ascii="Times New Roman" w:hAnsi="Times New Roman"/>
                <w:sz w:val="24"/>
                <w:szCs w:val="24"/>
              </w:rPr>
              <w:t>Nije predviđeno</w:t>
            </w:r>
          </w:p>
        </w:tc>
      </w:tr>
    </w:tbl>
    <w:p w:rsidR="006774A5" w:rsidRDefault="006774A5" w:rsidP="00DD0936">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i/>
          <w:iCs/>
          <w:color w:val="000000"/>
          <w:spacing w:val="-1"/>
          <w:sz w:val="24"/>
          <w:szCs w:val="24"/>
          <w:lang w:eastAsia="hr-HR"/>
        </w:rPr>
      </w:pPr>
    </w:p>
    <w:p w:rsidR="00FC3F35" w:rsidRDefault="00FC3F35" w:rsidP="00DD0936">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2.A.6.4 Planirano korištenje velikih projekata </w:t>
      </w:r>
      <w:r w:rsidRPr="00576C1D">
        <w:rPr>
          <w:rFonts w:ascii="Times New Roman" w:eastAsia="Times New Roman" w:hAnsi="Times New Roman" w:cs="Times New Roman"/>
          <w:color w:val="000000"/>
          <w:spacing w:val="-1"/>
          <w:sz w:val="24"/>
          <w:szCs w:val="24"/>
          <w:lang w:eastAsia="hr-HR"/>
        </w:rPr>
        <w:t>(po potrebi)</w:t>
      </w:r>
    </w:p>
    <w:tbl>
      <w:tblPr>
        <w:tblStyle w:val="TableGrid"/>
        <w:tblW w:w="0" w:type="auto"/>
        <w:tblLook w:val="04A0" w:firstRow="1" w:lastRow="0" w:firstColumn="1" w:lastColumn="0" w:noHBand="0" w:noVBand="1"/>
      </w:tblPr>
      <w:tblGrid>
        <w:gridCol w:w="4530"/>
        <w:gridCol w:w="10604"/>
      </w:tblGrid>
      <w:tr w:rsidR="00DD0936" w:rsidRPr="005E763C" w:rsidTr="00DD0936">
        <w:tc>
          <w:tcPr>
            <w:tcW w:w="4530" w:type="dxa"/>
            <w:vAlign w:val="center"/>
          </w:tcPr>
          <w:p w:rsidR="00DD0936" w:rsidRPr="005E763C" w:rsidRDefault="00DD0936" w:rsidP="001A0292">
            <w:pPr>
              <w:rPr>
                <w:rFonts w:ascii="Times New Roman" w:hAnsi="Times New Roman"/>
                <w:sz w:val="24"/>
                <w:szCs w:val="24"/>
              </w:rPr>
            </w:pPr>
            <w:r w:rsidRPr="00576C1D">
              <w:rPr>
                <w:rFonts w:ascii="Times New Roman" w:hAnsi="Times New Roman"/>
                <w:sz w:val="16"/>
                <w:szCs w:val="16"/>
              </w:rPr>
              <w:t>Investicijski prioritet</w:t>
            </w:r>
          </w:p>
        </w:tc>
        <w:tc>
          <w:tcPr>
            <w:tcW w:w="10604" w:type="dxa"/>
            <w:vAlign w:val="center"/>
          </w:tcPr>
          <w:p w:rsidR="00DD0936" w:rsidRPr="004C117D" w:rsidRDefault="00DD0936"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2c - Jačanje aplikacija informacijskih i komunikacijskih tehnologija za e-vladu, e-učenje, e-uključenost, e-kulturu i e-zdravlje</w:t>
            </w:r>
          </w:p>
        </w:tc>
      </w:tr>
      <w:tr w:rsidR="00DD0936" w:rsidRPr="004C117D" w:rsidTr="00DD0936">
        <w:tc>
          <w:tcPr>
            <w:tcW w:w="15134" w:type="dxa"/>
            <w:gridSpan w:val="2"/>
            <w:vAlign w:val="center"/>
          </w:tcPr>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Veliki projekt "e-Škole" predviđa potpunu informatizaciju administracije, poučavanja i učenja unutar škola kako bi se osiguralo da velika većina hrvatskih javno financiranih škola postigne digitalnu zrelost (e-zrelost) do 2022., u skladu s Digitalnom agendom za Europu i Strategijom obrazovanja Republike Hrvatske, kao i u skladu s nacionalnom Strategijom za razvoj širokopojasnog pristupa Internetu u Republici Hrvatskoj u razdoblju 2012. - 2015.</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Digitalno kompetentni nastavnici i učenici svakodnevno koriste IKT u obrazovanju, uključujući i, ali ne isključivo, administrativne e-usluge i e-usluge za nastavu i učenje, kako bi se osiguralo da učenici današnjice postanu konkurentna radna snaga na tržištu rada sutrašnjice. Ovaj projekt bi trebao biti dovršen u 2020. te rezultirati sveobuhvatnom digitalnom pokrivenošću obrazovnog sustava.</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 xml:space="preserve">Integracija postojećih i razvoj novih e-usluga potrebnih za besprijekoran i jednostavan rad školskih subjekata (e-usluge za administrativne procese, nastavne postupke i e-usluge za </w:t>
            </w:r>
            <w:r w:rsidRPr="004C117D">
              <w:rPr>
                <w:rFonts w:ascii="Times New Roman" w:hAnsi="Times New Roman"/>
              </w:rPr>
              <w:lastRenderedPageBreak/>
              <w:t>komunikacijske procese) predstavlja jednu od komponenti velikog projekta koji se planira financirati kroz ovaj investicijski prioritet.</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Planirane dopunske intervencije unutar OPKK-a uključuju:</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Intervencije unutar investicijskog prioriteta 2.1. Implementacija proširenja širokopojasne veze i širenje sustava mreža velike brzine te podrška usvajanju nadolazećih tehnologija i mreža za digitalno gospodarstvo - Omogućavanje ultrabrzih internetskih veza za ciljane hrvatske škole u bijelim i sivim zonama mreža nove generacije, u sklopu velikog projekta pod nazivom „Razvoj agregacijskih (posredničkih) mreža nove generacije u Hrvatskoj“;</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w:t>
            </w:r>
            <w:r w:rsidRPr="004C117D">
              <w:rPr>
                <w:rFonts w:ascii="Times New Roman" w:hAnsi="Times New Roman"/>
              </w:rPr>
              <w:tab/>
              <w:t>Intervencije u okviru tematskog cilja 10 - opremanje osnovnih i srednjih škola odgovarajućim LAN-ovima (gradnja lokalnih internetskih mreža u ciljanim školama) i nabava specijalizirane opreme za nastavnike i polaznike, kao i druge pripadajuće IKT opreme.</w:t>
            </w:r>
          </w:p>
          <w:p w:rsidR="00DD0936" w:rsidRPr="004C117D" w:rsidRDefault="00DD0936" w:rsidP="001A0292">
            <w:pPr>
              <w:widowControl w:val="0"/>
              <w:shd w:val="clear" w:color="auto" w:fill="FFFFFF"/>
              <w:autoSpaceDE w:val="0"/>
              <w:autoSpaceDN w:val="0"/>
              <w:adjustRightInd w:val="0"/>
              <w:rPr>
                <w:rFonts w:ascii="Times New Roman" w:hAnsi="Times New Roman"/>
              </w:rPr>
            </w:pPr>
            <w:r w:rsidRPr="004C117D">
              <w:rPr>
                <w:rFonts w:ascii="Times New Roman" w:hAnsi="Times New Roman"/>
              </w:rPr>
              <w:t>Ulaganje u e-škole također je planirano kroz Operativni program iz područja učinkovitih ljudskih resursa, unutar tematskog cilja 10, u vidu razvoja digitalnih obrazovnih materijala, alata i metoda, kao i organizacijskih modela koji podržavaju njihovo korištenje na nacionalnoj razini u osnovnim i srednjim školama, integriranim u nacionalni nastavni plan i program; u vidu razvoja digitalnih kompetencija nastavnika, ravnatelja te stručnog osoblja, posebno pri korištenju IKT-a za poučavanje i učenje i kao sistematsku podršku školama i pojedinačnim nastavnicima te školskim voditeljima u ovladavanju IKT-om u svrhu poučavanja i učenja.</w:t>
            </w:r>
          </w:p>
        </w:tc>
      </w:tr>
    </w:tbl>
    <w:p w:rsidR="00FC3F35" w:rsidRPr="00576C1D" w:rsidRDefault="00FC3F35" w:rsidP="00FC3F35">
      <w:pPr>
        <w:widowControl w:val="0"/>
        <w:shd w:val="clear" w:color="auto" w:fill="FFFFFF"/>
        <w:autoSpaceDE w:val="0"/>
        <w:autoSpaceDN w:val="0"/>
        <w:adjustRightInd w:val="0"/>
        <w:spacing w:before="1008" w:after="0" w:line="240" w:lineRule="auto"/>
        <w:ind w:left="533"/>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i/>
          <w:iCs/>
          <w:color w:val="000000"/>
          <w:spacing w:val="1"/>
          <w:sz w:val="24"/>
          <w:szCs w:val="24"/>
          <w:lang w:eastAsia="hr-HR"/>
        </w:rPr>
        <w:lastRenderedPageBreak/>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4" w:after="0" w:line="278"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color w:val="000000"/>
          <w:spacing w:val="-1"/>
          <w:sz w:val="24"/>
          <w:szCs w:val="24"/>
          <w:lang w:eastAsia="hr-HR"/>
        </w:rPr>
        <w:t>(po investicijskom prioritetu, po kategorijama regija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2c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color w:val="000000"/>
                <w:spacing w:val="-1"/>
                <w:sz w:val="18"/>
                <w:szCs w:val="18"/>
                <w:lang w:eastAsia="hr-HR"/>
              </w:rPr>
              <w:t>Jačanje aplikacija informacijskih i komunikacijskih tehnologija za e-vladu, e-učenje, e-uključenost, e-kulturu i e-zdravlje</w:t>
            </w:r>
          </w:p>
        </w:tc>
      </w:tr>
      <w:tr w:rsidR="00FC3F35" w:rsidRPr="00576C1D" w:rsidTr="00FC3F35">
        <w:trPr>
          <w:trHeight w:hRule="exact" w:val="432"/>
        </w:trPr>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4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1030"/>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3"/>
                <w:sz w:val="16"/>
                <w:szCs w:val="16"/>
                <w:lang w:eastAsia="hr-HR"/>
              </w:rPr>
              <w:t>2c11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6"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institucija integriranih u oblak Vlade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Godišnje</w:t>
            </w:r>
          </w:p>
        </w:tc>
      </w:tr>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DD0936"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Pr>
                <w:rFonts w:ascii="Times New Roman" w:eastAsia="Times New Roman" w:hAnsi="Times New Roman" w:cs="Times New Roman"/>
                <w:b/>
                <w:bCs/>
                <w:color w:val="000000"/>
                <w:spacing w:val="-1"/>
                <w:sz w:val="16"/>
                <w:szCs w:val="16"/>
                <w:lang w:eastAsia="hr-HR"/>
              </w:rPr>
              <w:t>I</w:t>
            </w:r>
            <w:r w:rsidR="00FC3F35" w:rsidRPr="00576C1D">
              <w:rPr>
                <w:rFonts w:ascii="Times New Roman" w:eastAsia="Times New Roman" w:hAnsi="Times New Roman" w:cs="Times New Roman"/>
                <w:b/>
                <w:bCs/>
                <w:color w:val="000000"/>
                <w:spacing w:val="-1"/>
                <w:sz w:val="16"/>
                <w:szCs w:val="16"/>
                <w:lang w:eastAsia="hr-HR"/>
              </w:rPr>
              <w:t>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2c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color w:val="000000"/>
                <w:spacing w:val="-1"/>
                <w:sz w:val="18"/>
                <w:szCs w:val="18"/>
                <w:lang w:eastAsia="hr-HR"/>
              </w:rPr>
              <w:t>Jačanje aplikacija informacijskih i komunikacijskih tehnologija za e-vladu, e-učenje, e-uključenost, e-kulturu i e-zdravlje</w:t>
            </w:r>
          </w:p>
        </w:tc>
      </w:tr>
      <w:tr w:rsidR="00FC3F35" w:rsidRPr="00576C1D" w:rsidTr="00FC3F35">
        <w:trPr>
          <w:trHeight w:hRule="exact" w:val="432"/>
        </w:trPr>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499"/>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350"/>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63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6"/>
                <w:sz w:val="16"/>
                <w:szCs w:val="16"/>
                <w:lang w:eastAsia="hr-HR"/>
              </w:rPr>
              <w:lastRenderedPageBreak/>
              <w:t>2cl2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24"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raspoloživih e-servisa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9"/>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before="422" w:after="178" w:line="240" w:lineRule="auto"/>
        <w:ind w:left="538"/>
        <w:rPr>
          <w:rFonts w:ascii="Times New Roman" w:eastAsia="Times New Roman" w:hAnsi="Times New Roman" w:cs="Times New Roman"/>
          <w:sz w:val="20"/>
          <w:szCs w:val="20"/>
          <w:lang w:eastAsia="hr-HR"/>
        </w:rPr>
        <w:sectPr w:rsidR="00FC3F35" w:rsidRPr="00576C1D">
          <w:pgSz w:w="16834" w:h="11909" w:orient="landscape"/>
          <w:pgMar w:top="1169" w:right="541" w:bottom="360" w:left="540" w:header="720" w:footer="720" w:gutter="0"/>
          <w:cols w:space="60"/>
          <w:noEndnote/>
        </w:sectPr>
      </w:pPr>
    </w:p>
    <w:p w:rsidR="006774A5" w:rsidRDefault="006774A5" w:rsidP="00DD0936">
      <w:pPr>
        <w:widowControl w:val="0"/>
        <w:shd w:val="clear" w:color="auto" w:fill="FFFFFF"/>
        <w:autoSpaceDE w:val="0"/>
        <w:autoSpaceDN w:val="0"/>
        <w:adjustRightInd w:val="0"/>
        <w:spacing w:before="422" w:after="178" w:line="240" w:lineRule="auto"/>
        <w:ind w:left="538"/>
        <w:rPr>
          <w:rFonts w:ascii="Times New Roman" w:eastAsia="Times New Roman" w:hAnsi="Times New Roman" w:cs="Times New Roman"/>
          <w:b/>
          <w:bCs/>
          <w:color w:val="000000"/>
          <w:spacing w:val="-1"/>
          <w:sz w:val="24"/>
          <w:szCs w:val="24"/>
          <w:lang w:eastAsia="hr-HR"/>
        </w:rPr>
      </w:pPr>
    </w:p>
    <w:p w:rsidR="00DD0936" w:rsidRPr="00576C1D" w:rsidRDefault="00DD0936" w:rsidP="00DD0936">
      <w:pPr>
        <w:widowControl w:val="0"/>
        <w:shd w:val="clear" w:color="auto" w:fill="FFFFFF"/>
        <w:autoSpaceDE w:val="0"/>
        <w:autoSpaceDN w:val="0"/>
        <w:adjustRightInd w:val="0"/>
        <w:spacing w:before="422"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2.A.7 Socijalna inovacija, međudržavna suradnja i doprinos tematskim ciljevima 1 - 7</w:t>
      </w:r>
    </w:p>
    <w:tbl>
      <w:tblPr>
        <w:tblStyle w:val="TableGrid"/>
        <w:tblW w:w="0" w:type="auto"/>
        <w:tblLook w:val="04A0" w:firstRow="1" w:lastRow="0" w:firstColumn="1" w:lastColumn="0" w:noHBand="0" w:noVBand="1"/>
      </w:tblPr>
      <w:tblGrid>
        <w:gridCol w:w="4530"/>
        <w:gridCol w:w="10604"/>
      </w:tblGrid>
      <w:tr w:rsidR="00DD0936" w:rsidRPr="00DD0936" w:rsidTr="00DD0936">
        <w:tc>
          <w:tcPr>
            <w:tcW w:w="4530" w:type="dxa"/>
            <w:vAlign w:val="center"/>
          </w:tcPr>
          <w:p w:rsidR="00DD0936" w:rsidRPr="00DD0936" w:rsidRDefault="00DD0936" w:rsidP="001A0292">
            <w:pPr>
              <w:rPr>
                <w:rFonts w:ascii="Times New Roman" w:hAnsi="Times New Roman"/>
                <w:sz w:val="24"/>
                <w:szCs w:val="24"/>
              </w:rPr>
            </w:pPr>
            <w:r w:rsidRPr="00DD0936">
              <w:rPr>
                <w:rFonts w:ascii="Times New Roman" w:hAnsi="Times New Roman"/>
                <w:sz w:val="24"/>
                <w:szCs w:val="24"/>
              </w:rPr>
              <w:t>Prioritetna os</w:t>
            </w:r>
          </w:p>
        </w:tc>
        <w:tc>
          <w:tcPr>
            <w:tcW w:w="10604" w:type="dxa"/>
            <w:vAlign w:val="center"/>
          </w:tcPr>
          <w:p w:rsidR="00DD0936" w:rsidRPr="00DD0936" w:rsidRDefault="00DD0936" w:rsidP="001A0292">
            <w:pPr>
              <w:widowControl w:val="0"/>
              <w:shd w:val="clear" w:color="auto" w:fill="FFFFFF"/>
              <w:autoSpaceDE w:val="0"/>
              <w:autoSpaceDN w:val="0"/>
              <w:adjustRightInd w:val="0"/>
              <w:rPr>
                <w:rFonts w:ascii="Times New Roman" w:hAnsi="Times New Roman"/>
                <w:sz w:val="24"/>
                <w:szCs w:val="24"/>
              </w:rPr>
            </w:pPr>
            <w:r w:rsidRPr="00DD0936">
              <w:rPr>
                <w:rFonts w:ascii="Times New Roman" w:hAnsi="Times New Roman"/>
                <w:b/>
                <w:bCs/>
                <w:color w:val="000000"/>
                <w:sz w:val="24"/>
                <w:szCs w:val="24"/>
              </w:rPr>
              <w:t>2 - Korištenje informacijske i komunikacijske tehnologije</w:t>
            </w:r>
          </w:p>
        </w:tc>
      </w:tr>
    </w:tbl>
    <w:p w:rsidR="006774A5" w:rsidRDefault="006774A5" w:rsidP="006774A5">
      <w:pPr>
        <w:widowControl w:val="0"/>
        <w:shd w:val="clear" w:color="auto" w:fill="FFFFFF"/>
        <w:autoSpaceDE w:val="0"/>
        <w:autoSpaceDN w:val="0"/>
        <w:adjustRightInd w:val="0"/>
        <w:spacing w:after="0" w:line="240" w:lineRule="auto"/>
        <w:ind w:left="539"/>
        <w:rPr>
          <w:rFonts w:ascii="Times New Roman" w:eastAsia="Times New Roman" w:hAnsi="Times New Roman" w:cs="Times New Roman"/>
          <w:b/>
          <w:bCs/>
          <w:color w:val="000000"/>
          <w:spacing w:val="-2"/>
          <w:sz w:val="24"/>
          <w:szCs w:val="24"/>
          <w:lang w:eastAsia="hr-HR"/>
        </w:rPr>
      </w:pPr>
    </w:p>
    <w:p w:rsidR="00FC3F35" w:rsidRPr="00576C1D" w:rsidRDefault="00FC3F35" w:rsidP="006774A5">
      <w:pPr>
        <w:widowControl w:val="0"/>
        <w:shd w:val="clear" w:color="auto" w:fill="FFFFFF"/>
        <w:autoSpaceDE w:val="0"/>
        <w:autoSpaceDN w:val="0"/>
        <w:adjustRightInd w:val="0"/>
        <w:spacing w:after="0" w:line="240" w:lineRule="auto"/>
        <w:ind w:left="53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2.A.8 Okvir uspješnosti</w:t>
      </w:r>
    </w:p>
    <w:p w:rsidR="00FC3F35" w:rsidRPr="00576C1D" w:rsidRDefault="00FC3F35" w:rsidP="006774A5">
      <w:pPr>
        <w:widowControl w:val="0"/>
        <w:shd w:val="clear" w:color="auto" w:fill="FFFFFF"/>
        <w:autoSpaceDE w:val="0"/>
        <w:autoSpaceDN w:val="0"/>
        <w:adjustRightInd w:val="0"/>
        <w:spacing w:after="0" w:line="240" w:lineRule="auto"/>
        <w:ind w:left="5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6: Okvir uspješnosti prioritetnih osi </w:t>
      </w:r>
      <w:r w:rsidRPr="00576C1D">
        <w:rPr>
          <w:rFonts w:ascii="Times New Roman" w:eastAsia="Times New Roman" w:hAnsi="Times New Roman" w:cs="Times New Roman"/>
          <w:color w:val="000000"/>
          <w:spacing w:val="-1"/>
          <w:sz w:val="24"/>
          <w:szCs w:val="24"/>
          <w:lang w:eastAsia="hr-HR"/>
        </w:rPr>
        <w:t xml:space="preserve">(po fondu te, za EFRR i ESF, po kategoriji regije) </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02"/>
        <w:gridCol w:w="10"/>
        <w:gridCol w:w="652"/>
        <w:gridCol w:w="10"/>
        <w:gridCol w:w="700"/>
        <w:gridCol w:w="10"/>
        <w:gridCol w:w="844"/>
        <w:gridCol w:w="10"/>
        <w:gridCol w:w="1670"/>
        <w:gridCol w:w="10"/>
        <w:gridCol w:w="1190"/>
        <w:gridCol w:w="10"/>
        <w:gridCol w:w="950"/>
        <w:gridCol w:w="10"/>
        <w:gridCol w:w="998"/>
        <w:gridCol w:w="10"/>
        <w:gridCol w:w="1008"/>
        <w:gridCol w:w="10"/>
        <w:gridCol w:w="1008"/>
        <w:gridCol w:w="10"/>
        <w:gridCol w:w="1008"/>
        <w:gridCol w:w="10"/>
        <w:gridCol w:w="998"/>
        <w:gridCol w:w="10"/>
        <w:gridCol w:w="1008"/>
        <w:gridCol w:w="10"/>
        <w:gridCol w:w="892"/>
        <w:gridCol w:w="10"/>
        <w:gridCol w:w="1171"/>
        <w:gridCol w:w="10"/>
      </w:tblGrid>
      <w:tr w:rsidR="00FC3F35" w:rsidRPr="00576C1D" w:rsidTr="00FC3F35">
        <w:trPr>
          <w:gridAfter w:val="1"/>
          <w:wAfter w:w="10" w:type="dxa"/>
          <w:trHeight w:hRule="exact" w:val="374"/>
        </w:trPr>
        <w:tc>
          <w:tcPr>
            <w:tcW w:w="2274"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Prioritetna os</w:t>
            </w:r>
          </w:p>
        </w:tc>
        <w:tc>
          <w:tcPr>
            <w:tcW w:w="2534" w:type="dxa"/>
            <w:gridSpan w:val="4"/>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2 </w:t>
            </w:r>
            <w:r w:rsidRPr="00576C1D">
              <w:rPr>
                <w:rFonts w:ascii="Times New Roman" w:eastAsia="Times New Roman" w:hAnsi="Times New Roman" w:cs="Times New Roman"/>
                <w:color w:val="000000"/>
                <w:spacing w:val="-1"/>
                <w:sz w:val="10"/>
                <w:szCs w:val="10"/>
                <w:lang w:eastAsia="hr-HR"/>
              </w:rPr>
              <w:t xml:space="preserve">- </w:t>
            </w:r>
            <w:r w:rsidRPr="00576C1D">
              <w:rPr>
                <w:rFonts w:ascii="Times New Roman" w:eastAsia="Times New Roman" w:hAnsi="Times New Roman" w:cs="Times New Roman"/>
                <w:b/>
                <w:bCs/>
                <w:color w:val="000000"/>
                <w:sz w:val="10"/>
                <w:szCs w:val="10"/>
                <w:lang w:eastAsia="hr-HR"/>
              </w:rPr>
              <w:t>Korištenje informacijske i komunikacijske tehnologije</w:t>
            </w:r>
          </w:p>
        </w:tc>
        <w:tc>
          <w:tcPr>
            <w:tcW w:w="1200"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20" w:type="dxa"/>
            <w:gridSpan w:val="4"/>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gridAfter w:val="1"/>
          <w:wAfter w:w="10" w:type="dxa"/>
          <w:trHeight w:hRule="exact" w:val="365"/>
        </w:trPr>
        <w:tc>
          <w:tcPr>
            <w:tcW w:w="90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4"/>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točkaza 2018.</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relevantnog pokazatelja, po potrebi</w:t>
            </w:r>
          </w:p>
        </w:tc>
      </w:tr>
      <w:tr w:rsidR="00FC3F35" w:rsidRPr="00576C1D" w:rsidTr="00FC3F35">
        <w:trPr>
          <w:gridAfter w:val="1"/>
          <w:wAfter w:w="10" w:type="dxa"/>
          <w:trHeight w:hRule="exact" w:val="365"/>
        </w:trPr>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4"/>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Ž</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902"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tc>
        <w:tc>
          <w:tcPr>
            <w:tcW w:w="1181"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gridAfter w:val="1"/>
          <w:wAfter w:w="10" w:type="dxa"/>
          <w:trHeight w:hRule="exact" w:val="1181"/>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CO10</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IKT infrastruktura: dodatna kućanstva sa širokopojasnim pristupom od najmanje 30 Mbps</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Kućanstva</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80.000,00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315.000,00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ISU</w:t>
            </w:r>
          </w:p>
        </w:tc>
        <w:tc>
          <w:tcPr>
            <w:tcW w:w="1181"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Ovaj pokazatelj predstavlja većinu sredstava alociranih specifičnom cilju 1, u okviru investicijskog prioriteta 2a</w:t>
            </w:r>
            <w:r w:rsidRPr="00576C1D">
              <w:rPr>
                <w:rFonts w:ascii="Times New Roman" w:eastAsia="Times New Roman" w:hAnsi="Times New Roman" w:cs="Times New Roman"/>
                <w:color w:val="000000"/>
                <w:spacing w:val="-1"/>
                <w:sz w:val="10"/>
                <w:szCs w:val="10"/>
                <w:lang w:eastAsia="hr-HR"/>
              </w:rPr>
              <w:t>.</w:t>
            </w:r>
          </w:p>
        </w:tc>
      </w:tr>
      <w:tr w:rsidR="00FC3F35" w:rsidRPr="00576C1D" w:rsidTr="00FC3F35">
        <w:trPr>
          <w:gridAfter w:val="1"/>
          <w:wAfter w:w="10" w:type="dxa"/>
          <w:trHeight w:hRule="exact" w:val="538"/>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F</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10"/>
                <w:szCs w:val="10"/>
                <w:lang w:eastAsia="hr-HR"/>
              </w:rPr>
              <w:t>Ukupni iznos odobrenih prihvatljivih izdataka</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milijun EUR</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2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82,114.179,00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375,238.443,00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ISU</w:t>
            </w:r>
          </w:p>
        </w:tc>
        <w:tc>
          <w:tcPr>
            <w:tcW w:w="1181"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Kontrolna točka predstavlja N+3 pravilo za državnu upravu isključujući 6% </w:t>
            </w:r>
          </w:p>
        </w:tc>
      </w:tr>
      <w:tr w:rsidR="00FC3F35" w:rsidRPr="00576C1D" w:rsidTr="00FC3F35">
        <w:trPr>
          <w:trHeight w:hRule="exact" w:val="374"/>
        </w:trPr>
        <w:tc>
          <w:tcPr>
            <w:tcW w:w="228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Prioritetna os</w:t>
            </w:r>
          </w:p>
        </w:tc>
        <w:tc>
          <w:tcPr>
            <w:tcW w:w="12865" w:type="dxa"/>
            <w:gridSpan w:val="2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2 </w:t>
            </w:r>
            <w:r w:rsidRPr="00576C1D">
              <w:rPr>
                <w:rFonts w:ascii="Times New Roman" w:eastAsia="Times New Roman" w:hAnsi="Times New Roman" w:cs="Times New Roman"/>
                <w:color w:val="000000"/>
                <w:spacing w:val="-1"/>
                <w:sz w:val="10"/>
                <w:szCs w:val="10"/>
                <w:lang w:eastAsia="hr-HR"/>
              </w:rPr>
              <w:t xml:space="preserve">- </w:t>
            </w:r>
            <w:r w:rsidRPr="00576C1D">
              <w:rPr>
                <w:rFonts w:ascii="Times New Roman" w:eastAsia="Times New Roman" w:hAnsi="Times New Roman" w:cs="Times New Roman"/>
                <w:b/>
                <w:bCs/>
                <w:color w:val="000000"/>
                <w:sz w:val="10"/>
                <w:szCs w:val="10"/>
                <w:lang w:eastAsia="hr-HR"/>
              </w:rPr>
              <w:t>Korištenje informacijske i komunikacijske tehnologije</w:t>
            </w:r>
          </w:p>
        </w:tc>
      </w:tr>
      <w:tr w:rsidR="00FC3F35" w:rsidRPr="00576C1D" w:rsidTr="00FC3F35">
        <w:trPr>
          <w:trHeight w:hRule="exact" w:val="365"/>
        </w:trPr>
        <w:tc>
          <w:tcPr>
            <w:tcW w:w="91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relevantnog pokazatelja, po potrebi</w:t>
            </w:r>
          </w:p>
        </w:tc>
      </w:tr>
      <w:tr w:rsidR="00FC3F35" w:rsidRPr="00576C1D" w:rsidTr="00FC3F35">
        <w:trPr>
          <w:trHeight w:hRule="exact" w:val="586"/>
        </w:trPr>
        <w:tc>
          <w:tcPr>
            <w:tcW w:w="91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Pričuva za ostvarenje rezultata (tj. ukupno alocirana sredstva za 2014. i 2015. u neto iznosu od 6 %)</w:t>
            </w:r>
          </w:p>
        </w:tc>
      </w:tr>
      <w:tr w:rsidR="00FC3F35" w:rsidRPr="00576C1D" w:rsidTr="00FC3F35">
        <w:trPr>
          <w:trHeight w:hRule="exact" w:val="1421"/>
        </w:trPr>
        <w:tc>
          <w:tcPr>
            <w:tcW w:w="91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0"/>
                <w:szCs w:val="10"/>
                <w:lang w:eastAsia="hr-HR"/>
              </w:rPr>
              <w:t>2c11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14" w:hanging="5"/>
              <w:rPr>
                <w:rFonts w:ascii="Times New Roman" w:eastAsia="Times New Roman" w:hAnsi="Times New Roman" w:cs="Times New Roman"/>
                <w:sz w:val="10"/>
                <w:szCs w:val="10"/>
                <w:lang w:eastAsia="hr-HR"/>
              </w:rPr>
            </w:pPr>
            <w:r w:rsidRPr="00576C1D">
              <w:rPr>
                <w:rFonts w:ascii="Times New Roman" w:eastAsia="Times New Roman" w:hAnsi="Times New Roman" w:cs="Times New Roman"/>
                <w:color w:val="000000"/>
                <w:spacing w:val="1"/>
                <w:sz w:val="10"/>
                <w:szCs w:val="10"/>
                <w:lang w:eastAsia="hr-HR"/>
              </w:rPr>
              <w:t>Broj institucija integriranih u Oblak Vlade</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Broj</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9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40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2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300,00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ISU</w:t>
            </w:r>
          </w:p>
        </w:tc>
        <w:tc>
          <w:tcPr>
            <w:tcW w:w="1181"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96"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Investicije koje su pridonijele ovom pokazatelju provodit će se u prvoj fazi i predstavljaju preduvjet za razvoj kasnijih e-usluga.</w:t>
            </w:r>
          </w:p>
        </w:tc>
      </w:tr>
    </w:tbl>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b/>
          <w:bCs/>
          <w:color w:val="000000"/>
          <w:sz w:val="24"/>
          <w:szCs w:val="24"/>
          <w:lang w:eastAsia="hr-HR"/>
        </w:rPr>
      </w:pPr>
      <w:r w:rsidRPr="00576C1D">
        <w:rPr>
          <w:rFonts w:ascii="Times New Roman" w:eastAsia="Times New Roman" w:hAnsi="Times New Roman" w:cs="Times New Roman"/>
          <w:b/>
          <w:bCs/>
          <w:color w:val="000000"/>
          <w:sz w:val="24"/>
          <w:szCs w:val="24"/>
          <w:lang w:eastAsia="hr-HR"/>
        </w:rPr>
        <w:t>Dodatne kvalitativne informacije o stvaranju okvira uspješnosti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2.A.9 Kategorije intervencije</w:t>
      </w:r>
    </w:p>
    <w:p w:rsidR="00FC3F35" w:rsidRPr="00576C1D" w:rsidRDefault="00FC3F35" w:rsidP="00FC3F35">
      <w:pPr>
        <w:widowControl w:val="0"/>
        <w:shd w:val="clear" w:color="auto" w:fill="FFFFFF"/>
        <w:autoSpaceDE w:val="0"/>
        <w:autoSpaceDN w:val="0"/>
        <w:adjustRightInd w:val="0"/>
        <w:spacing w:before="130" w:after="0" w:line="269" w:lineRule="exact"/>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4"/>
          <w:szCs w:val="24"/>
          <w:lang w:eastAsia="hr-HR"/>
        </w:rPr>
        <w:t>Kategorije intervencije koje odgovaraju sadržaju prioritetne osi na temelju nazivlja koje je usvojila Komisija i indikativne analize potpore EU</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317" w:after="0" w:line="518" w:lineRule="exact"/>
        <w:ind w:left="542" w:right="110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24"/>
          <w:szCs w:val="24"/>
          <w:lang w:eastAsia="hr-HR"/>
        </w:rPr>
        <w:t xml:space="preserve">Tablice 7 - 11: Kategorije intervencije </w:t>
      </w:r>
      <w:r w:rsidRPr="00576C1D">
        <w:rPr>
          <w:rFonts w:ascii="Times New Roman" w:eastAsia="Times New Roman" w:hAnsi="Times New Roman" w:cs="Times New Roman"/>
          <w:color w:val="000000"/>
          <w:spacing w:val="-5"/>
          <w:lang w:eastAsia="hr-HR"/>
        </w:rPr>
        <w:t xml:space="preserve">Tablica </w:t>
      </w:r>
      <w:r w:rsidRPr="00576C1D">
        <w:rPr>
          <w:rFonts w:ascii="Times New Roman" w:eastAsia="Times New Roman" w:hAnsi="Times New Roman" w:cs="Times New Roman"/>
          <w:color w:val="000000"/>
          <w:spacing w:val="-4"/>
          <w:lang w:eastAsia="hr-HR"/>
        </w:rPr>
        <w:t>7: Dimenzija 1 - Kategorija intervencije</w:t>
      </w:r>
    </w:p>
    <w:tbl>
      <w:tblPr>
        <w:tblW w:w="0" w:type="auto"/>
        <w:tblInd w:w="40" w:type="dxa"/>
        <w:tblLayout w:type="fixed"/>
        <w:tblCellMar>
          <w:left w:w="40" w:type="dxa"/>
          <w:right w:w="40" w:type="dxa"/>
        </w:tblCellMar>
        <w:tblLook w:val="0000" w:firstRow="0" w:lastRow="0" w:firstColumn="0" w:lastColumn="0" w:noHBand="0" w:noVBand="0"/>
      </w:tblPr>
      <w:tblGrid>
        <w:gridCol w:w="970"/>
        <w:gridCol w:w="9"/>
        <w:gridCol w:w="1210"/>
        <w:gridCol w:w="1764"/>
        <w:gridCol w:w="16"/>
        <w:gridCol w:w="6"/>
        <w:gridCol w:w="9172"/>
        <w:gridCol w:w="6"/>
        <w:gridCol w:w="1991"/>
      </w:tblGrid>
      <w:tr w:rsidR="00DD0936" w:rsidRPr="006774A5" w:rsidTr="00DD0936">
        <w:trPr>
          <w:trHeight w:hRule="exact" w:val="451"/>
        </w:trPr>
        <w:tc>
          <w:tcPr>
            <w:tcW w:w="3953" w:type="dxa"/>
            <w:gridSpan w:val="4"/>
            <w:tcBorders>
              <w:top w:val="single" w:sz="6" w:space="0" w:color="auto"/>
              <w:left w:val="single" w:sz="6" w:space="0" w:color="auto"/>
              <w:bottom w:val="single" w:sz="6" w:space="0" w:color="auto"/>
              <w:right w:val="single" w:sz="4"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 xml:space="preserve">Prioritetna os </w:t>
            </w:r>
          </w:p>
        </w:tc>
        <w:tc>
          <w:tcPr>
            <w:tcW w:w="11191" w:type="dxa"/>
            <w:gridSpan w:val="5"/>
            <w:tcBorders>
              <w:top w:val="single" w:sz="6" w:space="0" w:color="auto"/>
              <w:left w:val="single" w:sz="4"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 xml:space="preserve">2 - </w:t>
            </w:r>
            <w:r w:rsidRPr="006774A5">
              <w:rPr>
                <w:rFonts w:ascii="Times New Roman" w:eastAsia="Times New Roman" w:hAnsi="Times New Roman" w:cs="Times New Roman"/>
                <w:b/>
                <w:bCs/>
                <w:color w:val="000000"/>
                <w:sz w:val="20"/>
                <w:szCs w:val="20"/>
                <w:lang w:eastAsia="hr-HR"/>
              </w:rPr>
              <w:t>Korištenje informacijske i komunikacijske tehnologije</w:t>
            </w:r>
          </w:p>
        </w:tc>
      </w:tr>
      <w:tr w:rsidR="00FC3F35" w:rsidRPr="006774A5" w:rsidTr="00DD0936">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5"/>
                <w:sz w:val="20"/>
                <w:szCs w:val="20"/>
                <w:lang w:eastAsia="hr-HR"/>
              </w:rPr>
              <w:t>Fond</w:t>
            </w:r>
          </w:p>
        </w:tc>
        <w:tc>
          <w:tcPr>
            <w:tcW w:w="299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Kategorija regije</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3"/>
                <w:sz w:val="20"/>
                <w:szCs w:val="20"/>
                <w:lang w:eastAsia="hr-HR"/>
              </w:rPr>
              <w:t>Šifra</w:t>
            </w:r>
          </w:p>
        </w:tc>
        <w:tc>
          <w:tcPr>
            <w:tcW w:w="199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iznos u eurima</w:t>
            </w:r>
          </w:p>
        </w:tc>
      </w:tr>
      <w:tr w:rsidR="00FC3F35" w:rsidRPr="006774A5" w:rsidTr="00DD0936">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045. IKT: Osnovna/posrednička mreža</w:t>
            </w:r>
          </w:p>
        </w:tc>
        <w:tc>
          <w:tcPr>
            <w:tcW w:w="199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86,215.131,00</w:t>
            </w:r>
          </w:p>
        </w:tc>
      </w:tr>
      <w:tr w:rsidR="00FC3F35" w:rsidRPr="006774A5" w:rsidTr="00DD0936">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046. IKT: Brza širokopojasna mreža (pristupna/lokalna petlja; &gt;/= 30 Mbps)</w:t>
            </w:r>
          </w:p>
        </w:tc>
        <w:tc>
          <w:tcPr>
            <w:tcW w:w="199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3"/>
                <w:sz w:val="20"/>
                <w:szCs w:val="20"/>
                <w:lang w:eastAsia="hr-HR"/>
              </w:rPr>
              <w:t>117,290.390,00</w:t>
            </w:r>
          </w:p>
        </w:tc>
      </w:tr>
      <w:tr w:rsidR="00FC3F35" w:rsidRPr="006774A5" w:rsidTr="00DD0936">
        <w:trPr>
          <w:trHeight w:hRule="exact" w:val="451"/>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z w:val="20"/>
                <w:szCs w:val="20"/>
                <w:lang w:eastAsia="hr-HR"/>
              </w:rPr>
              <w:t>048. IKT: Drugi tipovi IKT infrastrukture/veliki računalni resursi/oprema (uključujući e-infrastrukturu, podatkovne centre i senzore;</w:t>
            </w:r>
          </w:p>
        </w:tc>
        <w:tc>
          <w:tcPr>
            <w:tcW w:w="199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28,567.447,00</w:t>
            </w:r>
          </w:p>
        </w:tc>
      </w:tr>
      <w:tr w:rsidR="00FC3F35" w:rsidRPr="006774A5" w:rsidTr="00DD0936">
        <w:trPr>
          <w:trHeight w:hRule="exact" w:val="442"/>
        </w:trPr>
        <w:tc>
          <w:tcPr>
            <w:tcW w:w="3969"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DD0936">
            <w:pPr>
              <w:widowControl w:val="0"/>
              <w:shd w:val="clear" w:color="auto" w:fill="FFFFFF"/>
              <w:autoSpaceDE w:val="0"/>
              <w:autoSpaceDN w:val="0"/>
              <w:adjustRightInd w:val="0"/>
              <w:spacing w:after="0" w:line="240" w:lineRule="auto"/>
              <w:ind w:right="1109"/>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2"/>
                <w:sz w:val="20"/>
                <w:szCs w:val="20"/>
                <w:lang w:eastAsia="hr-HR"/>
              </w:rPr>
              <w:t>Prioritetna os</w:t>
            </w:r>
          </w:p>
        </w:tc>
        <w:tc>
          <w:tcPr>
            <w:tcW w:w="11175"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109"/>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2"/>
                <w:sz w:val="20"/>
                <w:szCs w:val="20"/>
                <w:lang w:eastAsia="hr-HR"/>
              </w:rPr>
              <w:t>2 - Korištenje informacijske i komunikacijske tehnologije</w:t>
            </w:r>
          </w:p>
        </w:tc>
      </w:tr>
      <w:tr w:rsidR="00FC3F35" w:rsidRPr="006774A5" w:rsidTr="00DD0936">
        <w:trPr>
          <w:trHeight w:hRule="exact" w:val="43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4"/>
                <w:sz w:val="20"/>
                <w:szCs w:val="20"/>
                <w:lang w:eastAsia="hr-HR"/>
              </w:rPr>
              <w:t>Fond</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Kategorija regije</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3"/>
                <w:sz w:val="20"/>
                <w:szCs w:val="20"/>
                <w:lang w:eastAsia="hr-HR"/>
              </w:rPr>
              <w:t>Šifra</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iznos u eurima</w:t>
            </w:r>
          </w:p>
        </w:tc>
      </w:tr>
      <w:tr w:rsidR="00FC3F35" w:rsidRPr="006774A5" w:rsidTr="00DD0936">
        <w:trPr>
          <w:trHeight w:hRule="exact" w:val="317"/>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također ako su uklopljeni u druge infrastrukture kao što su istraživački objekti, ekološka i društvena infrastruktura)</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6774A5" w:rsidTr="00DD0936">
        <w:trPr>
          <w:trHeight w:hRule="exact" w:val="614"/>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187" w:lineRule="exact"/>
              <w:ind w:right="341"/>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078. servisi i aplikacije e-vlade (uključujući e-nabavu, IKT mjere podrške reformi javne uprave, web-sigurnosti, povjerenja i odredbi privatnosti, e-pravosuđa ii e-demokracije)</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859"/>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3"/>
                <w:sz w:val="20"/>
                <w:szCs w:val="20"/>
                <w:lang w:eastAsia="hr-HR"/>
              </w:rPr>
              <w:t>13,775.000,00</w:t>
            </w:r>
          </w:p>
        </w:tc>
      </w:tr>
      <w:tr w:rsidR="00FC3F35" w:rsidRPr="006774A5" w:rsidTr="00DD0936">
        <w:trPr>
          <w:trHeight w:hRule="exact" w:val="43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079. Pristup javnom sektoru informacija (uključujući otvorene podatke, e-kulturu, digitalizirane knjižnice, e-sadržaj i e-turizam)</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859"/>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3"/>
                <w:sz w:val="20"/>
                <w:szCs w:val="20"/>
                <w:lang w:eastAsia="hr-HR"/>
              </w:rPr>
              <w:t>11,400.000,00</w:t>
            </w:r>
          </w:p>
        </w:tc>
      </w:tr>
      <w:tr w:rsidR="00FC3F35" w:rsidRPr="006774A5" w:rsidTr="00DD0936">
        <w:trPr>
          <w:trHeight w:hRule="exact" w:val="44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080. e-uključivanje, e-pristupačnost, e-učenje i e-edukacijske usluge i aplikacije, digitalna pismenost</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859"/>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3"/>
                <w:sz w:val="20"/>
                <w:szCs w:val="20"/>
                <w:lang w:eastAsia="hr-HR"/>
              </w:rPr>
              <w:t>11,875.000,00</w:t>
            </w:r>
          </w:p>
        </w:tc>
      </w:tr>
      <w:tr w:rsidR="00FC3F35" w:rsidRPr="006774A5" w:rsidTr="00DD0936">
        <w:trPr>
          <w:trHeight w:hRule="exact" w:val="710"/>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182" w:lineRule="exact"/>
              <w:ind w:right="259"/>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081. IKT rješenja koja se bave izazovima zdravog i aktivnog starenja te usluge e-zdravstva i aplikacija (uključujući e-skrb i okolinom potpomognut život)</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38,486.057,00</w:t>
            </w:r>
          </w:p>
        </w:tc>
      </w:tr>
      <w:tr w:rsidR="00FC3F35" w:rsidRPr="006774A5" w:rsidTr="00DD0936">
        <w:trPr>
          <w:trHeight w:hRule="exact" w:val="43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121. Priprema, provedba, nadzor i inspekcijski pregled</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859"/>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3"/>
                <w:sz w:val="20"/>
                <w:szCs w:val="20"/>
                <w:lang w:eastAsia="hr-HR"/>
              </w:rPr>
              <w:t>11,343.651,00</w:t>
            </w:r>
          </w:p>
        </w:tc>
      </w:tr>
      <w:tr w:rsidR="00FC3F35" w:rsidRPr="006774A5" w:rsidTr="00DD0936">
        <w:trPr>
          <w:trHeight w:hRule="exact" w:val="730"/>
        </w:trPr>
        <w:tc>
          <w:tcPr>
            <w:tcW w:w="15144" w:type="dxa"/>
            <w:gridSpan w:val="9"/>
            <w:tcBorders>
              <w:top w:val="single" w:sz="6" w:space="0" w:color="auto"/>
              <w:left w:val="nil"/>
              <w:bottom w:val="single" w:sz="6" w:space="0" w:color="auto"/>
              <w:right w:val="nil"/>
            </w:tcBorders>
            <w:shd w:val="clear" w:color="auto" w:fill="FFFFFF"/>
          </w:tcPr>
          <w:p w:rsidR="00DD0936" w:rsidRPr="006774A5" w:rsidRDefault="00DD0936"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0"/>
                <w:szCs w:val="20"/>
                <w:lang w:eastAsia="hr-HR"/>
              </w:rPr>
            </w:pPr>
          </w:p>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5"/>
                <w:sz w:val="20"/>
                <w:szCs w:val="20"/>
                <w:lang w:eastAsia="hr-HR"/>
              </w:rPr>
              <w:t xml:space="preserve">Tablica </w:t>
            </w:r>
            <w:r w:rsidRPr="006774A5">
              <w:rPr>
                <w:rFonts w:ascii="Times New Roman" w:eastAsia="Times New Roman" w:hAnsi="Times New Roman" w:cs="Times New Roman"/>
                <w:color w:val="000000"/>
                <w:spacing w:val="-6"/>
                <w:sz w:val="20"/>
                <w:szCs w:val="20"/>
                <w:lang w:eastAsia="hr-HR"/>
              </w:rPr>
              <w:t xml:space="preserve">8: </w:t>
            </w:r>
            <w:r w:rsidRPr="006774A5">
              <w:rPr>
                <w:rFonts w:ascii="Times New Roman" w:eastAsia="Times New Roman" w:hAnsi="Times New Roman" w:cs="Times New Roman"/>
                <w:color w:val="000000"/>
                <w:spacing w:val="-4"/>
                <w:sz w:val="20"/>
                <w:szCs w:val="20"/>
                <w:lang w:eastAsia="hr-HR"/>
              </w:rPr>
              <w:t>Dimenzija</w:t>
            </w:r>
            <w:r w:rsidRPr="006774A5">
              <w:rPr>
                <w:rFonts w:ascii="Times New Roman" w:eastAsia="Times New Roman" w:hAnsi="Times New Roman" w:cs="Times New Roman"/>
                <w:color w:val="000000"/>
                <w:spacing w:val="-6"/>
                <w:sz w:val="20"/>
                <w:szCs w:val="20"/>
                <w:lang w:eastAsia="hr-HR"/>
              </w:rPr>
              <w:t xml:space="preserve"> 2 - Oblik financiranja</w:t>
            </w:r>
          </w:p>
        </w:tc>
      </w:tr>
      <w:tr w:rsidR="00FC3F35" w:rsidRPr="006774A5" w:rsidTr="00DD0936">
        <w:trPr>
          <w:trHeight w:hRule="exact" w:val="432"/>
        </w:trPr>
        <w:tc>
          <w:tcPr>
            <w:tcW w:w="3969"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2"/>
                <w:sz w:val="20"/>
                <w:szCs w:val="20"/>
                <w:lang w:eastAsia="hr-HR"/>
              </w:rPr>
              <w:t>Prioritetna os</w:t>
            </w:r>
          </w:p>
        </w:tc>
        <w:tc>
          <w:tcPr>
            <w:tcW w:w="11175"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z w:val="20"/>
                <w:szCs w:val="20"/>
                <w:lang w:eastAsia="hr-HR"/>
              </w:rPr>
              <w:t>2 - Korištenje informacijske i komunikacijske tehnologije</w:t>
            </w:r>
          </w:p>
        </w:tc>
      </w:tr>
      <w:tr w:rsidR="00FC3F35" w:rsidRPr="006774A5" w:rsidTr="00DD0936">
        <w:trPr>
          <w:trHeight w:hRule="exact" w:val="43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4"/>
                <w:sz w:val="20"/>
                <w:szCs w:val="20"/>
                <w:lang w:eastAsia="hr-HR"/>
              </w:rPr>
              <w:t>Fond</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Kategorija regije</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3"/>
                <w:sz w:val="20"/>
                <w:szCs w:val="20"/>
                <w:lang w:eastAsia="hr-HR"/>
              </w:rPr>
              <w:t>Kod</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iznos u eurima</w:t>
            </w:r>
          </w:p>
        </w:tc>
      </w:tr>
      <w:tr w:rsidR="00FC3F35" w:rsidRPr="006774A5" w:rsidTr="00DD0936">
        <w:trPr>
          <w:trHeight w:hRule="exact" w:val="43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lastRenderedPageBreak/>
              <w:t>EFRR</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01. Bespovratna sredstva</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318,952.676,00</w:t>
            </w:r>
          </w:p>
        </w:tc>
      </w:tr>
      <w:tr w:rsidR="00FC3F35" w:rsidRPr="006774A5" w:rsidTr="00DD0936">
        <w:trPr>
          <w:trHeight w:hRule="exact" w:val="749"/>
        </w:trPr>
        <w:tc>
          <w:tcPr>
            <w:tcW w:w="15144" w:type="dxa"/>
            <w:gridSpan w:val="9"/>
            <w:tcBorders>
              <w:top w:val="single" w:sz="6" w:space="0" w:color="auto"/>
              <w:left w:val="nil"/>
              <w:bottom w:val="single" w:sz="6" w:space="0" w:color="auto"/>
              <w:right w:val="nil"/>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5"/>
                <w:sz w:val="20"/>
                <w:szCs w:val="20"/>
                <w:lang w:eastAsia="hr-HR"/>
              </w:rPr>
              <w:t xml:space="preserve">Tablica </w:t>
            </w:r>
            <w:r w:rsidRPr="006774A5">
              <w:rPr>
                <w:rFonts w:ascii="Times New Roman" w:eastAsia="Times New Roman" w:hAnsi="Times New Roman" w:cs="Times New Roman"/>
                <w:color w:val="000000"/>
                <w:spacing w:val="-4"/>
                <w:sz w:val="20"/>
                <w:szCs w:val="20"/>
                <w:lang w:eastAsia="hr-HR"/>
              </w:rPr>
              <w:t>9: Dimenzija 3 - Vrsta područja</w:t>
            </w:r>
          </w:p>
        </w:tc>
      </w:tr>
      <w:tr w:rsidR="00FC3F35" w:rsidRPr="006774A5" w:rsidTr="00DD0936">
        <w:trPr>
          <w:trHeight w:hRule="exact" w:val="432"/>
        </w:trPr>
        <w:tc>
          <w:tcPr>
            <w:tcW w:w="3969"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2"/>
                <w:sz w:val="20"/>
                <w:szCs w:val="20"/>
                <w:lang w:eastAsia="hr-HR"/>
              </w:rPr>
              <w:t>Prioritetna os</w:t>
            </w:r>
          </w:p>
        </w:tc>
        <w:tc>
          <w:tcPr>
            <w:tcW w:w="11175"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z w:val="20"/>
                <w:szCs w:val="20"/>
                <w:lang w:eastAsia="hr-HR"/>
              </w:rPr>
              <w:t>2 - Korištenje informacijske i komunikacijske tehnologije</w:t>
            </w:r>
          </w:p>
        </w:tc>
      </w:tr>
      <w:tr w:rsidR="00FC3F35" w:rsidRPr="006774A5" w:rsidTr="00DD0936">
        <w:trPr>
          <w:trHeight w:hRule="exact" w:val="44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4"/>
                <w:sz w:val="20"/>
                <w:szCs w:val="20"/>
                <w:lang w:eastAsia="hr-HR"/>
              </w:rPr>
              <w:t>Fond</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Kategorija regije</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3"/>
                <w:sz w:val="20"/>
                <w:szCs w:val="20"/>
                <w:lang w:eastAsia="hr-HR"/>
              </w:rPr>
              <w:t>Kod</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iznos u eurima</w:t>
            </w:r>
          </w:p>
        </w:tc>
      </w:tr>
      <w:tr w:rsidR="00FC3F35" w:rsidRPr="006774A5" w:rsidTr="00DD0936">
        <w:trPr>
          <w:trHeight w:hRule="exact" w:val="442"/>
        </w:trPr>
        <w:tc>
          <w:tcPr>
            <w:tcW w:w="979" w:type="dxa"/>
            <w:gridSpan w:val="2"/>
            <w:tcBorders>
              <w:top w:val="single" w:sz="6" w:space="0" w:color="auto"/>
              <w:left w:val="single" w:sz="6" w:space="0" w:color="auto"/>
              <w:bottom w:val="single" w:sz="4"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6" w:type="dxa"/>
            <w:gridSpan w:val="4"/>
            <w:tcBorders>
              <w:top w:val="single" w:sz="6" w:space="0" w:color="auto"/>
              <w:left w:val="single" w:sz="6" w:space="0" w:color="auto"/>
              <w:bottom w:val="single" w:sz="4"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4"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07. Neprimjenjiv</w:t>
            </w:r>
          </w:p>
        </w:tc>
        <w:tc>
          <w:tcPr>
            <w:tcW w:w="1991" w:type="dxa"/>
            <w:tcBorders>
              <w:top w:val="single" w:sz="6" w:space="0" w:color="auto"/>
              <w:left w:val="single" w:sz="6" w:space="0" w:color="auto"/>
              <w:bottom w:val="single" w:sz="4"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318,952.676,00</w:t>
            </w:r>
          </w:p>
        </w:tc>
      </w:tr>
      <w:tr w:rsidR="00DD0936" w:rsidRPr="006774A5" w:rsidTr="00DD0936">
        <w:trPr>
          <w:trHeight w:hRule="exact" w:val="1193"/>
        </w:trPr>
        <w:tc>
          <w:tcPr>
            <w:tcW w:w="15144" w:type="dxa"/>
            <w:gridSpan w:val="9"/>
            <w:tcBorders>
              <w:top w:val="single" w:sz="4" w:space="0" w:color="auto"/>
              <w:bottom w:val="single" w:sz="4"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0"/>
                <w:szCs w:val="20"/>
                <w:lang w:eastAsia="hr-HR"/>
              </w:rPr>
            </w:pPr>
          </w:p>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0"/>
                <w:szCs w:val="20"/>
                <w:lang w:eastAsia="hr-HR"/>
              </w:rPr>
            </w:pPr>
          </w:p>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0"/>
                <w:szCs w:val="20"/>
                <w:lang w:eastAsia="hr-HR"/>
              </w:rPr>
            </w:pPr>
          </w:p>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5"/>
                <w:sz w:val="20"/>
                <w:szCs w:val="20"/>
                <w:lang w:eastAsia="hr-HR"/>
              </w:rPr>
              <w:t xml:space="preserve">Tablica 10: </w:t>
            </w:r>
            <w:r w:rsidRPr="006774A5">
              <w:rPr>
                <w:rFonts w:ascii="Times New Roman" w:eastAsia="Times New Roman" w:hAnsi="Times New Roman" w:cs="Times New Roman"/>
                <w:color w:val="000000"/>
                <w:spacing w:val="-4"/>
                <w:sz w:val="20"/>
                <w:szCs w:val="20"/>
                <w:lang w:eastAsia="hr-HR"/>
              </w:rPr>
              <w:t>Dimenzija</w:t>
            </w:r>
            <w:r w:rsidRPr="006774A5">
              <w:rPr>
                <w:rFonts w:ascii="Times New Roman" w:eastAsia="Times New Roman" w:hAnsi="Times New Roman" w:cs="Times New Roman"/>
                <w:color w:val="000000"/>
                <w:spacing w:val="-5"/>
                <w:sz w:val="20"/>
                <w:szCs w:val="20"/>
                <w:lang w:eastAsia="hr-HR"/>
              </w:rPr>
              <w:t xml:space="preserve"> 4 - Mehanizmi teritorijalne provedbe </w:t>
            </w:r>
          </w:p>
        </w:tc>
      </w:tr>
      <w:tr w:rsidR="00DD0936" w:rsidRPr="006774A5" w:rsidTr="00DD0936">
        <w:trPr>
          <w:trHeight w:hRule="exact" w:val="461"/>
        </w:trPr>
        <w:tc>
          <w:tcPr>
            <w:tcW w:w="3969" w:type="dxa"/>
            <w:gridSpan w:val="5"/>
            <w:tcBorders>
              <w:top w:val="single" w:sz="4"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5"/>
                <w:sz w:val="20"/>
                <w:szCs w:val="20"/>
                <w:lang w:eastAsia="hr-HR"/>
              </w:rPr>
            </w:pPr>
            <w:r w:rsidRPr="006774A5">
              <w:rPr>
                <w:rFonts w:ascii="Times New Roman" w:eastAsia="Times New Roman" w:hAnsi="Times New Roman" w:cs="Times New Roman"/>
                <w:b/>
                <w:bCs/>
                <w:color w:val="000000"/>
                <w:spacing w:val="-2"/>
                <w:sz w:val="20"/>
                <w:szCs w:val="20"/>
                <w:lang w:eastAsia="hr-HR"/>
              </w:rPr>
              <w:t>Prioritetna os</w:t>
            </w:r>
          </w:p>
        </w:tc>
        <w:tc>
          <w:tcPr>
            <w:tcW w:w="11175" w:type="dxa"/>
            <w:gridSpan w:val="4"/>
            <w:tcBorders>
              <w:top w:val="single" w:sz="4"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6"/>
                <w:sz w:val="20"/>
                <w:szCs w:val="20"/>
                <w:lang w:eastAsia="hr-HR"/>
              </w:rPr>
              <w:t xml:space="preserve">2 - </w:t>
            </w:r>
            <w:r w:rsidRPr="006774A5">
              <w:rPr>
                <w:rFonts w:ascii="Times New Roman" w:eastAsia="Times New Roman" w:hAnsi="Times New Roman" w:cs="Times New Roman"/>
                <w:b/>
                <w:bCs/>
                <w:color w:val="000000"/>
                <w:sz w:val="20"/>
                <w:szCs w:val="20"/>
                <w:lang w:eastAsia="hr-HR"/>
              </w:rPr>
              <w:t>Korištenje informacijske i komunikacijske tehnologije</w:t>
            </w:r>
          </w:p>
        </w:tc>
      </w:tr>
      <w:tr w:rsidR="00DD0936" w:rsidRPr="006774A5" w:rsidTr="00DD0936">
        <w:trPr>
          <w:trHeight w:hRule="exact" w:val="44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4"/>
                <w:sz w:val="20"/>
                <w:szCs w:val="20"/>
                <w:lang w:eastAsia="hr-HR"/>
              </w:rPr>
              <w:t>Fond</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Kategorija regije</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3"/>
                <w:sz w:val="20"/>
                <w:szCs w:val="20"/>
                <w:lang w:eastAsia="hr-HR"/>
              </w:rPr>
              <w:t>Šifra</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iznos u eurima</w:t>
            </w:r>
          </w:p>
        </w:tc>
      </w:tr>
      <w:tr w:rsidR="00DD0936" w:rsidRPr="006774A5" w:rsidTr="00DD0936">
        <w:trPr>
          <w:trHeight w:hRule="exact" w:val="43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4"/>
                <w:sz w:val="20"/>
                <w:szCs w:val="20"/>
                <w:lang w:eastAsia="hr-HR"/>
              </w:rPr>
              <w:t>EFRR</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Manje razvijena</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07. Neprimjenjiv</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318,952.676,00</w:t>
            </w:r>
          </w:p>
        </w:tc>
      </w:tr>
      <w:tr w:rsidR="00DD0936" w:rsidRPr="006774A5" w:rsidTr="00DD0936">
        <w:trPr>
          <w:trHeight w:hRule="exact" w:val="768"/>
        </w:trPr>
        <w:tc>
          <w:tcPr>
            <w:tcW w:w="15144" w:type="dxa"/>
            <w:gridSpan w:val="9"/>
            <w:tcBorders>
              <w:top w:val="single" w:sz="6" w:space="0" w:color="auto"/>
              <w:left w:val="nil"/>
              <w:bottom w:val="single" w:sz="6" w:space="0" w:color="auto"/>
              <w:right w:val="nil"/>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0"/>
                <w:szCs w:val="20"/>
                <w:lang w:eastAsia="hr-HR"/>
              </w:rPr>
            </w:pPr>
          </w:p>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0"/>
                <w:szCs w:val="20"/>
                <w:lang w:eastAsia="hr-HR"/>
              </w:rPr>
            </w:pPr>
          </w:p>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2"/>
                <w:sz w:val="20"/>
                <w:szCs w:val="20"/>
                <w:lang w:eastAsia="hr-HR"/>
              </w:rPr>
              <w:t xml:space="preserve">Tablica 11: Dimenzija 6 - </w:t>
            </w:r>
            <w:r w:rsidRPr="006774A5">
              <w:rPr>
                <w:rFonts w:ascii="Times New Roman" w:eastAsia="Times New Roman" w:hAnsi="Times New Roman" w:cs="Times New Roman"/>
                <w:b/>
                <w:color w:val="000000"/>
                <w:spacing w:val="2"/>
                <w:sz w:val="20"/>
                <w:szCs w:val="20"/>
                <w:lang w:eastAsia="hr-HR"/>
              </w:rPr>
              <w:t xml:space="preserve">Sporedna tema Europskog socijalnog fonda </w:t>
            </w:r>
            <w:r w:rsidRPr="006774A5">
              <w:rPr>
                <w:rFonts w:ascii="Times New Roman" w:eastAsia="Times New Roman" w:hAnsi="Times New Roman" w:cs="Times New Roman"/>
                <w:color w:val="000000"/>
                <w:spacing w:val="2"/>
                <w:sz w:val="20"/>
                <w:szCs w:val="20"/>
                <w:lang w:eastAsia="hr-HR"/>
              </w:rPr>
              <w:t>(samo Europski socijalni fond i Inicijativa za zapošljavanje mladih)</w:t>
            </w:r>
          </w:p>
        </w:tc>
      </w:tr>
      <w:tr w:rsidR="00DD0936" w:rsidRPr="006774A5" w:rsidTr="00DD0936">
        <w:trPr>
          <w:trHeight w:hRule="exact" w:val="432"/>
        </w:trPr>
        <w:tc>
          <w:tcPr>
            <w:tcW w:w="2189" w:type="dxa"/>
            <w:gridSpan w:val="3"/>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2"/>
                <w:sz w:val="20"/>
                <w:szCs w:val="20"/>
                <w:lang w:eastAsia="hr-HR"/>
              </w:rPr>
              <w:t>Prioritetna os</w:t>
            </w:r>
          </w:p>
        </w:tc>
        <w:tc>
          <w:tcPr>
            <w:tcW w:w="12955" w:type="dxa"/>
            <w:gridSpan w:val="6"/>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 xml:space="preserve">2 - </w:t>
            </w:r>
            <w:r w:rsidRPr="006774A5">
              <w:rPr>
                <w:rFonts w:ascii="Times New Roman" w:eastAsia="Times New Roman" w:hAnsi="Times New Roman" w:cs="Times New Roman"/>
                <w:b/>
                <w:bCs/>
                <w:color w:val="000000"/>
                <w:sz w:val="20"/>
                <w:szCs w:val="20"/>
                <w:lang w:eastAsia="hr-HR"/>
              </w:rPr>
              <w:t>Korištenje informacijske i komunikacijske tehnologije</w:t>
            </w:r>
          </w:p>
        </w:tc>
      </w:tr>
      <w:tr w:rsidR="00DD0936" w:rsidRPr="006774A5" w:rsidTr="00DD0936">
        <w:trPr>
          <w:trHeight w:hRule="exact" w:val="451"/>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4"/>
                <w:sz w:val="20"/>
                <w:szCs w:val="20"/>
                <w:lang w:eastAsia="hr-HR"/>
              </w:rPr>
              <w:t>Fond</w:t>
            </w:r>
          </w:p>
        </w:tc>
        <w:tc>
          <w:tcPr>
            <w:tcW w:w="2996" w:type="dxa"/>
            <w:gridSpan w:val="4"/>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Kategorija regije</w:t>
            </w:r>
          </w:p>
        </w:tc>
        <w:tc>
          <w:tcPr>
            <w:tcW w:w="9178" w:type="dxa"/>
            <w:gridSpan w:val="2"/>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3"/>
                <w:sz w:val="20"/>
                <w:szCs w:val="20"/>
                <w:lang w:eastAsia="hr-HR"/>
              </w:rPr>
              <w:t>Šifra</w:t>
            </w:r>
          </w:p>
        </w:tc>
        <w:tc>
          <w:tcPr>
            <w:tcW w:w="1991" w:type="dxa"/>
            <w:tcBorders>
              <w:top w:val="single" w:sz="6" w:space="0" w:color="auto"/>
              <w:left w:val="single" w:sz="6" w:space="0" w:color="auto"/>
              <w:bottom w:val="single" w:sz="6" w:space="0" w:color="auto"/>
              <w:right w:val="single" w:sz="6" w:space="0" w:color="auto"/>
            </w:tcBorders>
            <w:shd w:val="clear" w:color="auto" w:fill="FFFFFF"/>
          </w:tcPr>
          <w:p w:rsidR="00DD0936" w:rsidRPr="006774A5" w:rsidRDefault="00DD0936" w:rsidP="00DD0936">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iznos u eurima</w:t>
            </w:r>
          </w:p>
        </w:tc>
      </w:tr>
    </w:tbl>
    <w:p w:rsidR="00FC3F35" w:rsidRDefault="00FC3F35" w:rsidP="00FC3F35">
      <w:pPr>
        <w:widowControl w:val="0"/>
        <w:shd w:val="clear" w:color="auto" w:fill="FFFFFF"/>
        <w:autoSpaceDE w:val="0"/>
        <w:autoSpaceDN w:val="0"/>
        <w:adjustRightInd w:val="0"/>
        <w:spacing w:before="514" w:after="240" w:line="274" w:lineRule="exact"/>
        <w:ind w:left="1392" w:hanging="85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b/>
          <w:bCs/>
          <w:color w:val="000000"/>
          <w:spacing w:val="5"/>
          <w:sz w:val="24"/>
          <w:szCs w:val="24"/>
          <w:lang w:eastAsia="hr-HR"/>
        </w:rPr>
        <w:t xml:space="preserve">2.A.10 Sažetak planiranog korištenja tehničke pomoći uključujući, po potrebi, aktivnosti kojima se jača administrativni kapacitet nadležnih tijela uključenih u kontrolu i upravljanje programima i korisnicima </w:t>
      </w:r>
      <w:r w:rsidRPr="00576C1D">
        <w:rPr>
          <w:rFonts w:ascii="Times New Roman" w:eastAsia="Times New Roman" w:hAnsi="Times New Roman" w:cs="Times New Roman"/>
          <w:bCs/>
          <w:color w:val="000000"/>
          <w:spacing w:val="5"/>
          <w:sz w:val="24"/>
          <w:szCs w:val="24"/>
          <w:lang w:eastAsia="hr-HR"/>
        </w:rPr>
        <w:t>(po potrebi) (po prioritetnoj osi</w:t>
      </w:r>
      <w:r w:rsidRPr="00576C1D">
        <w:rPr>
          <w:rFonts w:ascii="Times New Roman" w:eastAsia="Times New Roman" w:hAnsi="Times New Roman" w:cs="Times New Roman"/>
          <w:color w:val="000000"/>
          <w:sz w:val="24"/>
          <w:szCs w:val="24"/>
          <w:lang w:eastAsia="hr-HR"/>
        </w:rPr>
        <w:t>)</w:t>
      </w:r>
    </w:p>
    <w:tbl>
      <w:tblPr>
        <w:tblStyle w:val="TableGrid"/>
        <w:tblW w:w="0" w:type="auto"/>
        <w:tblLook w:val="04A0" w:firstRow="1" w:lastRow="0" w:firstColumn="1" w:lastColumn="0" w:noHBand="0" w:noVBand="1"/>
      </w:tblPr>
      <w:tblGrid>
        <w:gridCol w:w="4530"/>
        <w:gridCol w:w="10746"/>
      </w:tblGrid>
      <w:tr w:rsidR="00394BF8" w:rsidRPr="005E763C" w:rsidTr="00394BF8">
        <w:tc>
          <w:tcPr>
            <w:tcW w:w="4530" w:type="dxa"/>
            <w:vAlign w:val="center"/>
          </w:tcPr>
          <w:p w:rsidR="00394BF8" w:rsidRPr="005E763C" w:rsidRDefault="00394BF8" w:rsidP="001A0292">
            <w:pPr>
              <w:rPr>
                <w:rFonts w:ascii="Times New Roman" w:hAnsi="Times New Roman"/>
                <w:sz w:val="24"/>
                <w:szCs w:val="24"/>
              </w:rPr>
            </w:pPr>
            <w:r w:rsidRPr="00576C1D">
              <w:rPr>
                <w:rFonts w:ascii="Times New Roman" w:hAnsi="Times New Roman"/>
                <w:sz w:val="16"/>
                <w:szCs w:val="16"/>
              </w:rPr>
              <w:t>Prioritetna os</w:t>
            </w:r>
          </w:p>
        </w:tc>
        <w:tc>
          <w:tcPr>
            <w:tcW w:w="10746" w:type="dxa"/>
            <w:vAlign w:val="center"/>
          </w:tcPr>
          <w:p w:rsidR="00394BF8" w:rsidRPr="004C117D" w:rsidRDefault="00394BF8"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z w:val="16"/>
                <w:szCs w:val="16"/>
              </w:rPr>
              <w:t>2 - Korištenje informacijske i komunikacijske tehnologije</w:t>
            </w:r>
          </w:p>
        </w:tc>
      </w:tr>
      <w:tr w:rsidR="00394BF8" w:rsidRPr="004C117D" w:rsidTr="00394BF8">
        <w:tc>
          <w:tcPr>
            <w:tcW w:w="15276" w:type="dxa"/>
            <w:gridSpan w:val="2"/>
            <w:vAlign w:val="center"/>
          </w:tcPr>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U sklopu investicijskih prioriteta 2a i 2c postoji potreba za pružanjem potpore jačanju kapaciteta mogućih korisnika u pripremanju visoko kvalitetnih projekata, kako bi mogli primati potporu iz EFRR-a za ulaganja u infrastrukturu za pristup širokopojasnoj mreži sljedeće generacije, razvoj i funkcioniranje Centra zajedničkih usluga i razvoj e-usluga.</w:t>
            </w:r>
          </w:p>
          <w:p w:rsidR="00394BF8" w:rsidRPr="004C117D"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Mogući korisnici shema za dodjelu bespovratnih sredstava za pristupne mreže sljedeće generacije (općine, gradovi i županije) i Centar zajedničkih usluga/e-usluga (ograničeni broj središnjih tijela državne uprave) nemaju potrebne kapacitete i vještine za pripremu visoko kvalitetne projektne dokumentacije sa svom popratnom tehničkom dokumentacijom, kako bi se prijavili na i primili financiranje za infrastrukturna ulaganja. Ovom aktivnošću osigurat će se pravovremeno i učinkovito upravljanje infrastrukturnim projektima u razdoblju od 2014. do 2020.</w:t>
            </w:r>
          </w:p>
        </w:tc>
      </w:tr>
    </w:tbl>
    <w:p w:rsidR="00394BF8" w:rsidRDefault="00394BF8" w:rsidP="00FC3F35">
      <w:pPr>
        <w:widowControl w:val="0"/>
        <w:shd w:val="clear" w:color="auto" w:fill="FFFFFF"/>
        <w:autoSpaceDE w:val="0"/>
        <w:autoSpaceDN w:val="0"/>
        <w:adjustRightInd w:val="0"/>
        <w:spacing w:before="514" w:after="240" w:line="274" w:lineRule="exact"/>
        <w:ind w:left="1392" w:hanging="854"/>
        <w:rPr>
          <w:rFonts w:ascii="Times New Roman" w:eastAsia="Times New Roman" w:hAnsi="Times New Roman" w:cs="Times New Roman"/>
          <w:sz w:val="20"/>
          <w:szCs w:val="20"/>
          <w:lang w:eastAsia="hr-HR"/>
        </w:rPr>
      </w:pPr>
    </w:p>
    <w:p w:rsidR="00FC3F35"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2.A.I Prioritetna os</w:t>
      </w:r>
    </w:p>
    <w:tbl>
      <w:tblPr>
        <w:tblStyle w:val="TableGrid"/>
        <w:tblW w:w="0" w:type="auto"/>
        <w:tblLook w:val="04A0" w:firstRow="1" w:lastRow="0" w:firstColumn="1" w:lastColumn="0" w:noHBand="0" w:noVBand="1"/>
      </w:tblPr>
      <w:tblGrid>
        <w:gridCol w:w="4320"/>
        <w:gridCol w:w="8"/>
        <w:gridCol w:w="10948"/>
      </w:tblGrid>
      <w:tr w:rsidR="00394BF8" w:rsidRPr="00394BF8" w:rsidTr="00394BF8">
        <w:tc>
          <w:tcPr>
            <w:tcW w:w="4328" w:type="dxa"/>
            <w:gridSpan w:val="2"/>
            <w:vAlign w:val="center"/>
          </w:tcPr>
          <w:p w:rsidR="00394BF8" w:rsidRPr="00394BF8" w:rsidRDefault="00394BF8" w:rsidP="001A0292">
            <w:pPr>
              <w:rPr>
                <w:rFonts w:ascii="Times New Roman" w:hAnsi="Times New Roman"/>
              </w:rPr>
            </w:pPr>
            <w:r w:rsidRPr="00394BF8">
              <w:rPr>
                <w:rFonts w:ascii="Times New Roman" w:hAnsi="Times New Roman"/>
                <w:b/>
                <w:bCs/>
                <w:color w:val="000000"/>
                <w:spacing w:val="-2"/>
              </w:rPr>
              <w:t>Oznaka prioritetne os</w:t>
            </w:r>
            <w:r w:rsidRPr="00394BF8">
              <w:rPr>
                <w:rFonts w:ascii="Times New Roman" w:hAnsi="Times New Roman"/>
              </w:rPr>
              <w:t>i</w:t>
            </w:r>
          </w:p>
        </w:tc>
        <w:tc>
          <w:tcPr>
            <w:tcW w:w="10948" w:type="dxa"/>
            <w:vAlign w:val="center"/>
          </w:tcPr>
          <w:p w:rsidR="00394BF8" w:rsidRPr="00394BF8" w:rsidRDefault="00394BF8" w:rsidP="001A0292">
            <w:pPr>
              <w:rPr>
                <w:rFonts w:ascii="Times New Roman" w:hAnsi="Times New Roman"/>
              </w:rPr>
            </w:pPr>
            <w:r w:rsidRPr="00394BF8">
              <w:rPr>
                <w:rFonts w:ascii="Times New Roman" w:hAnsi="Times New Roman"/>
              </w:rPr>
              <w:t>3</w:t>
            </w:r>
          </w:p>
        </w:tc>
      </w:tr>
      <w:tr w:rsidR="00394BF8" w:rsidRPr="00394BF8" w:rsidTr="00394BF8">
        <w:tc>
          <w:tcPr>
            <w:tcW w:w="4320" w:type="dxa"/>
            <w:vAlign w:val="center"/>
          </w:tcPr>
          <w:p w:rsidR="00394BF8" w:rsidRPr="00394BF8" w:rsidRDefault="00394BF8" w:rsidP="001A0292">
            <w:pPr>
              <w:widowControl w:val="0"/>
              <w:shd w:val="clear" w:color="auto" w:fill="FFFFFF"/>
              <w:autoSpaceDE w:val="0"/>
              <w:autoSpaceDN w:val="0"/>
              <w:adjustRightInd w:val="0"/>
              <w:rPr>
                <w:rFonts w:ascii="Times New Roman" w:hAnsi="Times New Roman"/>
                <w:color w:val="000000"/>
                <w:spacing w:val="-1"/>
              </w:rPr>
            </w:pPr>
            <w:r w:rsidRPr="00394BF8">
              <w:rPr>
                <w:rFonts w:ascii="Times New Roman" w:hAnsi="Times New Roman"/>
                <w:b/>
                <w:bCs/>
                <w:color w:val="000000"/>
                <w:spacing w:val="-2"/>
              </w:rPr>
              <w:t>Naziv prioritetne osi</w:t>
            </w:r>
          </w:p>
        </w:tc>
        <w:tc>
          <w:tcPr>
            <w:tcW w:w="10956" w:type="dxa"/>
            <w:gridSpan w:val="2"/>
            <w:vAlign w:val="center"/>
          </w:tcPr>
          <w:p w:rsidR="00394BF8" w:rsidRPr="00394BF8" w:rsidRDefault="00394BF8" w:rsidP="001A0292">
            <w:pPr>
              <w:widowControl w:val="0"/>
              <w:shd w:val="clear" w:color="auto" w:fill="FFFFFF"/>
              <w:autoSpaceDE w:val="0"/>
              <w:autoSpaceDN w:val="0"/>
              <w:adjustRightInd w:val="0"/>
              <w:rPr>
                <w:rFonts w:ascii="Times New Roman" w:hAnsi="Times New Roman"/>
                <w:color w:val="000000"/>
                <w:spacing w:val="-1"/>
              </w:rPr>
            </w:pPr>
            <w:r w:rsidRPr="00394BF8">
              <w:rPr>
                <w:rFonts w:ascii="Times New Roman" w:hAnsi="Times New Roman"/>
                <w:color w:val="000000"/>
                <w:spacing w:val="-1"/>
              </w:rPr>
              <w:t>Poslovna konkurentnost</w:t>
            </w:r>
          </w:p>
        </w:tc>
      </w:tr>
    </w:tbl>
    <w:p w:rsidR="00394BF8" w:rsidRPr="00576C1D" w:rsidRDefault="00394BF8"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isključivo putem financijskih instrumenta uspostavljenih na razini Unije</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putem lokalnog razvoja koji predvodi zajednica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Za ESF: Cjelokupna prioritetna os posvećena je ili društvenim inovacijama ili međudržavnoj suradnji, ili i jednom i drugom</w:t>
      </w:r>
    </w:p>
    <w:p w:rsidR="006774A5" w:rsidRDefault="006774A5">
      <w:pPr>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before="518" w:after="0" w:line="274" w:lineRule="exact"/>
        <w:ind w:left="542" w:right="13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2.A.2 Opravdanje za uspostavu prioritetne osi koja obuhvaća više od jedne kategorije regija, tematskog cilja ili fonda (</w:t>
      </w:r>
      <w:r w:rsidRPr="00576C1D">
        <w:rPr>
          <w:rFonts w:ascii="Times New Roman" w:eastAsia="Times New Roman" w:hAnsi="Times New Roman" w:cs="Times New Roman"/>
          <w:bCs/>
          <w:color w:val="000000"/>
          <w:spacing w:val="-1"/>
          <w:sz w:val="24"/>
          <w:szCs w:val="24"/>
          <w:lang w:eastAsia="hr-HR"/>
        </w:rPr>
        <w:t>po potrebi</w:t>
      </w:r>
      <w:r w:rsidRPr="00576C1D">
        <w:rPr>
          <w:rFonts w:ascii="Times New Roman" w:eastAsia="Times New Roman" w:hAnsi="Times New Roman" w:cs="Times New Roman"/>
          <w:color w:val="000000"/>
          <w:spacing w:val="-2"/>
          <w:sz w:val="24"/>
          <w:szCs w:val="24"/>
          <w:lang w:eastAsia="hr-HR"/>
        </w:rPr>
        <w:t>)</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2.A.3 Fond, kategorija regije i osnovica za obračun potpore Unije</w:t>
      </w:r>
    </w:p>
    <w:p w:rsidR="00FC3F35" w:rsidRPr="00576C1D" w:rsidRDefault="00FC3F35" w:rsidP="00FC3F35">
      <w:pPr>
        <w:widowControl w:val="0"/>
        <w:tabs>
          <w:tab w:val="left" w:pos="3872"/>
        </w:tabs>
        <w:autoSpaceDE w:val="0"/>
        <w:autoSpaceDN w:val="0"/>
        <w:adjustRightInd w:val="0"/>
        <w:spacing w:after="110" w:line="1" w:lineRule="exact"/>
        <w:rPr>
          <w:rFonts w:ascii="Times New Roman" w:eastAsia="Times New Roman" w:hAnsi="Times New Roman" w:cs="Times New Roman"/>
          <w:sz w:val="2"/>
          <w:szCs w:val="2"/>
          <w:lang w:eastAsia="hr-HR"/>
        </w:rPr>
      </w:pPr>
      <w:r w:rsidRPr="00576C1D">
        <w:rPr>
          <w:rFonts w:ascii="Times New Roman" w:eastAsia="Times New Roman" w:hAnsi="Times New Roman" w:cs="Times New Roman"/>
          <w:sz w:val="2"/>
          <w:szCs w:val="2"/>
          <w:lang w:eastAsia="hr-HR"/>
        </w:rPr>
        <w:tab/>
      </w: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Osnovica za obračun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Kategorija regije za najudaljenije regije i sjeverne rijetko naseljene regije (po potrebi</w:t>
            </w:r>
            <w:r w:rsidRPr="00576C1D">
              <w:rPr>
                <w:rFonts w:ascii="Times New Roman" w:eastAsia="Times New Roman" w:hAnsi="Times New Roman" w:cs="Times New Roman"/>
                <w:b/>
                <w:bCs/>
                <w:color w:val="000000"/>
                <w:spacing w:val="1"/>
                <w:sz w:val="18"/>
                <w:szCs w:val="18"/>
                <w:lang w:eastAsia="hr-HR"/>
              </w:rPr>
              <w:t>)</w:t>
            </w:r>
          </w:p>
        </w:tc>
      </w:tr>
      <w:tr w:rsidR="00FC3F35" w:rsidRPr="00576C1D" w:rsidTr="00FC3F35">
        <w:trPr>
          <w:trHeight w:hRule="exact" w:val="47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ERDF</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Manje razvijena</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Ukupno</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566" w:line="1" w:lineRule="exact"/>
        <w:rPr>
          <w:rFonts w:ascii="Times New Roman" w:eastAsia="Times New Roman" w:hAnsi="Times New Roman" w:cs="Times New Roman"/>
          <w:sz w:val="2"/>
          <w:szCs w:val="2"/>
          <w:lang w:eastAsia="hr-HR"/>
        </w:rPr>
      </w:pPr>
    </w:p>
    <w:tbl>
      <w:tblPr>
        <w:tblW w:w="15986" w:type="dxa"/>
        <w:tblInd w:w="40" w:type="dxa"/>
        <w:tblLayout w:type="fixed"/>
        <w:tblCellMar>
          <w:left w:w="40" w:type="dxa"/>
          <w:right w:w="40" w:type="dxa"/>
        </w:tblCellMar>
        <w:tblLook w:val="0000" w:firstRow="0" w:lastRow="0" w:firstColumn="0" w:lastColumn="0" w:noHBand="0" w:noVBand="0"/>
      </w:tblPr>
      <w:tblGrid>
        <w:gridCol w:w="3544"/>
        <w:gridCol w:w="3331"/>
        <w:gridCol w:w="778"/>
        <w:gridCol w:w="3859"/>
        <w:gridCol w:w="1949"/>
        <w:gridCol w:w="720"/>
        <w:gridCol w:w="451"/>
        <w:gridCol w:w="1354"/>
      </w:tblGrid>
      <w:tr w:rsidR="00FC3F35" w:rsidRPr="00576C1D" w:rsidTr="00FC3F35">
        <w:trPr>
          <w:trHeight w:hRule="exact" w:val="346"/>
        </w:trPr>
        <w:tc>
          <w:tcPr>
            <w:tcW w:w="354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333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7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859"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49"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20"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5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5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3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highlight w:val="yellow"/>
                <w:lang w:eastAsia="hr-HR"/>
              </w:rPr>
            </w:pPr>
            <w:r w:rsidRPr="00576C1D">
              <w:rPr>
                <w:rFonts w:ascii="Times New Roman" w:eastAsia="Times New Roman" w:hAnsi="Times New Roman" w:cs="Times New Roman"/>
                <w:b/>
                <w:bCs/>
                <w:color w:val="000000"/>
                <w:spacing w:val="-1"/>
                <w:sz w:val="18"/>
                <w:szCs w:val="18"/>
                <w:lang w:eastAsia="hr-HR"/>
              </w:rPr>
              <w:t>Oznaka prioritetne osi</w:t>
            </w:r>
          </w:p>
        </w:tc>
        <w:tc>
          <w:tcPr>
            <w:tcW w:w="3331"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highlight w:val="yellow"/>
                <w:lang w:eastAsia="hr-HR"/>
              </w:rPr>
            </w:pPr>
            <w:r w:rsidRPr="00576C1D">
              <w:rPr>
                <w:rFonts w:ascii="Times New Roman" w:eastAsia="Times New Roman" w:hAnsi="Times New Roman" w:cs="Times New Roman"/>
                <w:color w:val="000000"/>
                <w:sz w:val="18"/>
                <w:szCs w:val="18"/>
                <w:lang w:eastAsia="hr-HR"/>
              </w:rPr>
              <w:t>3a</w:t>
            </w:r>
          </w:p>
        </w:tc>
        <w:tc>
          <w:tcPr>
            <w:tcW w:w="77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highlight w:val="yellow"/>
                <w:lang w:eastAsia="hr-HR"/>
              </w:rPr>
            </w:pPr>
          </w:p>
        </w:tc>
        <w:tc>
          <w:tcPr>
            <w:tcW w:w="3859"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highlight w:val="yellow"/>
                <w:lang w:eastAsia="hr-HR"/>
              </w:rPr>
            </w:pPr>
          </w:p>
        </w:tc>
        <w:tc>
          <w:tcPr>
            <w:tcW w:w="1949"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highlight w:val="yellow"/>
                <w:lang w:eastAsia="hr-HR"/>
              </w:rPr>
            </w:pPr>
          </w:p>
        </w:tc>
        <w:tc>
          <w:tcPr>
            <w:tcW w:w="72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highlight w:val="yellow"/>
                <w:lang w:eastAsia="hr-HR"/>
              </w:rPr>
            </w:pPr>
          </w:p>
        </w:tc>
        <w:tc>
          <w:tcPr>
            <w:tcW w:w="45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highlight w:val="yellow"/>
                <w:lang w:eastAsia="hr-HR"/>
              </w:rPr>
            </w:pPr>
          </w:p>
        </w:tc>
        <w:tc>
          <w:tcPr>
            <w:tcW w:w="135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highlight w:val="yellow"/>
                <w:lang w:eastAsia="hr-HR"/>
              </w:rPr>
            </w:pPr>
          </w:p>
        </w:tc>
      </w:tr>
      <w:tr w:rsidR="00FC3F35" w:rsidRPr="00576C1D" w:rsidTr="00FC3F35">
        <w:trPr>
          <w:trHeight w:hRule="exact" w:val="55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bCs/>
                <w:color w:val="000000"/>
                <w:spacing w:val="-1"/>
                <w:sz w:val="18"/>
                <w:szCs w:val="18"/>
                <w:highlight w:val="yellow"/>
                <w:lang w:eastAsia="hr-HR"/>
              </w:rPr>
            </w:pPr>
          </w:p>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highlight w:val="yellow"/>
                <w:lang w:eastAsia="hr-HR"/>
              </w:rPr>
            </w:pPr>
            <w:r w:rsidRPr="00576C1D">
              <w:rPr>
                <w:rFonts w:ascii="Times New Roman" w:eastAsia="Times New Roman" w:hAnsi="Times New Roman" w:cs="Times New Roman"/>
                <w:b/>
                <w:bCs/>
                <w:color w:val="000000"/>
                <w:spacing w:val="-1"/>
                <w:sz w:val="18"/>
                <w:szCs w:val="18"/>
                <w:lang w:eastAsia="hr-HR"/>
              </w:rPr>
              <w:t>Naziv prioritetne osi</w:t>
            </w:r>
          </w:p>
        </w:tc>
        <w:tc>
          <w:tcPr>
            <w:tcW w:w="12442"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hanging="5"/>
              <w:rPr>
                <w:rFonts w:ascii="Times New Roman" w:eastAsia="Times New Roman" w:hAnsi="Times New Roman" w:cs="Times New Roman"/>
                <w:sz w:val="20"/>
                <w:szCs w:val="20"/>
                <w:highlight w:val="yellow"/>
                <w:lang w:eastAsia="hr-HR"/>
              </w:rPr>
            </w:pPr>
            <w:r w:rsidRPr="00576C1D">
              <w:rPr>
                <w:rFonts w:ascii="Times New Roman" w:eastAsia="Times New Roman" w:hAnsi="Times New Roman" w:cs="Times New Roman"/>
                <w:color w:val="000000"/>
                <w:spacing w:val="-1"/>
                <w:sz w:val="18"/>
                <w:szCs w:val="18"/>
                <w:lang w:eastAsia="hr-HR"/>
              </w:rPr>
              <w:t>Promicanje poduzetništva, posebno olakšavajući ekonomsko iskorištavanje novih ideja i poticanje stvaranja novih poduzeća, uključujući putem poslovnih inkubatora</w:t>
            </w:r>
          </w:p>
        </w:tc>
      </w:tr>
    </w:tbl>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15876" w:type="dxa"/>
        <w:tblInd w:w="40" w:type="dxa"/>
        <w:tblLayout w:type="fixed"/>
        <w:tblCellMar>
          <w:left w:w="40" w:type="dxa"/>
          <w:right w:w="40" w:type="dxa"/>
        </w:tblCellMar>
        <w:tblLook w:val="0000" w:firstRow="0" w:lastRow="0" w:firstColumn="0" w:lastColumn="0" w:noHBand="0" w:noVBand="0"/>
      </w:tblPr>
      <w:tblGrid>
        <w:gridCol w:w="3402"/>
        <w:gridCol w:w="12442"/>
        <w:gridCol w:w="32"/>
      </w:tblGrid>
      <w:tr w:rsidR="00FC3F35" w:rsidRPr="006774A5" w:rsidTr="006774A5">
        <w:trPr>
          <w:gridAfter w:val="1"/>
          <w:wAfter w:w="32" w:type="dxa"/>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2"/>
                <w:sz w:val="20"/>
                <w:szCs w:val="20"/>
                <w:lang w:eastAsia="hr-HR"/>
              </w:rPr>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z w:val="20"/>
                <w:szCs w:val="20"/>
                <w:lang w:eastAsia="hr-HR"/>
              </w:rPr>
              <w:t>3al</w:t>
            </w:r>
          </w:p>
        </w:tc>
      </w:tr>
      <w:tr w:rsidR="00FC3F35" w:rsidRPr="006774A5" w:rsidTr="006774A5">
        <w:trPr>
          <w:gridAfter w:val="1"/>
          <w:wAfter w:w="32" w:type="dxa"/>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z w:val="20"/>
                <w:szCs w:val="20"/>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z w:val="20"/>
                <w:szCs w:val="20"/>
                <w:lang w:eastAsia="hr-HR"/>
              </w:rPr>
              <w:t>Olakšanje pristupa izvorima financiranja za male i srednje velike poduzetnike (MSP) uključujući i novonastale</w:t>
            </w:r>
          </w:p>
        </w:tc>
      </w:tr>
      <w:tr w:rsidR="00FC3F35" w:rsidRPr="006774A5" w:rsidTr="006774A5">
        <w:trPr>
          <w:gridAfter w:val="1"/>
          <w:wAfter w:w="32" w:type="dxa"/>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Rezultati koje države članice žele postići pomoću podrške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z w:val="20"/>
                <w:szCs w:val="20"/>
                <w:lang w:eastAsia="hr-HR"/>
              </w:rPr>
              <w:t>Aktivnosti navedene u nastavku temelje se na Prijedlogu ex-ante procjene - Financijski instrumenti za poslovnu konkurentnost (posebno u smislu definiranja takvih potreba vezano uz ESIF za razdoblje 2014.-2020.), koji je pokazao da postoji trajni manjak financiranja na tržištu, čime poprilični udio gospodarski značajnih MSP-ova ne može pribaviti financiranje od banaka, na tržištu kapitala, ili iz drugih izvora financiranja zbog strukturalnih karakteristika tržišta.</w:t>
            </w: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r w:rsidRPr="006774A5">
              <w:rPr>
                <w:rFonts w:ascii="Times New Roman" w:eastAsia="Times New Roman" w:hAnsi="Times New Roman" w:cs="Times New Roman"/>
                <w:color w:val="000000"/>
                <w:spacing w:val="-1"/>
                <w:sz w:val="20"/>
                <w:szCs w:val="20"/>
                <w:lang w:eastAsia="hr-HR"/>
              </w:rPr>
              <w:lastRenderedPageBreak/>
              <w:t>Aktivnosti u sklopu ovoga specifičnog cilja će pomoći poboljšanju pristupa financijskom kapitalu za MSP-ove u svim fazama njihovog razvoja, kroz uspostavu modela financiranja koji odgovaraju poslovnim potrebama, kao što je kapital, krediti, jamstva (ili njihova kombinacija).</w:t>
            </w: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r w:rsidRPr="006774A5">
              <w:rPr>
                <w:rFonts w:ascii="Times New Roman" w:eastAsia="Times New Roman" w:hAnsi="Times New Roman" w:cs="Times New Roman"/>
                <w:color w:val="000000"/>
                <w:spacing w:val="-1"/>
                <w:sz w:val="20"/>
                <w:szCs w:val="20"/>
                <w:lang w:eastAsia="hr-HR"/>
              </w:rPr>
              <w:t>Razvoj financijskih instrumenata u Hrvatskoj će olakšati MSP-ovima na različitom stupnju razvoja da razvijaju svoje poslovanje putem ulaganja u nove ideje koje će se primjenjivati u provedivim poslovnim modelima.</w:t>
            </w: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r w:rsidRPr="006774A5">
              <w:rPr>
                <w:rFonts w:ascii="Times New Roman" w:eastAsia="Times New Roman" w:hAnsi="Times New Roman" w:cs="Times New Roman"/>
                <w:color w:val="000000"/>
                <w:spacing w:val="-1"/>
                <w:sz w:val="20"/>
                <w:szCs w:val="20"/>
                <w:lang w:eastAsia="hr-HR"/>
              </w:rPr>
              <w:t>Na temelju dovršene ex-ante procjene prepreka pristupu financijskom tržištu, bit će predloženi odgovarajući i inovativni instrumenti prilagođeni relevantnim okolnostima na tržištu.</w:t>
            </w: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r w:rsidRPr="006774A5">
              <w:rPr>
                <w:rFonts w:ascii="Times New Roman" w:eastAsia="Times New Roman" w:hAnsi="Times New Roman" w:cs="Times New Roman"/>
                <w:color w:val="000000"/>
                <w:spacing w:val="-1"/>
                <w:sz w:val="20"/>
                <w:szCs w:val="20"/>
                <w:lang w:eastAsia="hr-HR"/>
              </w:rPr>
              <w:t>Prethodno je bilo predviđeno da će se, primjerice, zajmovi i jamstveni fondovi uglavnom osiguravati MSP-ovima koji trebaju nadograditi svoju infrastrukturu, uključujući ulaganja u strojeve ili opremu na radnom mjestu. Također, fondovi rizičnog kapitala, uključujući poslovne anđele, početni i rizični kapital, bit će namijenjeni inovativnim MSP-ovima, uključujući inovativna novonastala poduzeća koja također posluju u područjima identificiranim u Strategiji S3, radi ulaganja u nove tehnologije, poslovne modele u visokotehnološkim industrijama, aktivnosti  s intenzivnim korištenjem znanja i velikim potencijalom rasta, uključujući robu i usluge usmjerene na kreativnost. Točni detalji i vrste financijskih instrumenata, kao i njihova optimalna kombinacija, bit će konačno potvrđeni unutar postupka dovršetka spomenute ex-ante procjene.</w:t>
            </w: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color w:val="000000"/>
                <w:spacing w:val="-1"/>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62"/>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 xml:space="preserve">Općenito se očekuje da će financiranje MSP-ova putem financijskih instrumenata koji se sufinanciraju iz EFRR-a povećati financijsku polugu privatnog financiranja, potaknuti gospodarsku aktivnost i pomoći stvaranju i održavanju radnih mjesta. Također će se povećati broj MSP-ova, uključujući novonastala poduzeća, koji koriste vanjsko financiranje, što će omogućiti MSP-ovima, uključujući one inovativne, da unaprijede svoje postupke i </w:t>
            </w:r>
          </w:p>
        </w:tc>
      </w:tr>
      <w:tr w:rsidR="00FC3F35" w:rsidRPr="006774A5" w:rsidTr="006774A5">
        <w:tc>
          <w:tcPr>
            <w:tcW w:w="340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47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r w:rsidRPr="006774A5">
              <w:rPr>
                <w:rFonts w:ascii="Times New Roman" w:eastAsia="Times New Roman" w:hAnsi="Times New Roman" w:cs="Times New Roman"/>
                <w:color w:val="000000"/>
                <w:spacing w:val="-1"/>
                <w:sz w:val="20"/>
                <w:szCs w:val="20"/>
                <w:lang w:eastAsia="hr-HR"/>
              </w:rPr>
              <w:t>primijene nove ideje na provedive poslovne aktivnosti.</w:t>
            </w:r>
          </w:p>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p>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r w:rsidRPr="006774A5">
              <w:rPr>
                <w:rFonts w:ascii="Times New Roman" w:eastAsia="Times New Roman" w:hAnsi="Times New Roman" w:cs="Times New Roman"/>
                <w:color w:val="000000"/>
                <w:spacing w:val="-1"/>
                <w:sz w:val="20"/>
                <w:szCs w:val="20"/>
                <w:lang w:eastAsia="hr-HR"/>
              </w:rPr>
              <w:t>Očekivani specifični rezultat u sklopu ovoga specifičnog cilja je povećanje udjela financijskih instrumenta u portfelju financiranja MSP-ova.</w:t>
            </w:r>
          </w:p>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101" w:hanging="10"/>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Razvoj detaljnog sustava provedbe i osiguravanje njegove usklađenosti s financiranjem putem bespovratnih sredstava i ostalih oblika potpore zahtijevat će neprekidni rad i poboljšanje svih uključenih institucija te njihovu međusobnu koordinaciju, što će uključivati i postupak kojeg se također planira podržati u sklopu ovog specifičnog cilja, u obliku stalne tehničke pomoći u planiranju, koordinaciji, provedbi, praćenju i evaluaciji.</w:t>
            </w:r>
          </w:p>
        </w:tc>
      </w:tr>
      <w:tr w:rsidR="00FC3F35" w:rsidRPr="006774A5" w:rsidTr="006774A5">
        <w:tc>
          <w:tcPr>
            <w:tcW w:w="340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2"/>
                <w:sz w:val="20"/>
                <w:szCs w:val="20"/>
                <w:lang w:eastAsia="hr-HR"/>
              </w:rPr>
              <w:t>Oznaka specifičnog cilja</w:t>
            </w:r>
          </w:p>
        </w:tc>
        <w:tc>
          <w:tcPr>
            <w:tcW w:w="1247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z w:val="20"/>
                <w:szCs w:val="20"/>
                <w:lang w:eastAsia="hr-HR"/>
              </w:rPr>
              <w:t>3a2</w:t>
            </w:r>
          </w:p>
        </w:tc>
      </w:tr>
      <w:tr w:rsidR="00FC3F35" w:rsidRPr="006774A5" w:rsidTr="006774A5">
        <w:tc>
          <w:tcPr>
            <w:tcW w:w="340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z w:val="20"/>
                <w:szCs w:val="20"/>
                <w:lang w:eastAsia="hr-HR"/>
              </w:rPr>
              <w:t>Naziv specifičnog cilja</w:t>
            </w:r>
          </w:p>
        </w:tc>
        <w:tc>
          <w:tcPr>
            <w:tcW w:w="1247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pacing w:val="-1"/>
                <w:sz w:val="20"/>
                <w:szCs w:val="20"/>
                <w:lang w:eastAsia="hr-HR"/>
              </w:rPr>
              <w:t>Povoljno okruženje za razvoj poduzetništva</w:t>
            </w:r>
          </w:p>
        </w:tc>
      </w:tr>
      <w:tr w:rsidR="00FC3F35" w:rsidRPr="006774A5" w:rsidTr="006774A5">
        <w:tc>
          <w:tcPr>
            <w:tcW w:w="3402" w:type="dxa"/>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6774A5">
              <w:rPr>
                <w:rFonts w:ascii="Times New Roman" w:eastAsia="Times New Roman" w:hAnsi="Times New Roman" w:cs="Times New Roman"/>
                <w:b/>
                <w:bCs/>
                <w:color w:val="000000"/>
                <w:spacing w:val="-1"/>
                <w:sz w:val="20"/>
                <w:szCs w:val="20"/>
                <w:lang w:eastAsia="hr-HR"/>
              </w:rPr>
              <w:t>Rezultati koje države članice žele postići pomoću podrške Unije</w:t>
            </w:r>
          </w:p>
        </w:tc>
        <w:tc>
          <w:tcPr>
            <w:tcW w:w="1247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r w:rsidRPr="006774A5">
              <w:rPr>
                <w:rFonts w:ascii="Times New Roman" w:eastAsia="Times New Roman" w:hAnsi="Times New Roman" w:cs="Times New Roman"/>
                <w:color w:val="000000"/>
                <w:sz w:val="20"/>
                <w:szCs w:val="20"/>
                <w:lang w:eastAsia="hr-HR"/>
              </w:rPr>
              <w:t>S ciljem olakšavanja MSP-ovima da prevladaju svoje nedostatke povezane s financijskim, organizacijskim i tehničkim sposobnostima i neadekvatnim vještinama, koji su prepreka njihovom razvoju i rastu, postoji potreba za sustavnom potporom osobama koje žele osnovati tvrtku, kao i već osnovanim MSP-ovima.</w:t>
            </w: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r w:rsidRPr="006774A5">
              <w:rPr>
                <w:rFonts w:ascii="Times New Roman" w:eastAsia="Times New Roman" w:hAnsi="Times New Roman" w:cs="Times New Roman"/>
                <w:color w:val="000000"/>
                <w:sz w:val="20"/>
                <w:szCs w:val="20"/>
                <w:lang w:eastAsia="hr-HR"/>
              </w:rPr>
              <w:t>Potpora će biti usmjerena na pružanje visoko kvalitetne usluge MSP-ovima u svrhu poticanja njihovog interesa i aktivnosti povezanih s razvojem i rastom kao presudnim uvjetima poboljšanja njihovog konkurentnog položaja na tržištu.</w:t>
            </w: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r w:rsidRPr="006774A5">
              <w:rPr>
                <w:rFonts w:ascii="Times New Roman" w:eastAsia="Times New Roman" w:hAnsi="Times New Roman" w:cs="Times New Roman"/>
                <w:color w:val="000000"/>
                <w:sz w:val="20"/>
                <w:szCs w:val="20"/>
                <w:lang w:eastAsia="hr-HR"/>
              </w:rPr>
              <w:t xml:space="preserve">Opseg usluga koje pruža niz organizacija za poslovnu podršku, poduzetničkih potpornih institucija (PPI) - kao što su agencije za regionalni razvoj, </w:t>
            </w:r>
            <w:r w:rsidRPr="006774A5">
              <w:rPr>
                <w:rFonts w:ascii="Times New Roman" w:eastAsia="Times New Roman" w:hAnsi="Times New Roman" w:cs="Times New Roman"/>
                <w:color w:val="000000"/>
                <w:sz w:val="20"/>
                <w:szCs w:val="20"/>
                <w:lang w:eastAsia="hr-HR"/>
              </w:rPr>
              <w:lastRenderedPageBreak/>
              <w:t>inkubatori, akceleratori, tehnološki parkovi i ostale vrste pružatelja usluga MSP-ovima, obuhvaćat će informiranje o pravnim aspektima poslovanja, obuku za novoosnovana poduzeća, pomoć u podnošenju zahtjeva za financijske instrumente, mentorstvo u razvoju poslovanja i pomoć u dijagnosticiranju nedostataka i izazova MSP-ova kako bi im se olakšalo korištenje savjetodavnih usluga na učinkovit i pametan način. Budući da visoko inovativne aktivnosti zahtijevaju posebno znanje i usluge, bit će razvijene usluge PPI koje će podržavati inovacije.</w:t>
            </w: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r w:rsidRPr="006774A5">
              <w:rPr>
                <w:rFonts w:ascii="Times New Roman" w:eastAsia="Times New Roman" w:hAnsi="Times New Roman" w:cs="Times New Roman"/>
                <w:color w:val="000000"/>
                <w:sz w:val="20"/>
                <w:szCs w:val="20"/>
                <w:lang w:eastAsia="hr-HR"/>
              </w:rPr>
              <w:t>Također će biti omogućena potpora unapređenju kapaciteta poslovne infrastrukture, usmjerena na poboljšanje postojeće i, po potrebi, izgradnju nove fizičke infrastrukture poslovne podrške (uključujući inkubatore i tehnološke parkove), koja će unaprijediti kapacitete PPI kako bi one mogle učinkovito i djelotvorno pružati napredne usluge.</w:t>
            </w: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r w:rsidRPr="006774A5">
              <w:rPr>
                <w:rFonts w:ascii="Times New Roman" w:eastAsia="Times New Roman" w:hAnsi="Times New Roman" w:cs="Times New Roman"/>
                <w:color w:val="000000"/>
                <w:sz w:val="20"/>
                <w:szCs w:val="20"/>
                <w:lang w:eastAsia="hr-HR"/>
              </w:rPr>
              <w:t xml:space="preserve">Poboljšanje kompetencija budućih i postojećih poduzetnika je također povezano s dostupnošću relevantne infrastrukture i inicijativama namijenjenim promicanju cjeloživotnog poduzetničkog obrazovanja (CPO). Regionalni centar za razvoj poduzetničkih kompetencija za zemlje Jugoistočne Europe (eng. </w:t>
            </w:r>
            <w:r w:rsidRPr="006774A5">
              <w:rPr>
                <w:rFonts w:ascii="Times New Roman" w:eastAsia="Times New Roman" w:hAnsi="Times New Roman" w:cs="Times New Roman"/>
                <w:i/>
                <w:color w:val="000000"/>
                <w:sz w:val="20"/>
                <w:szCs w:val="20"/>
                <w:lang w:eastAsia="hr-HR"/>
              </w:rPr>
              <w:t>SouthEasternEuropean Centre for EntrepreneurialLearning</w:t>
            </w:r>
            <w:r w:rsidRPr="006774A5">
              <w:rPr>
                <w:rFonts w:ascii="Times New Roman" w:eastAsia="Times New Roman" w:hAnsi="Times New Roman" w:cs="Times New Roman"/>
                <w:color w:val="000000"/>
                <w:sz w:val="20"/>
                <w:szCs w:val="20"/>
                <w:lang w:eastAsia="hr-HR"/>
              </w:rPr>
              <w:t>, SEECEL) je jedinstveni primjer strukturirane regionalne suradnje osam zemalja Jugoistočne Europe u istraživanju politike i razmjeni najboljih praksi u razvoju i promicanju poduzetničkog obrazovanja. U tom smislu, predviđena je izgradnja SEECEL-a kao provedbenog centra za razvoj politike u sklopu CPO-a, u kojem će se provoditi poduka i obuka zaposlenika iz zemalja Dunavske regije. Istovremeno, komplementarna potpora za mjere usmjerene na podizanje kvalitete i relevantnosti programa i aktivnosti centra će biti osigurana u okviru ESF-ovog Operativnog programa Učinkoviti ljudski resursi 2014.-2020., nakon završetka tekućih IPA MB projektnih aktivnosti u 2016.</w:t>
            </w: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p>
          <w:p w:rsidR="00FC3F35" w:rsidRPr="006774A5" w:rsidRDefault="00FC3F35" w:rsidP="00FC3F35">
            <w:pPr>
              <w:widowControl w:val="0"/>
              <w:shd w:val="clear" w:color="auto" w:fill="FFFFFF"/>
              <w:autoSpaceDE w:val="0"/>
              <w:autoSpaceDN w:val="0"/>
              <w:adjustRightInd w:val="0"/>
              <w:spacing w:after="0" w:line="274" w:lineRule="exact"/>
              <w:ind w:right="154" w:hanging="5"/>
              <w:rPr>
                <w:rFonts w:ascii="Times New Roman" w:eastAsia="Times New Roman" w:hAnsi="Times New Roman" w:cs="Times New Roman"/>
                <w:color w:val="000000"/>
                <w:sz w:val="20"/>
                <w:szCs w:val="20"/>
                <w:lang w:eastAsia="hr-HR"/>
              </w:rPr>
            </w:pPr>
            <w:r w:rsidRPr="006774A5">
              <w:rPr>
                <w:rFonts w:ascii="Times New Roman" w:eastAsia="Times New Roman" w:hAnsi="Times New Roman" w:cs="Times New Roman"/>
                <w:color w:val="000000"/>
                <w:sz w:val="20"/>
                <w:szCs w:val="20"/>
                <w:lang w:eastAsia="hr-HR"/>
              </w:rPr>
              <w:t>Zbog negativne percepcije poduzetnika u hrvatskom društvu, stavovi prema mogućnostima samozapošljavanja su mnogo negativniji nego u drugim državama članicama EU-a, zbog čega će biti poduzete aktivnosti promicanja potpore poslovanju i trgovini, kojima se razvija pozitivan stav prema poduzetništvu i jačanje poduzetničkog načina razmišljanja. Te aktivnosti uključuju neprekidnu komunikaciju sa širom javnosti s ciljem poticanja poduzetništva, inovacija, internacionalizacije i primjene društvene odgovornosti poduzeća u hrvatskom gospodarstvu. Ove mjere će biti upotpunjene aktivnostima predviđenim u sklopu tematskog cilja TC11, i u OPKK-u i u Operativnom programu Učinkoviti ljudski resursi.</w:t>
            </w:r>
          </w:p>
          <w:p w:rsidR="00FC3F35" w:rsidRPr="006774A5" w:rsidRDefault="00FC3F35" w:rsidP="00FC3F35">
            <w:pPr>
              <w:widowControl w:val="0"/>
              <w:shd w:val="clear" w:color="auto" w:fill="FFFFFF"/>
              <w:autoSpaceDE w:val="0"/>
              <w:autoSpaceDN w:val="0"/>
              <w:adjustRightInd w:val="0"/>
              <w:spacing w:after="0" w:line="274" w:lineRule="exact"/>
              <w:ind w:right="154" w:firstLine="10"/>
              <w:rPr>
                <w:rFonts w:ascii="Times New Roman" w:eastAsia="Times New Roman" w:hAnsi="Times New Roman" w:cs="Times New Roman"/>
                <w:sz w:val="20"/>
                <w:szCs w:val="20"/>
                <w:lang w:eastAsia="hr-HR"/>
              </w:rPr>
            </w:pPr>
            <w:r w:rsidRPr="006774A5">
              <w:rPr>
                <w:rFonts w:ascii="Times New Roman" w:eastAsia="Times New Roman" w:hAnsi="Times New Roman" w:cs="Times New Roman"/>
                <w:color w:val="000000"/>
                <w:sz w:val="20"/>
                <w:szCs w:val="20"/>
                <w:lang w:eastAsia="hr-HR"/>
              </w:rPr>
              <w:t>Očekivani rezultat je pozitivna promjena u stavu prema poduzetništvu (Izvješće o provedbi Zakona o malim poduzećima), porast broja MSP-ova, razvoj i rast njihovog poslovanja, poboljšanje poduzetničkih vještina i olakšavanje pristupa visokokvalitetnim uslugama. One će biti komplementarne IP-u 3.4, Izravna potpora MSP-ovima.</w:t>
            </w:r>
          </w:p>
        </w:tc>
      </w:tr>
    </w:tbl>
    <w:p w:rsidR="006774A5" w:rsidRDefault="006774A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15876" w:type="dxa"/>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2003"/>
      </w:tblGrid>
      <w:tr w:rsidR="00FC3F35" w:rsidRPr="00576C1D" w:rsidTr="006774A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sz w:val="20"/>
                <w:szCs w:val="20"/>
                <w:lang w:eastAsia="hr-HR"/>
              </w:rPr>
              <w:t>Specifični cilj</w:t>
            </w:r>
          </w:p>
        </w:tc>
        <w:tc>
          <w:tcPr>
            <w:tcW w:w="12314"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sz w:val="20"/>
                <w:szCs w:val="20"/>
                <w:lang w:eastAsia="hr-HR"/>
              </w:rPr>
              <w:t>3a1 - Olakšanje pristupa izvorima financiranja za male i srednje velike poduzetnike (MSP) uključujući i novonastale</w:t>
            </w:r>
          </w:p>
        </w:tc>
      </w:tr>
      <w:tr w:rsidR="00FC3F35" w:rsidRPr="00576C1D" w:rsidTr="006774A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6774A5">
        <w:trPr>
          <w:trHeight w:hRule="exact" w:val="68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3a11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2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Udio financijskih instrumenata u financijskom portfelju MSP-ova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0</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79" w:hanging="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Potrebno potvrditi</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9"/>
                <w:sz w:val="16"/>
                <w:szCs w:val="16"/>
                <w:lang w:eastAsia="hr-HR"/>
              </w:rPr>
              <w:t>Jednom godišnje</w:t>
            </w:r>
          </w:p>
        </w:tc>
      </w:tr>
      <w:tr w:rsidR="00FC3F35" w:rsidRPr="00576C1D" w:rsidTr="006774A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sz w:val="20"/>
                <w:szCs w:val="20"/>
                <w:lang w:eastAsia="hr-HR"/>
              </w:rPr>
              <w:lastRenderedPageBreak/>
              <w:t>Specifični cilj</w:t>
            </w:r>
          </w:p>
        </w:tc>
        <w:tc>
          <w:tcPr>
            <w:tcW w:w="12314"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sz w:val="20"/>
                <w:szCs w:val="20"/>
                <w:lang w:eastAsia="hr-HR"/>
              </w:rPr>
              <w:t>3a2 - Povoljno okruženje za razvoj poduzetništva</w:t>
            </w:r>
          </w:p>
        </w:tc>
      </w:tr>
      <w:tr w:rsidR="00FC3F35" w:rsidRPr="00576C1D" w:rsidTr="006774A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6774A5">
        <w:trPr>
          <w:trHeight w:hRule="exact" w:val="765"/>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3a21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Promjena u stavu prema poduzetništvu (Izvješće o provedbi Zakona o malim poduzećima)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Izvješće o provedbi Zakona o malim poduzećima</w:t>
            </w:r>
          </w:p>
        </w:tc>
        <w:tc>
          <w:tcPr>
            <w:tcW w:w="200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Jednom godišnje</w:t>
            </w:r>
          </w:p>
        </w:tc>
      </w:tr>
    </w:tbl>
    <w:p w:rsidR="006774A5" w:rsidRDefault="006774A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z w:val="24"/>
          <w:szCs w:val="24"/>
          <w:lang w:eastAsia="hr-HR"/>
        </w:rPr>
      </w:pPr>
    </w:p>
    <w:p w:rsidR="006774A5" w:rsidRDefault="006774A5">
      <w:pP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br w:type="page"/>
      </w: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će biti podržane u sklopu investicijskog prioriteta </w:t>
      </w:r>
      <w:r w:rsidRPr="00576C1D">
        <w:rPr>
          <w:rFonts w:ascii="Times New Roman" w:eastAsia="Times New Roman" w:hAnsi="Times New Roman" w:cs="Times New Roman"/>
          <w:bCs/>
          <w:color w:val="000000"/>
          <w:sz w:val="24"/>
          <w:szCs w:val="24"/>
          <w:lang w:eastAsia="hr-HR"/>
        </w:rPr>
        <w:t>(po investicijskom prioritetu</w:t>
      </w:r>
      <w:r w:rsidRPr="00576C1D">
        <w:rPr>
          <w:rFonts w:ascii="Times New Roman" w:eastAsia="Times New Roman" w:hAnsi="Times New Roman" w:cs="Times New Roman"/>
          <w:color w:val="000000"/>
          <w:sz w:val="24"/>
          <w:szCs w:val="24"/>
          <w:lang w:eastAsia="hr-HR"/>
        </w:rPr>
        <w:t>)</w:t>
      </w:r>
    </w:p>
    <w:p w:rsidR="00FC3F35"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b/>
          <w:bCs/>
          <w:i/>
          <w:iCs/>
          <w:color w:val="000000"/>
          <w:spacing w:val="-2"/>
          <w:sz w:val="24"/>
          <w:szCs w:val="24"/>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1"/>
        <w:gridCol w:w="10745"/>
      </w:tblGrid>
      <w:tr w:rsidR="00394BF8" w:rsidRPr="005E763C" w:rsidTr="00394BF8">
        <w:tc>
          <w:tcPr>
            <w:tcW w:w="4531" w:type="dxa"/>
            <w:vAlign w:val="center"/>
          </w:tcPr>
          <w:p w:rsidR="00394BF8" w:rsidRPr="005E763C" w:rsidRDefault="00394BF8" w:rsidP="001A0292">
            <w:pPr>
              <w:rPr>
                <w:rFonts w:ascii="Times New Roman" w:hAnsi="Times New Roman"/>
                <w:sz w:val="24"/>
                <w:szCs w:val="24"/>
              </w:rPr>
            </w:pPr>
            <w:r w:rsidRPr="00576C1D">
              <w:rPr>
                <w:rFonts w:ascii="Times New Roman" w:hAnsi="Times New Roman"/>
                <w:b/>
                <w:sz w:val="18"/>
                <w:szCs w:val="18"/>
              </w:rPr>
              <w:t>Investicijski prioritet</w:t>
            </w:r>
          </w:p>
        </w:tc>
        <w:tc>
          <w:tcPr>
            <w:tcW w:w="10745" w:type="dxa"/>
            <w:vAlign w:val="center"/>
          </w:tcPr>
          <w:p w:rsidR="00394BF8" w:rsidRPr="00576C1D" w:rsidRDefault="00394BF8" w:rsidP="001A0292">
            <w:pPr>
              <w:widowControl w:val="0"/>
              <w:shd w:val="clear" w:color="auto" w:fill="FFFFFF"/>
              <w:autoSpaceDE w:val="0"/>
              <w:autoSpaceDN w:val="0"/>
              <w:adjustRightInd w:val="0"/>
              <w:spacing w:line="206" w:lineRule="exact"/>
              <w:rPr>
                <w:rFonts w:ascii="Times New Roman" w:hAnsi="Times New Roman"/>
              </w:rPr>
            </w:pPr>
            <w:r w:rsidRPr="00576C1D">
              <w:rPr>
                <w:rFonts w:ascii="Times New Roman" w:hAnsi="Times New Roman"/>
                <w:color w:val="000000"/>
                <w:spacing w:val="-1"/>
                <w:sz w:val="18"/>
                <w:szCs w:val="18"/>
              </w:rPr>
              <w:t>3a - Promicanje poduzetništva, posebno olakšavajući ekonomsko iskorištavanje novih ideja i poticanje stvaranja novih poduzeća, uključujući putem poslovnih inkubatora</w:t>
            </w:r>
          </w:p>
          <w:p w:rsidR="00394BF8" w:rsidRPr="004C117D" w:rsidRDefault="00394BF8" w:rsidP="001A0292">
            <w:pPr>
              <w:widowControl w:val="0"/>
              <w:shd w:val="clear" w:color="auto" w:fill="FFFFFF"/>
              <w:autoSpaceDE w:val="0"/>
              <w:autoSpaceDN w:val="0"/>
              <w:adjustRightInd w:val="0"/>
              <w:rPr>
                <w:rFonts w:ascii="Times New Roman" w:hAnsi="Times New Roman"/>
              </w:rPr>
            </w:pPr>
          </w:p>
        </w:tc>
      </w:tr>
      <w:tr w:rsidR="00394BF8" w:rsidRPr="004C117D" w:rsidTr="00394BF8">
        <w:tc>
          <w:tcPr>
            <w:tcW w:w="15276" w:type="dxa"/>
            <w:gridSpan w:val="2"/>
            <w:vAlign w:val="center"/>
          </w:tcPr>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U sklopu specifičnog cilja 3.A.1 Olakšanje pristupa izvorima financiranja za MSP-ove, uključujući i novoosnovane</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Budući da u Hrvatskoj ne postoje intervencije financijskih instrumenata financirane iz NSRO-a 2007.-2013., predloženi financijski instrumenti za 2014.-2020. (posebno u sklopu tematskog ciljaTC3) oslanjaju se na iskustvo u korištenju mjera financiranih na nacionalnoj razini, ograničeno iskustvo u sklopu Okvirnog programa za konkurentnost i inovacije i primjere najbolje prakse iz drugih država članica Europske unije, a do dovršetka potpune ex-ante procjene, preliminarni prikaz primjera uključuje sljedeće:</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uspostavu novih i razvoj postojećih financijskih instrumenata kako bi odgovarali svakoj fazi razvoja poduzeća, u skladu s njegovim posebnim zahtjevima, kao što su, primjerice:</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 xml:space="preserve">jamstva za zajmove banaka; </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 xml:space="preserve">zajmovi novoosnovanim, mikro i malim poduzećima (mikro-zajmovi) za ulaganja u dugotrajnu imovinu i kombinaciju dugotrajne imovine i radnog kapitala; </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pružanje zajmova MSP-ovima za ulaganja povezana s razvojem i uvođenjem značajno izmijenjenih ili novih proizvoda ili usluga ili postupaka proizvodnje, po mogućnosti na temelju dijeljenog rizika s bankarskim sektorom;</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pojedinačna jamstva za zajmove banke MSP-ovima usmjerene na ulaganja i rast;</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manja vlasnička ulaganja na temelju koncepta poslovnih anđela u početnim ili ranim fazama osnivanja novoosnovanih poduzeća, tehnološke inkubacije i akceleracije, s izraženim izgledima rasta, naročito u prioritetnim područjima kako su utvrđene u Strategiji S3 - mikropoduzeća, s mogućim miješanjem s potporom u obliku bespovratnih sredstava;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vlasnička ulaganja na temelju poduzetničkog kapitala u ranim fazama i fazama rasta visokotehnoloških poduzeća;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kolateralizirano osiguravanje zajmova na temelju projekta (pojedinačno) za inovativna novoosnovana mala poduzeća koja imaju značajan potencijal rasta; uz mogućnost subvencioniranja kamatnih stopa•</w:t>
            </w:r>
            <w:r w:rsidRPr="00843112">
              <w:rPr>
                <w:rFonts w:ascii="Times New Roman" w:hAnsi="Times New Roman"/>
              </w:rPr>
              <w:tab/>
              <w:t>pružanje pomoći korisnicima u upravljanju njihovim investicijskim projektima.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Komplementarne aktivnosti uključuju:</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promicanje uspostavljenih financijskih instrumenata;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tehničku pomoć u uspostavi sustava financijskih instrumenata, njihovog upravljanja, praćenja, evaluacije, procjene rizika i ostalih analiza nužnih za razvoj dodatnih financijskih instrumenata, promjene investicijske strategije itd.</w:t>
            </w:r>
          </w:p>
          <w:p w:rsidR="00394BF8" w:rsidRPr="00843112" w:rsidRDefault="00394BF8" w:rsidP="001A0292">
            <w:pPr>
              <w:widowControl w:val="0"/>
              <w:shd w:val="clear" w:color="auto" w:fill="FFFFFF"/>
              <w:autoSpaceDE w:val="0"/>
              <w:autoSpaceDN w:val="0"/>
              <w:adjustRightInd w:val="0"/>
              <w:rPr>
                <w:rFonts w:ascii="Times New Roman" w:hAnsi="Times New Roman"/>
              </w:rPr>
            </w:pP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Korisnici: kreditni fondovi, jamstveni fondovi, fondovi početnog kapitala, fondovi rizičnog kapitala, poslovni anđeli, ostali oblici javno-privatnih partnerstava.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Ciljne skupine: MSP-ovi u svim stupnjevima razvoja.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3.A.2) Povoljna okolina za razvoj poduzetništva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Razvoj usluga za MSP-ove, uključujući novoosnovana poduzeća, posebno u sljedećim područjima: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obavljanje poslovne aktivnosti u Hrvatskoj (obuhvaća: regulatorni okvir i upoznavanje s promjenama, standardima, certifikacijom i normama, prodajom i promidžbom itd.) kako bi se MSP-ovima olakšalo usvajanje novog, promjenjivog regulatornog okvira,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obuka za novoosnovana poduzeća kao preduvjet za mikro-zajmove u sklopu Operativnog programa Učinkoviti ljudski resursi i pomoć/obuka i mentorstvo radi olakšavanja pokretanja poslovanja,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dijagnosticiranje nedostataka/izazova MSP-ova kako bi se olakšala identifikacija njihovih propusta/prepreka razvoju poslovne aktivnosti,</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mentorstvo za MSP-ove u svrhu olakšavanja svladavanja teškoća - bit će osnovana i razvijena mreža mentora.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 xml:space="preserve">Predviđen je razvitak mreže profesionalnih PPI, vrlo prepoznatljivih za MSP-ove, koja će aktivno djelovati s ciljem poticanja MSP-ova, uključujući novoosnovana poduzeća, na korištenje visokokvalitetnih usluga u svrhu razvoja. Stoga, PPI će promicati razvoj poduzetništva u svojim regijama pod pokroviteljstvom MINPO-a/HAMAG-BICRO-a. Cilj umrežene koordinacije je jamčiti solidne, profesionalne usluge diljem Hrvatske (raspoložive u svakoj županiji na istoj razini kvalitete kako bi se svim MSP-ovima olakšao pristup pruženim uslugama), što će </w:t>
            </w:r>
            <w:r w:rsidRPr="00843112">
              <w:rPr>
                <w:rFonts w:ascii="Times New Roman" w:hAnsi="Times New Roman"/>
              </w:rPr>
              <w:lastRenderedPageBreak/>
              <w:t>osigurati integriranu pomoć MSP-ovima u svim stupnjevima razvoja, prilagođenu njihovim potrebama.Podrška PPI stoga bi uključivala podmirivanje troškova izravno povezanih s uslugama informiranja, savjetovanja/mentorstva i pružanja obuke, te prema potrebi i rekonstrukcijom njihovih poslovnih prostora, (posebno u smislu nabave opreme potrebne za poboljšanje pružanja njihovih usluga), troškova obuke osoblja, troškova razvijanja specifičnih usluga MSP-ova i posebne obuke, informiranja ili drugih oblika potpore MSP-ovima, te promicanja pruženih usluga.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Promicanje poduzetništva u društvu tj. u obliku međunarodnih konferencija/radionica/seminara i umrežavanja, uključujući natjecanja za mlada/novoosnovana poduzeća i MSP-ove na međunarodnoj, nacionalnoj i regionalnoj razini uz sudjelovanje PPI, promicanje priča o uspjehu poduzetnika;</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potpora akceleratorima (pro-inovativnim PPI s odgovarajućom infrastrukturom za inkubaciju i investicijskim instrumentom) u pronalaženju i odabiru inovativnih ideja, potpora osnivanju novoosnovanih poduzeća, uključujući spin-off poduzeća nastalih na temelju inovativnih ideja (takozvana predinkubacija) i kapitalnih doprinosa za novoosnovana poduzeća (što obuhvaća analizu inovacijskog rješenja i njegovog tržišnog potencijala (analiza tržišta, poslovni plan i studija izvedivosti)), pripremni radovi povezani s pokretanjem poslovanja na temelju inovativne ideje i ranom fazom ulaganja u novoosnovana poduzeća (pokrivanje udjela) te mentorstvo u pristupanju tržištu;</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potpora poboljšanju kvalitete postojeće poslovne infrastrukture, kao i stvaranju nove i napredne, te poboljšanju kvalitete povezanih poslovnih usluga koje se nude poduzećima (kao što su poduzetnički i tehnološki inkubatori i tehnološki parkovi, uključujući usluge posebno prilagođene inovativnim i kreativnim MSP-ovima, uključujući novoosnovana poduzeća, kao što su: preferencijalni poslovni prostori za najam, podrška u vidu organizacije i poslovnog savjetovanja, zaštita prava intelektualnog vlasništva i upravljanje njima, prijenos znanja i iskustva te tehnoloških rješenja, pomoć u razvijanju poslovnih planova i strategija razvoja zakupnika, istraživanje i promidžba, razvoj poslovnih vještina, posredovanje u licenciranju, upravljanje i projektno upravljanje, programi obuke, certifikacija, savjetodavna pomoć, zajednički marketinški napori na trgovačkim sajmovima i izložbama, umrežavanje, podrška u vidu IKT-a i administracije itd.);</w:t>
            </w:r>
          </w:p>
          <w:p w:rsidR="00394BF8" w:rsidRPr="00843112"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w:t>
            </w:r>
            <w:r w:rsidRPr="00843112">
              <w:rPr>
                <w:rFonts w:ascii="Times New Roman" w:hAnsi="Times New Roman"/>
              </w:rPr>
              <w:tab/>
              <w:t>razvoj u fizičkom smislu te izgradnja SEECEL-a kao suvremenog centra za provedbu razvoja politike u sklopu CPO-a koji potiče poduzetničko obrazovanje (pri čemu će daljnji razvoj njegovih aktivnosti i usluga biti sufinanciran od strane ESF-a na komplementarni način).</w:t>
            </w:r>
          </w:p>
          <w:p w:rsidR="00394BF8" w:rsidRPr="004C117D" w:rsidRDefault="00394BF8" w:rsidP="001A0292">
            <w:pPr>
              <w:widowControl w:val="0"/>
              <w:shd w:val="clear" w:color="auto" w:fill="FFFFFF"/>
              <w:autoSpaceDE w:val="0"/>
              <w:autoSpaceDN w:val="0"/>
              <w:adjustRightInd w:val="0"/>
              <w:rPr>
                <w:rFonts w:ascii="Times New Roman" w:hAnsi="Times New Roman"/>
              </w:rPr>
            </w:pPr>
            <w:r w:rsidRPr="00843112">
              <w:rPr>
                <w:rFonts w:ascii="Times New Roman" w:hAnsi="Times New Roman"/>
              </w:rPr>
              <w:t>Korisnici: PPI (kao što su poduzetničke udruge, Hrvatska gospodarska komora, Hrvatska obrtnička komora, Hrvatski savez zadruga, akceleratori, inkubatori, poduzetnički centri, agencije za regionalni razvoj, SEECEL), tijela javne vlasti (uključujući MINPO, HAMAG-BICRO).</w:t>
            </w:r>
            <w:r w:rsidRPr="00576C1D">
              <w:rPr>
                <w:rFonts w:ascii="Times New Roman" w:hAnsi="Times New Roman"/>
                <w:color w:val="000000"/>
                <w:spacing w:val="-2"/>
                <w:sz w:val="24"/>
                <w:szCs w:val="24"/>
              </w:rPr>
              <w:t xml:space="preserve"> Ciljne skupine: MSP-ovi, uključujući novoosnovana poduzeća.</w:t>
            </w:r>
          </w:p>
        </w:tc>
      </w:tr>
    </w:tbl>
    <w:p w:rsidR="00394BF8" w:rsidRPr="00576C1D" w:rsidRDefault="00394BF8" w:rsidP="006774A5">
      <w:pPr>
        <w:widowControl w:val="0"/>
        <w:shd w:val="clear" w:color="auto" w:fill="FFFFFF"/>
        <w:autoSpaceDE w:val="0"/>
        <w:autoSpaceDN w:val="0"/>
        <w:adjustRightInd w:val="0"/>
        <w:spacing w:after="0" w:line="278" w:lineRule="exact"/>
        <w:rPr>
          <w:rFonts w:ascii="Times New Roman" w:eastAsia="Times New Roman" w:hAnsi="Times New Roman" w:cs="Times New Roman"/>
          <w:sz w:val="20"/>
          <w:szCs w:val="20"/>
          <w:lang w:eastAsia="hr-HR"/>
        </w:rPr>
      </w:pPr>
    </w:p>
    <w:p w:rsidR="00FC3F35" w:rsidRDefault="00FC3F3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2.A.6.2 Vodeća načela za odabir operacija</w:t>
      </w:r>
    </w:p>
    <w:p w:rsidR="00394BF8" w:rsidRDefault="00394BF8"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Mora se dokazati relevantnost odabranih operacija te njihov doprinos ostvarivanju ciljeva OPKK-a i specifičnih ciljeva 3.A.1. i 3.A.2. u sklopu tematskog cilja TC3 IP-a 3.D., kao i osigurati njihov utjecaj na konkurentnost i inovativnost MSP-ova te financijska provedivost, održivost, tehnička spremnost i zrelost, dodana vrijednost i potencijal rasta.</w:t>
      </w: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Radi potpore uravnoteženom regionalnom razvoju, projekti iz manje razvijenih regija će dobiti dodatne bodove tijekom postupka bodovanja, kao i više stope sufinanciranja i veću tehničku pomoć, po potrebi.</w:t>
      </w: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 xml:space="preserve">Ocjena projekata će biti podložna kriterijima odabira koje je odobrio Odbor za praćenje. </w:t>
      </w: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 xml:space="preserve">S obzirom na pojedini specifični cilj, posebni kriteriji odabira će uključivati sljedeće: </w:t>
      </w: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b/>
          <w:sz w:val="24"/>
          <w:szCs w:val="24"/>
          <w:u w:val="single"/>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b/>
          <w:sz w:val="24"/>
          <w:szCs w:val="24"/>
          <w:u w:val="single"/>
          <w:lang w:eastAsia="hr-HR"/>
        </w:rPr>
      </w:pPr>
      <w:r w:rsidRPr="00576C1D">
        <w:rPr>
          <w:rFonts w:ascii="Times New Roman" w:eastAsia="Times New Roman" w:hAnsi="Times New Roman" w:cs="Times New Roman"/>
          <w:b/>
          <w:sz w:val="24"/>
          <w:szCs w:val="24"/>
          <w:u w:val="single"/>
          <w:lang w:eastAsia="hr-HR"/>
        </w:rPr>
        <w:t>Olakšan pristup financiranju za MSP-ove, uključujući novonastala poduzeća</w:t>
      </w: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b/>
          <w:sz w:val="24"/>
          <w:szCs w:val="24"/>
          <w:u w:val="single"/>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Gospodarski subjekti će biti izabrani na temelju procjene njihovog organizacijskog i ljudskog kapaciteta za učinkovito postupanje s financijskim instrumentima, posebno s obzirom na njihovo upravljanje plasiranjem financijskih sredstava na tržište, tako da dođu do konačnog primatelja, tj. MSP-ova.</w:t>
      </w:r>
    </w:p>
    <w:p w:rsidR="00FC3F35" w:rsidRPr="00576C1D"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sz w:val="24"/>
          <w:szCs w:val="24"/>
          <w:lang w:eastAsia="hr-HR"/>
        </w:rPr>
      </w:pPr>
    </w:p>
    <w:p w:rsidR="00FC3F35" w:rsidRDefault="00FC3F35"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sz w:val="24"/>
          <w:szCs w:val="24"/>
          <w:lang w:eastAsia="hr-HR"/>
        </w:rPr>
        <w:t>Ulaganja koja će biti podržana financijskim instrumentima su prvenstveno nova ulaganja i aktivnosti, tj. ona koja na datum donošenja odluke o ulaganju određenog financijskog posrednika fizički nisu u potpunosti dovršena odnosno provedena. Očekuje se da će operacije podržane financijskim instrumentima rezultirati stvaranjem značajne financijske poluge</w:t>
      </w:r>
      <w:r w:rsidRPr="00576C1D">
        <w:rPr>
          <w:rFonts w:ascii="Times New Roman" w:eastAsia="Times New Roman" w:hAnsi="Times New Roman" w:cs="Times New Roman"/>
          <w:color w:val="000000"/>
          <w:spacing w:val="-1"/>
          <w:sz w:val="24"/>
          <w:szCs w:val="24"/>
          <w:lang w:eastAsia="hr-HR"/>
        </w:rPr>
        <w:t>.</w:t>
      </w:r>
    </w:p>
    <w:tbl>
      <w:tblPr>
        <w:tblStyle w:val="TableGrid"/>
        <w:tblW w:w="0" w:type="auto"/>
        <w:tblLook w:val="04A0" w:firstRow="1" w:lastRow="0" w:firstColumn="1" w:lastColumn="0" w:noHBand="0" w:noVBand="1"/>
      </w:tblPr>
      <w:tblGrid>
        <w:gridCol w:w="4735"/>
        <w:gridCol w:w="10541"/>
      </w:tblGrid>
      <w:tr w:rsidR="00394BF8" w:rsidRPr="005E763C" w:rsidTr="00394BF8">
        <w:tc>
          <w:tcPr>
            <w:tcW w:w="4735" w:type="dxa"/>
            <w:vAlign w:val="center"/>
          </w:tcPr>
          <w:p w:rsidR="00394BF8" w:rsidRPr="00576C1D" w:rsidRDefault="00394BF8" w:rsidP="001A0292">
            <w:pPr>
              <w:widowControl w:val="0"/>
              <w:shd w:val="clear" w:color="auto" w:fill="FFFFFF"/>
              <w:autoSpaceDE w:val="0"/>
              <w:autoSpaceDN w:val="0"/>
              <w:adjustRightInd w:val="0"/>
              <w:spacing w:line="206" w:lineRule="exact"/>
              <w:rPr>
                <w:rFonts w:ascii="Times New Roman" w:hAnsi="Times New Roman"/>
                <w:b/>
                <w:sz w:val="18"/>
                <w:szCs w:val="18"/>
              </w:rPr>
            </w:pPr>
            <w:r w:rsidRPr="00576C1D">
              <w:rPr>
                <w:rFonts w:ascii="Times New Roman" w:hAnsi="Times New Roman"/>
                <w:b/>
                <w:sz w:val="18"/>
                <w:szCs w:val="18"/>
              </w:rPr>
              <w:t>Investicijski prioritet</w:t>
            </w:r>
          </w:p>
          <w:p w:rsidR="00394BF8" w:rsidRPr="005E763C" w:rsidRDefault="00394BF8" w:rsidP="001A0292">
            <w:pPr>
              <w:rPr>
                <w:rFonts w:ascii="Times New Roman" w:hAnsi="Times New Roman"/>
                <w:sz w:val="24"/>
                <w:szCs w:val="24"/>
              </w:rPr>
            </w:pPr>
          </w:p>
        </w:tc>
        <w:tc>
          <w:tcPr>
            <w:tcW w:w="10541" w:type="dxa"/>
            <w:vAlign w:val="center"/>
          </w:tcPr>
          <w:p w:rsidR="00394BF8" w:rsidRPr="00576C1D" w:rsidRDefault="00394BF8" w:rsidP="001A0292">
            <w:pPr>
              <w:widowControl w:val="0"/>
              <w:shd w:val="clear" w:color="auto" w:fill="FFFFFF"/>
              <w:autoSpaceDE w:val="0"/>
              <w:autoSpaceDN w:val="0"/>
              <w:adjustRightInd w:val="0"/>
              <w:spacing w:line="206" w:lineRule="exact"/>
              <w:rPr>
                <w:rFonts w:ascii="Times New Roman" w:hAnsi="Times New Roman"/>
                <w:sz w:val="18"/>
                <w:szCs w:val="18"/>
              </w:rPr>
            </w:pPr>
            <w:r w:rsidRPr="00576C1D">
              <w:rPr>
                <w:rFonts w:ascii="Times New Roman" w:hAnsi="Times New Roman"/>
                <w:sz w:val="18"/>
                <w:szCs w:val="18"/>
              </w:rPr>
              <w:t>3a - Promicanje poduzetništva, posebno olakšavajući ekonomsko iskorištavanje novih ideja i poticanje stvaranja novih poduzeća, uključujući putem poslovnih inkubatora</w:t>
            </w:r>
          </w:p>
          <w:p w:rsidR="00394BF8" w:rsidRPr="005E763C" w:rsidRDefault="00394BF8" w:rsidP="001A0292">
            <w:pPr>
              <w:rPr>
                <w:rFonts w:ascii="Times New Roman" w:hAnsi="Times New Roman"/>
                <w:sz w:val="24"/>
                <w:szCs w:val="24"/>
              </w:rPr>
            </w:pPr>
          </w:p>
        </w:tc>
      </w:tr>
      <w:tr w:rsidR="00394BF8" w:rsidRPr="005E763C" w:rsidTr="00394BF8">
        <w:tc>
          <w:tcPr>
            <w:tcW w:w="15276" w:type="dxa"/>
            <w:gridSpan w:val="2"/>
            <w:vAlign w:val="center"/>
          </w:tcPr>
          <w:p w:rsidR="00394BF8" w:rsidRPr="00843112" w:rsidRDefault="00394BF8" w:rsidP="001A0292">
            <w:pPr>
              <w:widowControl w:val="0"/>
              <w:shd w:val="clear" w:color="auto" w:fill="FFFFFF"/>
              <w:autoSpaceDE w:val="0"/>
              <w:autoSpaceDN w:val="0"/>
              <w:adjustRightInd w:val="0"/>
              <w:rPr>
                <w:rFonts w:ascii="Times New Roman" w:hAnsi="Times New Roman"/>
                <w:color w:val="000000"/>
                <w:spacing w:val="-1"/>
                <w:sz w:val="24"/>
                <w:szCs w:val="24"/>
              </w:rPr>
            </w:pPr>
            <w:r w:rsidRPr="00843112">
              <w:rPr>
                <w:rFonts w:ascii="Times New Roman" w:hAnsi="Times New Roman"/>
                <w:color w:val="000000"/>
                <w:spacing w:val="-1"/>
                <w:sz w:val="24"/>
                <w:szCs w:val="24"/>
              </w:rPr>
              <w:t>Povoljna okolina za razvoj poduzetništva</w:t>
            </w:r>
          </w:p>
          <w:p w:rsidR="00394BF8" w:rsidRPr="00843112" w:rsidRDefault="00394BF8" w:rsidP="001A0292">
            <w:pPr>
              <w:widowControl w:val="0"/>
              <w:shd w:val="clear" w:color="auto" w:fill="FFFFFF"/>
              <w:autoSpaceDE w:val="0"/>
              <w:autoSpaceDN w:val="0"/>
              <w:adjustRightInd w:val="0"/>
              <w:rPr>
                <w:rFonts w:ascii="Times New Roman" w:hAnsi="Times New Roman"/>
                <w:color w:val="000000"/>
                <w:spacing w:val="-1"/>
                <w:sz w:val="24"/>
                <w:szCs w:val="24"/>
              </w:rPr>
            </w:pPr>
            <w:r w:rsidRPr="00843112">
              <w:rPr>
                <w:rFonts w:ascii="Times New Roman" w:hAnsi="Times New Roman"/>
                <w:color w:val="000000"/>
                <w:spacing w:val="-1"/>
                <w:sz w:val="24"/>
                <w:szCs w:val="24"/>
              </w:rPr>
              <w:t>U odabiru PPI pokrivenih mrežom koristit će se sljedeći kriteriji: tehnički i ljudski kapacitet, sposobnost za umrežavanje i iskustvo u suradnji s MSP-ovima.</w:t>
            </w:r>
          </w:p>
          <w:p w:rsidR="00394BF8" w:rsidRPr="005E763C" w:rsidRDefault="00394BF8" w:rsidP="001A0292">
            <w:pPr>
              <w:widowControl w:val="0"/>
              <w:shd w:val="clear" w:color="auto" w:fill="FFFFFF"/>
              <w:autoSpaceDE w:val="0"/>
              <w:autoSpaceDN w:val="0"/>
              <w:adjustRightInd w:val="0"/>
              <w:rPr>
                <w:rFonts w:ascii="Times New Roman" w:hAnsi="Times New Roman"/>
                <w:color w:val="000000"/>
                <w:spacing w:val="-1"/>
                <w:sz w:val="24"/>
                <w:szCs w:val="24"/>
              </w:rPr>
            </w:pPr>
            <w:r w:rsidRPr="00843112">
              <w:rPr>
                <w:rFonts w:ascii="Times New Roman" w:hAnsi="Times New Roman"/>
                <w:color w:val="000000"/>
                <w:spacing w:val="-1"/>
                <w:sz w:val="24"/>
                <w:szCs w:val="24"/>
              </w:rPr>
              <w:t>Radi osiguranja jednakog pristupa uslugama PPI diljem teritorija Republike Hrvatske, bit će uzete u obzir teritorijalne potrebe i potencijali s obzirom na MSP-ove.</w:t>
            </w:r>
          </w:p>
        </w:tc>
      </w:tr>
    </w:tbl>
    <w:p w:rsidR="00394BF8" w:rsidRDefault="00394BF8" w:rsidP="00FC3F35">
      <w:pPr>
        <w:widowControl w:val="0"/>
        <w:shd w:val="clear" w:color="auto" w:fill="FFFFFF"/>
        <w:autoSpaceDE w:val="0"/>
        <w:autoSpaceDN w:val="0"/>
        <w:adjustRightInd w:val="0"/>
        <w:spacing w:after="0" w:line="240" w:lineRule="auto"/>
        <w:ind w:left="641"/>
        <w:rPr>
          <w:rFonts w:ascii="Times New Roman" w:eastAsia="Times New Roman" w:hAnsi="Times New Roman" w:cs="Times New Roman"/>
          <w:color w:val="000000"/>
          <w:spacing w:val="-1"/>
          <w:sz w:val="24"/>
          <w:szCs w:val="24"/>
          <w:lang w:eastAsia="hr-HR"/>
        </w:rPr>
      </w:pPr>
    </w:p>
    <w:p w:rsidR="00FC3F35" w:rsidRDefault="00FC3F35" w:rsidP="00FC3F35">
      <w:pPr>
        <w:widowControl w:val="0"/>
        <w:shd w:val="clear" w:color="auto" w:fill="FFFFFF"/>
        <w:autoSpaceDE w:val="0"/>
        <w:autoSpaceDN w:val="0"/>
        <w:adjustRightInd w:val="0"/>
        <w:spacing w:before="1008" w:after="182" w:line="240" w:lineRule="auto"/>
        <w:ind w:left="533"/>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2.A.6.3 Planirano korištenje financijskih instrumenata </w:t>
      </w:r>
      <w:r w:rsidRPr="00576C1D">
        <w:rPr>
          <w:rFonts w:ascii="Times New Roman" w:eastAsia="Times New Roman" w:hAnsi="Times New Roman" w:cs="Times New Roman"/>
          <w:bCs/>
          <w:iCs/>
          <w:color w:val="000000"/>
          <w:spacing w:val="-1"/>
          <w:sz w:val="24"/>
          <w:szCs w:val="24"/>
          <w:lang w:eastAsia="hr-HR"/>
        </w:rPr>
        <w:t>(po potrebi</w:t>
      </w:r>
      <w:r w:rsidRPr="00576C1D">
        <w:rPr>
          <w:rFonts w:ascii="Times New Roman" w:eastAsia="Times New Roman" w:hAnsi="Times New Roman" w:cs="Times New Roman"/>
          <w:color w:val="000000"/>
          <w:spacing w:val="-1"/>
          <w:sz w:val="24"/>
          <w:szCs w:val="24"/>
          <w:lang w:eastAsia="hr-HR"/>
        </w:rPr>
        <w:t>)</w:t>
      </w:r>
    </w:p>
    <w:tbl>
      <w:tblPr>
        <w:tblStyle w:val="TableGrid"/>
        <w:tblW w:w="0" w:type="auto"/>
        <w:tblLook w:val="04A0" w:firstRow="1" w:lastRow="0" w:firstColumn="1" w:lastColumn="0" w:noHBand="0" w:noVBand="1"/>
      </w:tblPr>
      <w:tblGrid>
        <w:gridCol w:w="4735"/>
        <w:gridCol w:w="10541"/>
      </w:tblGrid>
      <w:tr w:rsidR="00394BF8" w:rsidRPr="005E763C" w:rsidTr="00394BF8">
        <w:tc>
          <w:tcPr>
            <w:tcW w:w="4735" w:type="dxa"/>
            <w:vAlign w:val="center"/>
          </w:tcPr>
          <w:p w:rsidR="00394BF8" w:rsidRPr="00576C1D" w:rsidRDefault="00394BF8" w:rsidP="001A0292">
            <w:pPr>
              <w:widowControl w:val="0"/>
              <w:shd w:val="clear" w:color="auto" w:fill="FFFFFF"/>
              <w:autoSpaceDE w:val="0"/>
              <w:autoSpaceDN w:val="0"/>
              <w:adjustRightInd w:val="0"/>
              <w:spacing w:line="206" w:lineRule="exact"/>
              <w:rPr>
                <w:rFonts w:ascii="Times New Roman" w:hAnsi="Times New Roman"/>
                <w:b/>
                <w:sz w:val="18"/>
                <w:szCs w:val="18"/>
              </w:rPr>
            </w:pPr>
            <w:r w:rsidRPr="00576C1D">
              <w:rPr>
                <w:rFonts w:ascii="Times New Roman" w:hAnsi="Times New Roman"/>
                <w:b/>
                <w:sz w:val="18"/>
                <w:szCs w:val="18"/>
              </w:rPr>
              <w:t>Investicijski prioritet</w:t>
            </w:r>
          </w:p>
          <w:p w:rsidR="00394BF8" w:rsidRPr="005E763C" w:rsidRDefault="00394BF8" w:rsidP="001A0292">
            <w:pPr>
              <w:rPr>
                <w:rFonts w:ascii="Times New Roman" w:hAnsi="Times New Roman"/>
                <w:sz w:val="24"/>
                <w:szCs w:val="24"/>
              </w:rPr>
            </w:pPr>
          </w:p>
        </w:tc>
        <w:tc>
          <w:tcPr>
            <w:tcW w:w="10541" w:type="dxa"/>
            <w:vAlign w:val="center"/>
          </w:tcPr>
          <w:p w:rsidR="00394BF8" w:rsidRPr="00576C1D" w:rsidRDefault="00394BF8" w:rsidP="001A0292">
            <w:pPr>
              <w:widowControl w:val="0"/>
              <w:shd w:val="clear" w:color="auto" w:fill="FFFFFF"/>
              <w:autoSpaceDE w:val="0"/>
              <w:autoSpaceDN w:val="0"/>
              <w:adjustRightInd w:val="0"/>
              <w:spacing w:line="206" w:lineRule="exact"/>
              <w:rPr>
                <w:rFonts w:ascii="Times New Roman" w:hAnsi="Times New Roman"/>
                <w:sz w:val="18"/>
                <w:szCs w:val="18"/>
              </w:rPr>
            </w:pPr>
            <w:r w:rsidRPr="00576C1D">
              <w:rPr>
                <w:rFonts w:ascii="Times New Roman" w:hAnsi="Times New Roman"/>
                <w:sz w:val="18"/>
                <w:szCs w:val="18"/>
              </w:rPr>
              <w:t>3a - Promicanje poduzetništva, posebno olakšavajući ekonomsko iskorištavanje novih ideja i poticanje stvaranja novih poduzeća, uključujući putem poslovnih inkubatora</w:t>
            </w:r>
          </w:p>
          <w:p w:rsidR="00394BF8" w:rsidRPr="005E763C" w:rsidRDefault="00394BF8" w:rsidP="001A0292">
            <w:pPr>
              <w:rPr>
                <w:rFonts w:ascii="Times New Roman" w:hAnsi="Times New Roman"/>
                <w:sz w:val="24"/>
                <w:szCs w:val="24"/>
              </w:rPr>
            </w:pPr>
          </w:p>
        </w:tc>
      </w:tr>
      <w:tr w:rsidR="00394BF8" w:rsidRPr="005E763C" w:rsidTr="00394BF8">
        <w:tc>
          <w:tcPr>
            <w:tcW w:w="15276" w:type="dxa"/>
            <w:gridSpan w:val="2"/>
            <w:vAlign w:val="center"/>
          </w:tcPr>
          <w:p w:rsidR="00394BF8" w:rsidRPr="005E763C" w:rsidRDefault="00394BF8" w:rsidP="001A0292">
            <w:pPr>
              <w:widowControl w:val="0"/>
              <w:shd w:val="clear" w:color="auto" w:fill="FFFFFF"/>
              <w:autoSpaceDE w:val="0"/>
              <w:autoSpaceDN w:val="0"/>
              <w:adjustRightInd w:val="0"/>
              <w:rPr>
                <w:rFonts w:ascii="Times New Roman" w:hAnsi="Times New Roman"/>
                <w:color w:val="000000"/>
                <w:spacing w:val="-1"/>
                <w:sz w:val="24"/>
                <w:szCs w:val="24"/>
              </w:rPr>
            </w:pPr>
            <w:r w:rsidRPr="00843112">
              <w:rPr>
                <w:rFonts w:ascii="Times New Roman" w:hAnsi="Times New Roman"/>
                <w:color w:val="000000"/>
                <w:spacing w:val="-1"/>
                <w:sz w:val="24"/>
                <w:szCs w:val="24"/>
              </w:rPr>
              <w:t>Planirano je razvijanje financijskih instrumenata u sklopu tematskog cilja TC3, specifičnog cilja 3.A.1. pri čemu je željeni rezultat jednostavniji pristup financiranju. Planirano je razvijanje financijskih instrumenata primjerenih svakom stupnju razvoja poduzeća, u skladu s njihovim zahtjevima tijekom razvojnog ciklusa (npr. zajmovi, jamstva (ili njihova kombinacija), visokorizični financijski instrumenti (npr. poduzetnički kapital, početni kapital, poslovni anđeli) itd. Trenutno se dovršava ex-ante procjena.</w:t>
            </w:r>
          </w:p>
        </w:tc>
      </w:tr>
    </w:tbl>
    <w:p w:rsidR="00FC3F35" w:rsidRDefault="00FC3F35" w:rsidP="00FC3F35">
      <w:pPr>
        <w:widowControl w:val="0"/>
        <w:shd w:val="clear" w:color="auto" w:fill="FFFFFF"/>
        <w:autoSpaceDE w:val="0"/>
        <w:autoSpaceDN w:val="0"/>
        <w:adjustRightInd w:val="0"/>
        <w:spacing w:before="278" w:after="0" w:line="240" w:lineRule="auto"/>
        <w:ind w:left="658"/>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sz w:val="24"/>
          <w:szCs w:val="24"/>
          <w:lang w:eastAsia="hr-HR"/>
        </w:rPr>
        <w:t>* Više informacija će biti dostupno nakon dovršetka ex-ante procjene</w:t>
      </w:r>
      <w:r w:rsidRPr="00576C1D">
        <w:rPr>
          <w:rFonts w:ascii="Times New Roman" w:eastAsia="Times New Roman" w:hAnsi="Times New Roman" w:cs="Times New Roman"/>
          <w:color w:val="000000"/>
          <w:spacing w:val="-1"/>
          <w:sz w:val="24"/>
          <w:szCs w:val="24"/>
          <w:lang w:eastAsia="hr-HR"/>
        </w:rPr>
        <w:t>.</w:t>
      </w:r>
    </w:p>
    <w:p w:rsidR="008B10E6" w:rsidRPr="00576C1D" w:rsidRDefault="008B10E6" w:rsidP="00FC3F35">
      <w:pPr>
        <w:widowControl w:val="0"/>
        <w:shd w:val="clear" w:color="auto" w:fill="FFFFFF"/>
        <w:autoSpaceDE w:val="0"/>
        <w:autoSpaceDN w:val="0"/>
        <w:adjustRightInd w:val="0"/>
        <w:spacing w:before="278" w:after="0" w:line="240" w:lineRule="auto"/>
        <w:ind w:left="658"/>
        <w:rPr>
          <w:rFonts w:ascii="Times New Roman" w:eastAsia="Times New Roman" w:hAnsi="Times New Roman" w:cs="Times New Roman"/>
          <w:sz w:val="24"/>
          <w:szCs w:val="24"/>
          <w:lang w:eastAsia="hr-HR"/>
        </w:rPr>
      </w:pPr>
    </w:p>
    <w:p w:rsidR="00FC3F35" w:rsidRDefault="00FC3F35" w:rsidP="008B10E6">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b/>
          <w:bCs/>
          <w:i/>
          <w:iCs/>
          <w:color w:val="000000"/>
          <w:sz w:val="24"/>
          <w:szCs w:val="24"/>
          <w:lang w:eastAsia="hr-HR"/>
        </w:rPr>
        <w:t xml:space="preserve">2.A.6.4 Planirano korištenje velikih projekata </w:t>
      </w:r>
      <w:r w:rsidRPr="00576C1D">
        <w:rPr>
          <w:rFonts w:ascii="Times New Roman" w:eastAsia="Times New Roman" w:hAnsi="Times New Roman" w:cs="Times New Roman"/>
          <w:color w:val="000000"/>
          <w:sz w:val="24"/>
          <w:szCs w:val="24"/>
          <w:lang w:eastAsia="hr-HR"/>
        </w:rPr>
        <w:t>(po potrebi)</w:t>
      </w:r>
    </w:p>
    <w:tbl>
      <w:tblPr>
        <w:tblStyle w:val="TableGrid"/>
        <w:tblW w:w="0" w:type="auto"/>
        <w:tblLook w:val="04A0" w:firstRow="1" w:lastRow="0" w:firstColumn="1" w:lastColumn="0" w:noHBand="0" w:noVBand="1"/>
      </w:tblPr>
      <w:tblGrid>
        <w:gridCol w:w="4735"/>
        <w:gridCol w:w="10541"/>
      </w:tblGrid>
      <w:tr w:rsidR="008B10E6" w:rsidRPr="005E763C" w:rsidTr="008B10E6">
        <w:tc>
          <w:tcPr>
            <w:tcW w:w="4735" w:type="dxa"/>
            <w:vAlign w:val="center"/>
          </w:tcPr>
          <w:p w:rsidR="008B10E6" w:rsidRPr="00576C1D" w:rsidRDefault="008B10E6" w:rsidP="001A0292">
            <w:pPr>
              <w:widowControl w:val="0"/>
              <w:shd w:val="clear" w:color="auto" w:fill="FFFFFF"/>
              <w:autoSpaceDE w:val="0"/>
              <w:autoSpaceDN w:val="0"/>
              <w:adjustRightInd w:val="0"/>
              <w:spacing w:line="206" w:lineRule="exact"/>
              <w:rPr>
                <w:rFonts w:ascii="Times New Roman" w:hAnsi="Times New Roman"/>
                <w:b/>
                <w:sz w:val="18"/>
                <w:szCs w:val="18"/>
              </w:rPr>
            </w:pPr>
            <w:r w:rsidRPr="00576C1D">
              <w:rPr>
                <w:rFonts w:ascii="Times New Roman" w:hAnsi="Times New Roman"/>
                <w:b/>
                <w:sz w:val="18"/>
                <w:szCs w:val="18"/>
              </w:rPr>
              <w:t>Investicijski prioritet</w:t>
            </w:r>
          </w:p>
          <w:p w:rsidR="008B10E6" w:rsidRPr="005E763C" w:rsidRDefault="008B10E6" w:rsidP="001A0292">
            <w:pPr>
              <w:rPr>
                <w:rFonts w:ascii="Times New Roman" w:hAnsi="Times New Roman"/>
                <w:sz w:val="24"/>
                <w:szCs w:val="24"/>
              </w:rPr>
            </w:pPr>
          </w:p>
        </w:tc>
        <w:tc>
          <w:tcPr>
            <w:tcW w:w="10541" w:type="dxa"/>
            <w:vAlign w:val="center"/>
          </w:tcPr>
          <w:p w:rsidR="008B10E6" w:rsidRPr="00576C1D" w:rsidRDefault="008B10E6" w:rsidP="001A0292">
            <w:pPr>
              <w:widowControl w:val="0"/>
              <w:shd w:val="clear" w:color="auto" w:fill="FFFFFF"/>
              <w:autoSpaceDE w:val="0"/>
              <w:autoSpaceDN w:val="0"/>
              <w:adjustRightInd w:val="0"/>
              <w:spacing w:line="206" w:lineRule="exact"/>
              <w:rPr>
                <w:rFonts w:ascii="Times New Roman" w:hAnsi="Times New Roman"/>
                <w:sz w:val="18"/>
                <w:szCs w:val="18"/>
              </w:rPr>
            </w:pPr>
            <w:r w:rsidRPr="00576C1D">
              <w:rPr>
                <w:rFonts w:ascii="Times New Roman" w:hAnsi="Times New Roman"/>
                <w:sz w:val="18"/>
                <w:szCs w:val="18"/>
              </w:rPr>
              <w:t>3a - Promicanje poduzetništva, posebno olakšavajući ekonomsko iskorištavanje novih ideja i poticanje stvaranja novih poduzeća, uključujući putem poslovnih inkubatora</w:t>
            </w:r>
          </w:p>
          <w:p w:rsidR="008B10E6" w:rsidRPr="005E763C" w:rsidRDefault="008B10E6" w:rsidP="001A0292">
            <w:pPr>
              <w:rPr>
                <w:rFonts w:ascii="Times New Roman" w:hAnsi="Times New Roman"/>
                <w:sz w:val="24"/>
                <w:szCs w:val="24"/>
              </w:rPr>
            </w:pPr>
          </w:p>
        </w:tc>
      </w:tr>
      <w:tr w:rsidR="008B10E6" w:rsidRPr="005E763C" w:rsidTr="008B10E6">
        <w:tc>
          <w:tcPr>
            <w:tcW w:w="15276" w:type="dxa"/>
            <w:gridSpan w:val="2"/>
            <w:vAlign w:val="center"/>
          </w:tcPr>
          <w:p w:rsidR="008B10E6" w:rsidRPr="005E763C" w:rsidRDefault="008B10E6" w:rsidP="001A0292">
            <w:pPr>
              <w:widowControl w:val="0"/>
              <w:shd w:val="clear" w:color="auto" w:fill="FFFFFF"/>
              <w:autoSpaceDE w:val="0"/>
              <w:autoSpaceDN w:val="0"/>
              <w:adjustRightInd w:val="0"/>
              <w:rPr>
                <w:rFonts w:ascii="Times New Roman" w:hAnsi="Times New Roman"/>
                <w:color w:val="000000"/>
                <w:spacing w:val="-1"/>
                <w:sz w:val="24"/>
                <w:szCs w:val="24"/>
              </w:rPr>
            </w:pPr>
            <w:r w:rsidRPr="00576C1D">
              <w:rPr>
                <w:rFonts w:ascii="Times New Roman" w:hAnsi="Times New Roman"/>
                <w:sz w:val="24"/>
                <w:szCs w:val="24"/>
              </w:rPr>
              <w:t>Zasad nisu predviđeni veliki projekti u sklopu PO3</w:t>
            </w:r>
            <w:r w:rsidRPr="00576C1D">
              <w:rPr>
                <w:rFonts w:ascii="Times New Roman" w:hAnsi="Times New Roman"/>
                <w:color w:val="000000"/>
                <w:spacing w:val="-1"/>
                <w:sz w:val="24"/>
                <w:szCs w:val="24"/>
              </w:rPr>
              <w:t>.</w:t>
            </w:r>
          </w:p>
        </w:tc>
      </w:tr>
    </w:tbl>
    <w:p w:rsidR="006774A5" w:rsidRDefault="006774A5" w:rsidP="00FC3F35">
      <w:pPr>
        <w:widowControl w:val="0"/>
        <w:shd w:val="clear" w:color="auto" w:fill="FFFFFF"/>
        <w:autoSpaceDE w:val="0"/>
        <w:autoSpaceDN w:val="0"/>
        <w:adjustRightInd w:val="0"/>
        <w:spacing w:before="883" w:after="0" w:line="240" w:lineRule="auto"/>
        <w:ind w:left="533"/>
        <w:rPr>
          <w:rFonts w:ascii="Times New Roman" w:eastAsia="Times New Roman" w:hAnsi="Times New Roman" w:cs="Times New Roman"/>
          <w:b/>
          <w:bCs/>
          <w:i/>
          <w:iCs/>
          <w:color w:val="000000"/>
          <w:sz w:val="24"/>
          <w:szCs w:val="24"/>
          <w:lang w:eastAsia="hr-HR"/>
        </w:rPr>
      </w:pPr>
    </w:p>
    <w:p w:rsidR="006774A5" w:rsidRDefault="006774A5">
      <w:pPr>
        <w:rPr>
          <w:rFonts w:ascii="Times New Roman" w:eastAsia="Times New Roman" w:hAnsi="Times New Roman" w:cs="Times New Roman"/>
          <w:b/>
          <w:bCs/>
          <w:i/>
          <w:iCs/>
          <w:color w:val="000000"/>
          <w:sz w:val="24"/>
          <w:szCs w:val="24"/>
          <w:lang w:eastAsia="hr-HR"/>
        </w:rPr>
      </w:pPr>
      <w:r>
        <w:rPr>
          <w:rFonts w:ascii="Times New Roman" w:eastAsia="Times New Roman" w:hAnsi="Times New Roman" w:cs="Times New Roman"/>
          <w:b/>
          <w:bCs/>
          <w:i/>
          <w:iCs/>
          <w:color w:val="000000"/>
          <w:sz w:val="24"/>
          <w:szCs w:val="24"/>
          <w:lang w:eastAsia="hr-HR"/>
        </w:rPr>
        <w:br w:type="page"/>
      </w:r>
    </w:p>
    <w:p w:rsidR="00FC3F35" w:rsidRPr="00576C1D" w:rsidRDefault="00FC3F35" w:rsidP="00FC3F35">
      <w:pPr>
        <w:widowControl w:val="0"/>
        <w:shd w:val="clear" w:color="auto" w:fill="FFFFFF"/>
        <w:autoSpaceDE w:val="0"/>
        <w:autoSpaceDN w:val="0"/>
        <w:adjustRightInd w:val="0"/>
        <w:spacing w:before="883"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lastRenderedPageBreak/>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w:t>
      </w:r>
      <w:r w:rsidRPr="00576C1D">
        <w:rPr>
          <w:rFonts w:ascii="Times New Roman" w:eastAsia="Times New Roman" w:hAnsi="Times New Roman" w:cs="Times New Roman"/>
          <w:b/>
          <w:sz w:val="24"/>
          <w:szCs w:val="24"/>
          <w:lang w:eastAsia="hr-HR"/>
        </w:rPr>
        <w:t xml:space="preserve">Zajednički i specifični pokazatelji neposrednih rezultata </w:t>
      </w:r>
      <w:r w:rsidRPr="00576C1D">
        <w:rPr>
          <w:rFonts w:ascii="Times New Roman" w:eastAsia="Times New Roman" w:hAnsi="Times New Roman" w:cs="Times New Roman"/>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b/>
                <w:sz w:val="18"/>
                <w:szCs w:val="18"/>
                <w:lang w:eastAsia="hr-HR"/>
              </w:rPr>
            </w:pPr>
            <w:r w:rsidRPr="00576C1D">
              <w:rPr>
                <w:rFonts w:ascii="Times New Roman" w:eastAsia="Times New Roman" w:hAnsi="Times New Roman" w:cs="Times New Roman"/>
                <w:b/>
                <w:sz w:val="18"/>
                <w:szCs w:val="18"/>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sz w:val="18"/>
                <w:szCs w:val="18"/>
                <w:lang w:eastAsia="hr-HR"/>
              </w:rPr>
              <w:t>3a - Promicanje poduzetništva, posebno olakšavajući ekonomsko iskorištavanje novih ideja i poticanje stvaranja novih poduzeća, uključujući putem poslovnih inkubatora</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potrebno)</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b/>
                <w:sz w:val="16"/>
                <w:szCs w:val="16"/>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b/>
                <w:sz w:val="16"/>
                <w:szCs w:val="16"/>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b/>
                <w:sz w:val="16"/>
                <w:szCs w:val="16"/>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1171"/>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CO01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Produktivno ulaganje: broj poduzeća koja primaju potporu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Poduzeća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8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3.445,00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r w:rsidR="00FC3F35" w:rsidRPr="00576C1D" w:rsidTr="00FC3F35">
        <w:trPr>
          <w:trHeight w:hRule="exact" w:val="135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3"/>
                <w:sz w:val="16"/>
                <w:szCs w:val="16"/>
                <w:lang w:eastAsia="hr-HR"/>
              </w:rPr>
              <w:t>3all</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Financijski posrednici koji sudjeluju u programima financiranim u sklopu specifičnog cilja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6"/>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r w:rsidR="00FC3F35" w:rsidRPr="00576C1D" w:rsidTr="00FC3F35">
        <w:trPr>
          <w:trHeight w:hRule="exact" w:val="989"/>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3a21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1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Opremljena i/ili izgrađena fizička infrastruktura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w:t>
            </w:r>
            <w:r w:rsidRPr="00576C1D">
              <w:rPr>
                <w:rFonts w:ascii="Times New Roman" w:eastAsia="Times New Roman" w:hAnsi="Times New Roman" w:cs="Times New Roman"/>
                <w:color w:val="000000"/>
                <w:sz w:val="16"/>
                <w:szCs w:val="16"/>
                <w:vertAlign w:val="superscript"/>
                <w:lang w:eastAsia="hr-HR"/>
              </w:rPr>
              <w:t>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01"/>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66.000,00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r w:rsidR="00FC3F35" w:rsidRPr="00576C1D" w:rsidTr="00FC3F35">
        <w:trPr>
          <w:trHeight w:hRule="exact" w:val="81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3a22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Podržane organizacije za poslovnu podršku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72,00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tbl>
      <w:tblPr>
        <w:tblW w:w="15994" w:type="dxa"/>
        <w:tblInd w:w="40" w:type="dxa"/>
        <w:tblLayout w:type="fixed"/>
        <w:tblCellMar>
          <w:left w:w="40" w:type="dxa"/>
          <w:right w:w="40" w:type="dxa"/>
        </w:tblCellMar>
        <w:tblLook w:val="0000" w:firstRow="0" w:lastRow="0" w:firstColumn="0" w:lastColumn="0" w:noHBand="0" w:noVBand="0"/>
      </w:tblPr>
      <w:tblGrid>
        <w:gridCol w:w="2977"/>
        <w:gridCol w:w="883"/>
        <w:gridCol w:w="941"/>
        <w:gridCol w:w="1862"/>
        <w:gridCol w:w="874"/>
        <w:gridCol w:w="624"/>
        <w:gridCol w:w="307"/>
        <w:gridCol w:w="950"/>
        <w:gridCol w:w="653"/>
        <w:gridCol w:w="317"/>
        <w:gridCol w:w="5606"/>
      </w:tblGrid>
      <w:tr w:rsidR="00FC3F35" w:rsidRPr="00576C1D" w:rsidTr="00FC3F35">
        <w:trPr>
          <w:trHeight w:hRule="exact" w:val="346"/>
        </w:trPr>
        <w:tc>
          <w:tcPr>
            <w:tcW w:w="297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88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4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6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7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2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50"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5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1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60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52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883"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3d</w:t>
            </w:r>
          </w:p>
        </w:tc>
        <w:tc>
          <w:tcPr>
            <w:tcW w:w="94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6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7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2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5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53"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1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606"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57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3017" w:type="dxa"/>
            <w:gridSpan w:val="10"/>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Podupiranje kapaciteta MSP-ova za rast i inovacijske procese</w:t>
            </w:r>
          </w:p>
        </w:tc>
      </w:tr>
    </w:tbl>
    <w:p w:rsidR="006774A5" w:rsidRDefault="006774A5" w:rsidP="00FC3F35">
      <w:pPr>
        <w:widowControl w:val="0"/>
        <w:shd w:val="clear" w:color="auto" w:fill="FFFFFF"/>
        <w:autoSpaceDE w:val="0"/>
        <w:autoSpaceDN w:val="0"/>
        <w:adjustRightInd w:val="0"/>
        <w:spacing w:before="490" w:after="0" w:line="240" w:lineRule="auto"/>
        <w:ind w:left="538"/>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before="490"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2442"/>
      </w:tblGrid>
      <w:tr w:rsidR="00FC3F35" w:rsidRPr="00576C1D" w:rsidTr="00FC3F35">
        <w:trPr>
          <w:trHeight w:hRule="exact" w:val="52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3d1</w:t>
            </w:r>
          </w:p>
        </w:tc>
      </w:tr>
      <w:tr w:rsidR="00FC3F35" w:rsidRPr="00576C1D" w:rsidTr="00FC3F35">
        <w:trPr>
          <w:trHeight w:hRule="exact" w:val="33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Unapređenje rezultata i rasta MSP-a</w:t>
            </w:r>
          </w:p>
        </w:tc>
      </w:tr>
      <w:tr w:rsidR="00FC3F35" w:rsidRPr="00576C1D" w:rsidTr="009B42E0">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Rezultati koje države članice žele postići pomoću podrške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38" w:hanging="5"/>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Radna uspješnost sektora MSP-a ovisi o stvaranju i proširenju kapaciteta za razvoj procesa, roba i usluga, održavanju i povećanju zaposlenosti, dodanoj vrijednosti, prodaji na inozemnim tržištima i usvajanju novih rješenja, uključujući tehnologije.</w:t>
            </w:r>
          </w:p>
          <w:p w:rsidR="00FC3F35" w:rsidRPr="00576C1D" w:rsidRDefault="00FC3F35" w:rsidP="00FC3F35">
            <w:pPr>
              <w:widowControl w:val="0"/>
              <w:shd w:val="clear" w:color="auto" w:fill="FFFFFF"/>
              <w:autoSpaceDE w:val="0"/>
              <w:autoSpaceDN w:val="0"/>
              <w:adjustRightInd w:val="0"/>
              <w:spacing w:after="0" w:line="274" w:lineRule="exact"/>
              <w:ind w:right="38" w:hanging="5"/>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38" w:hanging="5"/>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Povećanje razvojnog potencijala i rasta produktivnosti rada MSP-ova će biti postignuto podupiranjem unapređivanja i proširenja tehnoloških kapaciteta i poslovnih procesa, prikladnih za proizvodnju i pružanje konkurentnih, visokokvalitetnih proizvoda i usluge sa značajnom dodanom vrijednosti. Pružanje podrške ulaganjima MSP-ova u razvoj gospodarski isplativih i inovativnih turističkih proizvoda, spojeno s kvalitetom turističkih odredišta, povećat će konkurentnost MSP-ova i pomoći minimiziranju učinaka sezonalnosti. Kao horizontalna mjera, sektor MSP-ova će imati priliku primijeniti "zelene tehnologije" kao dodanu vrijednost svojih ulaganja. Ukoliko primarni cilj njihove investicije bude postizanje veće energetske učinkovitosti, kao i veće učinkovitosti s obzirom na ostale prirodne resurse, ova vrsta projekata će biti podržana u sklopu tematskog cilja 4.</w:t>
            </w:r>
          </w:p>
          <w:p w:rsidR="00FC3F35" w:rsidRPr="00576C1D" w:rsidRDefault="00FC3F35" w:rsidP="00FC3F35">
            <w:pPr>
              <w:widowControl w:val="0"/>
              <w:shd w:val="clear" w:color="auto" w:fill="FFFFFF"/>
              <w:autoSpaceDE w:val="0"/>
              <w:autoSpaceDN w:val="0"/>
              <w:adjustRightInd w:val="0"/>
              <w:spacing w:after="0" w:line="274" w:lineRule="exact"/>
              <w:ind w:right="38" w:hanging="5"/>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38" w:hanging="5"/>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S ciljem da se MSP-ovima omogući natjecanje na međunarodnom tržištu, potrebno ih je podržavati u postizanju potrebnih standarda i normi kojima se podiže kvaliteta i sukladnost njihove robe, usluga ili procesa s primjenjivim EU i međunarodnim standardima, normama i pravilnicima o standardima.</w:t>
            </w:r>
          </w:p>
          <w:p w:rsidR="00FC3F35" w:rsidRPr="00576C1D" w:rsidRDefault="00FC3F35" w:rsidP="00FC3F35">
            <w:pPr>
              <w:widowControl w:val="0"/>
              <w:shd w:val="clear" w:color="auto" w:fill="FFFFFF"/>
              <w:autoSpaceDE w:val="0"/>
              <w:autoSpaceDN w:val="0"/>
              <w:adjustRightInd w:val="0"/>
              <w:spacing w:after="0" w:line="274" w:lineRule="exact"/>
              <w:ind w:right="38" w:firstLine="5"/>
              <w:rPr>
                <w:rFonts w:ascii="Times New Roman" w:eastAsia="Times New Roman" w:hAnsi="Times New Roman" w:cs="Times New Roman"/>
                <w:color w:val="000000"/>
                <w:sz w:val="24"/>
                <w:szCs w:val="24"/>
                <w:lang w:eastAsia="hr-HR"/>
              </w:rPr>
            </w:pPr>
          </w:p>
          <w:p w:rsidR="009B42E0" w:rsidRPr="00576C1D" w:rsidRDefault="00FC3F35"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Cilj je poboljšati međusobnu povezanost pružanjem podrške stvaranju i razvoju lanaca nabave, lanaca vrijednosti, klastera i zadruga, što je ključno za postizanje bolje kohezije u proizvodnom lancu i može pomoći MSP-ovima</w:t>
            </w:r>
            <w:r w:rsidR="009B42E0" w:rsidRPr="00576C1D">
              <w:rPr>
                <w:rFonts w:ascii="Times New Roman" w:eastAsia="Times New Roman" w:hAnsi="Times New Roman" w:cs="Times New Roman"/>
                <w:color w:val="000000"/>
                <w:sz w:val="24"/>
                <w:szCs w:val="24"/>
                <w:lang w:eastAsia="hr-HR"/>
              </w:rPr>
              <w:t xml:space="preserve"> da ostvare veću korist od tržišnih prilika i povećaju svoju uspješnost.</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hr-HR"/>
              </w:rPr>
            </w:pP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Primjena suvremenih informacijskih i komunikacijskih tehnologija (IKT) stvara mogućnost za optimizaciju funkcioniranja poduzeća i izravno utječe na rast inovativnosti i konkurentnosti gospodarstva. Cilj je financirati projekte MSP-ova kako bi koristili e-poslovna rješenja, čime se optimiziraju poslovni procesi povezani s proizvodnjom i/ili pružanjem usluga i organizacijom operacija pomoću IKT-a, što će također omogućiti MSP-ovima bržu prilagodbu promjenjivom poslovnom okruženju.</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hr-HR"/>
              </w:rPr>
            </w:pP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Hrvatski MSP-ovi koji žele ući na međunarodna tržišta i prodavatelji koji žele ojačati svoje izvozne aktivnosti imaju potrebu za pouzdanim informacijama i savjetima o prilikama koje treba iskoristiti ili o proširenju na međunarodna tržišta, kao i za </w:t>
            </w:r>
            <w:r w:rsidRPr="00576C1D">
              <w:rPr>
                <w:rFonts w:ascii="Times New Roman" w:eastAsia="Times New Roman" w:hAnsi="Times New Roman" w:cs="Times New Roman"/>
                <w:color w:val="000000"/>
                <w:sz w:val="24"/>
                <w:szCs w:val="24"/>
                <w:lang w:eastAsia="hr-HR"/>
              </w:rPr>
              <w:lastRenderedPageBreak/>
              <w:t>posebnom potporom u tom procesu. Očekuje se da će veća ulaganja u aktivnosti PPI omogućiti MSP-ovima da budu bolje pripremljeni za ulazak na inozemna tržišta i da povećaju međunarodnu prodaju novih proizvoda.</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hr-HR"/>
              </w:rPr>
            </w:pP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Nadalje, privlačenje većeg udjela izravnih inozemnih ulaganja promoviranjem hrvatskih regija će također stvoriti prilike za integriranje lokalnih MSP-ova u globalne lance i njihovo ostvarivanje koristi od pozitivnih eksternalija povezanih s izvozno orijentiranim izravnim inozemnim ulaganjima. Promicanje turizma, posebice vidljivosti novih turističkih proizvoda i pristupa koji se temelji na ostvarivanju prihoda od turizma tijekom cijele godine, će također biti podržano u okviru ovoga OP-a, s ciljem održavanja pozitivnog imidža Hrvatske na ključnim tržištima i omogućavanja MSP-ovima da dopru do novih.</w:t>
            </w:r>
          </w:p>
          <w:p w:rsidR="009B42E0" w:rsidRPr="00576C1D" w:rsidRDefault="009B42E0" w:rsidP="009B42E0">
            <w:pPr>
              <w:widowControl w:val="0"/>
              <w:shd w:val="clear" w:color="auto" w:fill="FFFFFF"/>
              <w:autoSpaceDE w:val="0"/>
              <w:autoSpaceDN w:val="0"/>
              <w:adjustRightInd w:val="0"/>
              <w:spacing w:after="0" w:line="278" w:lineRule="exact"/>
              <w:ind w:right="48" w:firstLine="5"/>
              <w:rPr>
                <w:rFonts w:ascii="Times New Roman" w:eastAsia="Times New Roman" w:hAnsi="Times New Roman" w:cs="Times New Roman"/>
                <w:color w:val="000000"/>
                <w:sz w:val="24"/>
                <w:szCs w:val="24"/>
                <w:lang w:eastAsia="hr-HR"/>
              </w:rPr>
            </w:pPr>
          </w:p>
          <w:p w:rsidR="00FC3F35" w:rsidRPr="00576C1D" w:rsidRDefault="009B42E0" w:rsidP="009B42E0">
            <w:pPr>
              <w:widowControl w:val="0"/>
              <w:shd w:val="clear" w:color="auto" w:fill="FFFFFF"/>
              <w:autoSpaceDE w:val="0"/>
              <w:autoSpaceDN w:val="0"/>
              <w:adjustRightInd w:val="0"/>
              <w:spacing w:after="0" w:line="274" w:lineRule="exact"/>
              <w:ind w:right="38"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Ukratko, očekivani rezultat je doprinos povećanju prihoda od prodaje MSP-ova i povećanju dodane vrijednosti po djelatniku uslijed novih ili unaprijeđenih procesa, roba i usluga te vještina.</w:t>
            </w:r>
          </w:p>
        </w:tc>
      </w:tr>
      <w:tr w:rsidR="00FC3F35" w:rsidRPr="00576C1D" w:rsidTr="009B42E0">
        <w:trPr>
          <w:trHeight w:hRule="exact" w:val="489"/>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lastRenderedPageBreak/>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3d2</w:t>
            </w:r>
          </w:p>
        </w:tc>
      </w:tr>
      <w:tr w:rsidR="00FC3F35" w:rsidRPr="00576C1D" w:rsidTr="009B42E0">
        <w:trPr>
          <w:trHeight w:hRule="exact" w:val="33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Naslov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Poboljšanje inovativnosti MSP-a</w:t>
            </w:r>
          </w:p>
        </w:tc>
      </w:tr>
      <w:tr w:rsidR="00FC3F35" w:rsidRPr="00576C1D" w:rsidTr="009B42E0">
        <w:trPr>
          <w:trHeight w:val="3298"/>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Rezultati koje države članice žele postići pomoću podrške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106"/>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Budući da se sektor MSP-a smatra značajnim elementom hrvatskog gospodarstva s potencijalom za razvoj i rast, potrebno je poboljšanje inovativnosti tog sektora i veća uključenost u inovacijske aktivnosti, kako bi se poboljšala inovativnost hrvatskog gospodarstva.</w:t>
            </w:r>
          </w:p>
          <w:p w:rsidR="00FC3F35" w:rsidRPr="00576C1D" w:rsidRDefault="00FC3F35" w:rsidP="00FC3F35">
            <w:pPr>
              <w:widowControl w:val="0"/>
              <w:shd w:val="clear" w:color="auto" w:fill="FFFFFF"/>
              <w:autoSpaceDE w:val="0"/>
              <w:autoSpaceDN w:val="0"/>
              <w:adjustRightInd w:val="0"/>
              <w:spacing w:after="0" w:line="274" w:lineRule="exact"/>
              <w:ind w:right="106"/>
              <w:rPr>
                <w:rFonts w:ascii="Times New Roman" w:eastAsia="Times New Roman" w:hAnsi="Times New Roman" w:cs="Times New Roman"/>
                <w:color w:val="000000"/>
                <w:spacing w:val="-1"/>
                <w:sz w:val="24"/>
                <w:szCs w:val="24"/>
                <w:lang w:eastAsia="hr-HR"/>
              </w:rPr>
            </w:pPr>
          </w:p>
          <w:p w:rsidR="009B42E0" w:rsidRPr="00576C1D" w:rsidRDefault="00FC3F35"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576C1D">
              <w:rPr>
                <w:rFonts w:ascii="Times New Roman" w:eastAsia="Times New Roman" w:hAnsi="Times New Roman" w:cs="Times New Roman"/>
                <w:color w:val="000000"/>
                <w:spacing w:val="-1"/>
                <w:sz w:val="24"/>
                <w:szCs w:val="24"/>
                <w:lang w:eastAsia="hr-HR"/>
              </w:rPr>
              <w:t>Inovativne aktivnosti podržane u okviru ovoga specifičnog cilja će obuhvaćati ulaganja u provedbu novih rješenja - tehnologija, inovacija koje se odnose na proizvode i organizaciju, uključujući promidžbu i socijalne inovacije, te poboljšanje savjetodavnih usluga za MSP-ove povezanih s pravima intelektualnog vlasništva i</w:t>
            </w:r>
            <w:r w:rsidR="009B42E0" w:rsidRPr="00576C1D">
              <w:rPr>
                <w:rFonts w:ascii="Times New Roman" w:eastAsia="Times New Roman" w:hAnsi="Times New Roman" w:cs="Times New Roman"/>
                <w:sz w:val="24"/>
                <w:szCs w:val="24"/>
                <w:lang w:eastAsia="hr-HR"/>
              </w:rPr>
              <w:t xml:space="preserve"> kapaciteta inovativnih novoosnovanih poduzeća za inovaciju.</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Komplementarno s aktivnostima u sklopu tematskog cilja 1, potpora aktivnostima istraživanja i razvoja MSP-ova - bilo unutarnjih ili ugovorenih - , u okviru ovoga specifičnog cilja bit će pružena komercijalizaciji rezultata istraživanja i razvoja (onih koje su ostvarili sami MSP-ovi, kao i onih kupljenih na tržištu) u svrhu primjene u poslovnim aktivnostima. Nadalje, MSP-ovima će također biti pružene savjetodavne usluge u vezi sa zaštitom prava intelektualnog vlasništva i upravljanjem njima.</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Druga svrha ovog specifičnog cilja je izravno podržavati inovativna novoosnovana poduzeća koja su u svojoj poslovnoj aktivnosti usmjerena na naprednu i inovativnu robu i usluge visoke dodane vrijednosti. Ova mjera je komplementarna potpori u sklopu specifičnog cilja 3.A.1., koja omogućava novoosnovanim poduzećima bez pouzdanih bankovnih podataka lakši pristup potrebnim sredstvima financiranja kroz financijske instrumente, kao i potpori u sklopu specifičnog cilja 3.A.2., putem koje će inkubatorima i akceleratorima za novoosnovana poduzeća u ranim fazama njihovog poslovanja biti pružena sveobuhvatna integrirana potpora u vidu savjetovanja i kapitala.</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Očekuje se da će tijekom vremena, u kombinaciji s rezultatima intervencija kao što su projekti suradnje između visokoškolskih ustanova i javnih istraživačkih organizacija i MSP-ova u sklopu tematskog cilja 1, doći do povećanja broja takvih inovativnih novoosnovanih poduzeća u područjima izvan tradicionalnih industrija i regija, ako njihovi projekti budu ocijenjeni provedivima.</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lastRenderedPageBreak/>
              <w:t>Nadalje, potpora će također biti pružena transferu tehnologije te inovativnom razvoju nove ili značajno poboljšane postojeće robe, usluga ili procesa. Također, potpora će biti pružena MSP-ovima za njihovo sudjelovanje u međunarodnim inovacijskim programima s ciljem porasta stope uspjeha.</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Cilj je povećati inovacijski potencijal MSP-ova pružanjem potpore s ciljem povećavanja broja komercijaliziranih rezultata istraživanja i razvoja, prijava patenata, te povećavanja stupnja spremnosti na inovacije.</w:t>
            </w:r>
          </w:p>
          <w:p w:rsidR="009B42E0" w:rsidRPr="00576C1D" w:rsidRDefault="009B42E0" w:rsidP="009B42E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hr-HR"/>
              </w:rPr>
            </w:pPr>
            <w:r w:rsidRPr="00576C1D">
              <w:rPr>
                <w:rFonts w:ascii="Times New Roman" w:eastAsia="Times New Roman" w:hAnsi="Times New Roman" w:cs="Times New Roman"/>
                <w:sz w:val="24"/>
                <w:szCs w:val="24"/>
                <w:lang w:eastAsia="hr-HR"/>
              </w:rPr>
              <w:t xml:space="preserve">Uspostava procesa i tehnoloških kapaciteta zasnovanih na srednje visokoj i visokoj tehnologiji za konkurentnu visokokvalitetnu robu/usluge s visokom dodanom vrijednosti u granama gospodarstva u kojima Hrvatska ima komparativne prednosti, poput onih navedenih u Strategiji S3, povećat će konkurentnost važnih segmenata gospodarstva te dovesti do </w:t>
            </w:r>
            <w:r w:rsidRPr="00576C1D">
              <w:rPr>
                <w:rFonts w:ascii="Times New Roman" w:eastAsia="Times New Roman" w:hAnsi="Times New Roman" w:cs="Times New Roman"/>
                <w:color w:val="000000"/>
                <w:spacing w:val="-1"/>
                <w:sz w:val="24"/>
                <w:szCs w:val="24"/>
                <w:lang w:eastAsia="hr-HR"/>
              </w:rPr>
              <w:t>ukupnim brojem MSP-ova</w:t>
            </w:r>
            <w:r w:rsidRPr="00576C1D">
              <w:rPr>
                <w:rFonts w:ascii="Times New Roman" w:eastAsia="Times New Roman" w:hAnsi="Times New Roman" w:cs="Times New Roman"/>
                <w:color w:val="000000"/>
                <w:sz w:val="24"/>
                <w:szCs w:val="24"/>
                <w:lang w:eastAsia="hr-HR"/>
              </w:rPr>
              <w:t xml:space="preserve"> . Nadalje, aktivnosti će pridonijeti povećanju broja novih rješenja primjenjivih na MSP-ove (uključujući komercijalizaciju rezultata istraživanja i razvoja, inovacije koje nisu iz područja istraživanja i razvoja (uključujući organizacijske, promidžbene i socijalne inovacije), što će rezultirati povećanjem broja inovativnih MSP-ova i novoosnovanih poduzeća te broja novih proizvoda na tržištu koje su plasirali MSP-ovi.</w:t>
            </w:r>
            <w:r w:rsidRPr="00576C1D">
              <w:rPr>
                <w:rFonts w:ascii="Times New Roman" w:eastAsia="Times New Roman" w:hAnsi="Times New Roman" w:cs="Times New Roman"/>
                <w:sz w:val="24"/>
                <w:szCs w:val="24"/>
                <w:lang w:eastAsia="hr-HR"/>
              </w:rPr>
              <w:t>obnovljenog i održivog gospodarskog rasta i rasta zapošljavanja, važnih za svaku zemlju koja teži gospodarstvu zasnovanom na znanju</w:t>
            </w:r>
            <w:r w:rsidRPr="00576C1D">
              <w:rPr>
                <w:rFonts w:ascii="Times New Roman" w:eastAsia="Times New Roman" w:hAnsi="Times New Roman" w:cs="Times New Roman"/>
                <w:color w:val="000000"/>
                <w:spacing w:val="-4"/>
                <w:sz w:val="24"/>
                <w:szCs w:val="24"/>
                <w:lang w:eastAsia="hr-HR"/>
              </w:rPr>
              <w:t>.</w:t>
            </w:r>
          </w:p>
          <w:p w:rsidR="00FC3F35" w:rsidRPr="00576C1D" w:rsidRDefault="009B42E0" w:rsidP="009B42E0">
            <w:pPr>
              <w:widowControl w:val="0"/>
              <w:shd w:val="clear" w:color="auto" w:fill="FFFFFF"/>
              <w:autoSpaceDE w:val="0"/>
              <w:autoSpaceDN w:val="0"/>
              <w:adjustRightInd w:val="0"/>
              <w:spacing w:after="0" w:line="274" w:lineRule="exact"/>
              <w:ind w:righ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Ukratko, očekivani rezultat u sklopu specifičnog cilja 3.D.2. je povećanje broja inovativnih MSP-ova u usporedbi s</w:t>
            </w:r>
            <w:r w:rsidRPr="00576C1D">
              <w:rPr>
                <w:rFonts w:ascii="Times New Roman" w:eastAsia="Times New Roman" w:hAnsi="Times New Roman" w:cs="Times New Roman"/>
                <w:color w:val="000000"/>
                <w:spacing w:val="-1"/>
                <w:sz w:val="24"/>
                <w:szCs w:val="24"/>
                <w:lang w:eastAsia="hr-HR"/>
              </w:rPr>
              <w:t xml:space="preserve"> ukupnim brojem MSP-ova</w:t>
            </w:r>
            <w:r w:rsidRPr="00576C1D">
              <w:rPr>
                <w:rFonts w:ascii="Times New Roman" w:eastAsia="Times New Roman" w:hAnsi="Times New Roman" w:cs="Times New Roman"/>
                <w:color w:val="000000"/>
                <w:sz w:val="24"/>
                <w:szCs w:val="24"/>
                <w:lang w:eastAsia="hr-HR"/>
              </w:rPr>
              <w:t xml:space="preserve"> . Nadalje, aktivnosti će pridonijeti povećanju broja novih rješenja primjenjivih na MSP-ove (uključujući komercijalizaciju rezultata istraživanja i razvoja, inovacije koje nisu iz područja istraživanja i razvoja (uključujući organizacijske, promidžbene i socijalne inovacije), što će rezultirati povećanjem broja inovativnih MSP-ova i novoosnovanih poduzeća te broja novih proizvoda na tržištu koje su plasirali MSP-ovi.</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3"/>
                <w:sz w:val="20"/>
                <w:szCs w:val="20"/>
                <w:lang w:eastAsia="hr-HR"/>
              </w:rPr>
              <w:t>3d1 - Unapređenje rezultata i rasta MSP-a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potrebno)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326"/>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3d11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Dodana vrijednost po djelatniku</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EUR po djelatniku</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16.363,00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25.000,00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EUROSTAT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Jednom 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0"/>
                <w:szCs w:val="20"/>
                <w:lang w:eastAsia="hr-HR"/>
              </w:rPr>
              <w:t>3d2 - Poboljšanje inovativnosti MSP-a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potrebno)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115"/>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3d21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Inovativni MSP-ovi u usporedbi s ukupnim brojem MSP-ova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0</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02"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 xml:space="preserve">EUROSTAT </w:t>
            </w:r>
            <w:r w:rsidRPr="00576C1D">
              <w:rPr>
                <w:rFonts w:ascii="Times New Roman" w:eastAsia="Times New Roman" w:hAnsi="Times New Roman" w:cs="Times New Roman"/>
                <w:color w:val="000000"/>
                <w:spacing w:val="-1"/>
                <w:sz w:val="16"/>
                <w:szCs w:val="16"/>
                <w:lang w:eastAsia="hr-HR"/>
              </w:rPr>
              <w:t>Ljestvica uspjeha u inoviranju Europske unije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Svake 2 godine</w:t>
            </w:r>
          </w:p>
        </w:tc>
      </w:tr>
    </w:tbl>
    <w:p w:rsidR="006774A5" w:rsidRDefault="006774A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z w:val="24"/>
          <w:szCs w:val="24"/>
          <w:lang w:eastAsia="hr-HR"/>
        </w:rPr>
      </w:pPr>
    </w:p>
    <w:p w:rsidR="006774A5" w:rsidRDefault="006774A5">
      <w:pP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lastRenderedPageBreak/>
        <w:br w:type="page"/>
      </w: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će biti podržane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735"/>
        <w:gridCol w:w="10541"/>
      </w:tblGrid>
      <w:tr w:rsidR="009B42E0" w:rsidRPr="005E763C" w:rsidTr="009B42E0">
        <w:tc>
          <w:tcPr>
            <w:tcW w:w="4735" w:type="dxa"/>
            <w:vAlign w:val="center"/>
          </w:tcPr>
          <w:p w:rsidR="009B42E0" w:rsidRPr="00576C1D" w:rsidRDefault="009B42E0" w:rsidP="001A0292">
            <w:pPr>
              <w:widowControl w:val="0"/>
              <w:shd w:val="clear" w:color="auto" w:fill="FFFFFF"/>
              <w:autoSpaceDE w:val="0"/>
              <w:autoSpaceDN w:val="0"/>
              <w:adjustRightInd w:val="0"/>
              <w:spacing w:line="206" w:lineRule="exact"/>
              <w:rPr>
                <w:rFonts w:ascii="Times New Roman" w:hAnsi="Times New Roman"/>
                <w:b/>
                <w:sz w:val="18"/>
                <w:szCs w:val="18"/>
              </w:rPr>
            </w:pPr>
            <w:r w:rsidRPr="00576C1D">
              <w:rPr>
                <w:rFonts w:ascii="Times New Roman" w:hAnsi="Times New Roman"/>
                <w:b/>
                <w:sz w:val="18"/>
                <w:szCs w:val="18"/>
              </w:rPr>
              <w:t>Investicijski prioritet</w:t>
            </w:r>
          </w:p>
          <w:p w:rsidR="009B42E0" w:rsidRPr="005E763C" w:rsidRDefault="009B42E0" w:rsidP="001A0292">
            <w:pPr>
              <w:rPr>
                <w:rFonts w:ascii="Times New Roman" w:hAnsi="Times New Roman"/>
                <w:sz w:val="24"/>
                <w:szCs w:val="24"/>
              </w:rPr>
            </w:pPr>
          </w:p>
        </w:tc>
        <w:tc>
          <w:tcPr>
            <w:tcW w:w="10541" w:type="dxa"/>
            <w:vAlign w:val="center"/>
          </w:tcPr>
          <w:p w:rsidR="009B42E0" w:rsidRPr="005E763C" w:rsidRDefault="009B42E0" w:rsidP="001A0292">
            <w:pPr>
              <w:rPr>
                <w:rFonts w:ascii="Times New Roman" w:hAnsi="Times New Roman"/>
                <w:sz w:val="24"/>
                <w:szCs w:val="24"/>
              </w:rPr>
            </w:pPr>
            <w:r w:rsidRPr="00576C1D">
              <w:rPr>
                <w:rFonts w:ascii="Times New Roman" w:hAnsi="Times New Roman"/>
                <w:color w:val="000000"/>
                <w:spacing w:val="-1"/>
                <w:sz w:val="18"/>
                <w:szCs w:val="18"/>
              </w:rPr>
              <w:t>3d - Podupiranje kapaciteta MSP-ova za rast i inovacijske procese</w:t>
            </w:r>
          </w:p>
        </w:tc>
      </w:tr>
      <w:tr w:rsidR="009B42E0" w:rsidRPr="005E763C" w:rsidTr="009B42E0">
        <w:tc>
          <w:tcPr>
            <w:tcW w:w="15276" w:type="dxa"/>
            <w:gridSpan w:val="2"/>
            <w:vAlign w:val="center"/>
          </w:tcPr>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3.D.1 Unapređenje poslovnih rezultata i rasta MSP-ova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1) Unapređenje poslovnih rezultata i tehničke spremnosti MSP-ova s ciljem plasiranja novih roba i usluga  (za tržište ili poduzeće) ili novih ili izmijenjenih procesa i proširenja kapaciteta postojećih poduzeća će obuhvaćati sljedeće:</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potporu ulaganjima u proširenje postojećih poduzeća i/ili novih ili izmijenjenih postupaka proizvodnje (u smislu tehnologije i organizacije), nematerijalnu i materijalnu imovinu, npr. izgradnju/obnovu, opremu i strojeve, uključujući ulaganja kojima se promiče energetska i resursna učinkovitost i ona koja na druge načine pridonose borbi protiv klimatskih promjena, kao i ulaganja u neophodno specijalističko osposobljavanje i savjetodavne usluge za osoblje,</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 xml:space="preserve">potporu ulaganjima koja rezultiraju proširenjem postojećih poduzeća i/ili novim tržišnim proizvodima (roba i usluge), uključujući nematerijalnu i materijalnu imovinu npr. opremu i strojeve, industrijski dizajn i ostala rješenja 'kreativne industrije' i uvođenje netehnoloških rješenja namijenjenih povećanju učinkovitosti proizvodnje i pružanja usluga, uključujući one koje dovode do smanjenja negativnog utjecaja na okoliš, te neophodno specijalističko osposobljavanje i savjetodavne usluge za osoblje;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 xml:space="preserve">potporu ulaganjima u nove, inovativne i održive turističke proizvode i usluge i proširenje postojećih, koje doprinosi podizanju kvalitete i razvoju turističkih odredišta, posebice onih nedovoljno razvijenih, uzimajući u obzir pristup temeljen na odredištu i uvođenje netehnoloških rješenja namijenjenih povećanju učinkovitosti proizvodnje i pružanja usluga, (uključujući industrijski dizajn i ostala rješenja 'kreativne industrije'), uključujući one koje dovode do smanjenja negativnog utjecaja na okoliš, te prijeko potrebno specijalističko osposobljavanje i savjetodavne usluge za osoblje;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konzultantske usluge za MSP-ove, posebice u područjima od presudne važnosti za razvoj i rast, kao što su: strateško planiranje, upravljanje promjenama, upravljanje ljudskim resursima, učinkovitost korištenja prirodnih resursa/energetska učinkovitost, pristup vanjskom financiranju, CSR mjere, oblici inovacija koji se ne temelje na istraživanju i razvoju (kao što su organizacijske i promidžbene inovacije te one koje se odnose na usluge).razminiranje  -  pod kojim se podrazumijeva uklanjanje mina i neeksplodiranih uređaja iz kontaminiranog tla (primarno šumskih ekosustava) je prihvatljivo za svrhe izravno povezane sa projektima podržanim u okviru tematskog cilja 3.</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 xml:space="preserve">(Projekti MSP-ova s glavnim ciljem poboljšanja energetske učinkovitosti njihovih postrojenja i/ili povećanja energetske neovisnosti i/ili ulaganja u obnovljive izvore energije (OIE) će biti podržani u sklopu tematskog cilja 4.)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Potencijalni korisnici: MSP-ovi</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2) Potpora poduzećima za udovoljavanje normama i standardima i primaju certifikate za proizvode/usluge/procese s ciljem povećanja konkurentnosti i</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pristupa međunarodnim tržištima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Pomoć pri uvođenju sustava upravljanja kvalitetom, postupcima i pitanjima okoliša, kao i ostalih sustava kontrole i upravljanja, certifikati i standardi koji podrazumijevaju provođenje ocjena sukladnosti, uspostavljanje tehničkog spisa o zadovoljavanju zahtjeva za elektromagnetskom kompatibilnošću, te pribavljanje izjava o sukladnosti (EZ ili drugih).</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lastRenderedPageBreak/>
              <w:t>Potencijalni korisnici: MSP-ovi</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3) Unapređenje međusobne povezanosti MSP-ova u svrhu jačanja njihovog tržišnog položaja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U okviru ove aktivnosti, potpora će biti pružena u sklopu "bottomup" pristupa klasterima, komplementarno sa specifičnim ciljem 1.2.2. u sklopu kojeg će biti podržan klaster konkurentnosti koji je od ključne važnosti s nacionalnog gledišta.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Potpora će biti omogućena na sljedeće načine:</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početnoj fazi razvoja inovativnih klastera koja obuhvaća organizacijsku suradnju (tj. usmjerenost na meka ulaganja (izradu razvojnih planova) i, u manjoj mjeri, ulaganja u opremu i fizičku infrastrukturu, za zajedničko korištenje od strane svih članova klastera) i usluge podrške povezane sa suradnjom (uključujući  osiguravanje uredskog prostora, mrežnih stranica, banki podataka, istraživanja tržišta, priručnika, radnih i oglednih dokumenata, studija i analiza sektora u kojima je klaster aktivan, analize i mapiranje lanaca nabave i vrijednosti, pripremanje strategije poboljšanja konkurentnosti klastera koji djeluju u tradicionalnim i novim djelatnostima proizvodnje i pružanja usluga, posebice onihs potencijalom širenja na strana tržišta, potpora projektima suradnje domaćih i stranih sektora MSP-ova i poduzeća općenito s potencijalom na stranim tržištima; savjetodavne usluge povezane sa suradnjom (savjetovanje, pomoć i osposobljavanje za razmjenu znanja i iskustava te za poboljšanje suradnje) za članove klastera;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razvoju inovativnih klastera, koja obuhvaća provedbu strategija, uključujući pripremu i provedbu zajedničkih projekata (povezanih npr. s ulaganjima u razvoj proizvoda (roba i usluga) koji su novi na tržištu ili značajno izmijenjeni, te u učinkovitije procese u lancu vrijednosti koji uključuju članove klastera), organizacijsku suradnju, usluge podrške povezane sa suradnjom, savjetodavne usluge povezane sa suradnjom i zajedničkim predstavljanjem, tj. zajedničko sudjelovanje u sajmovima s ciljem smanjenja troškova, nuđenja potpunog raspona proizvoda i usluga potencijalnim klijentima itd. posebno u svrhu internacionalizacije itd.</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Potpora projektima istraživanja i razvoja inovativnih klastera će biti dostupna u sklopu tematskog cilja 1, specifičnog cilja 1.2.1.</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Potencijalni korisnici: inovativni klasteri [1] i zadruge, na ranom i zrelom stupnju razvoja.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4)</w:t>
            </w:r>
            <w:r w:rsidRPr="006A4AA8">
              <w:rPr>
                <w:rFonts w:ascii="Times New Roman" w:hAnsi="Times New Roman"/>
                <w:sz w:val="24"/>
                <w:szCs w:val="24"/>
              </w:rPr>
              <w:tab/>
              <w:t>Povećanje konkurentnosti i učinkovitosti poduzeća putem IKT-a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poduzećima u uvođenju i primjeni e-poslovnih rješenja putem IKT-a radi optimiranja poslovnih procesa, integriranja poslovnih funkcija, učinkovite organizacije tijeka rada i poboljšanja interakcije s klijentima i dobavljačima te poboljšanja tržišnog položaja poduzeća i povećanja njihove konkurentnosti;</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stvaranju i pružanju e-usluga između poduzeća (poslovanje između poduzeća B2B) i uvođenje IKT-rješenja usmjerenih na uspostavljanje procesa koji prelaze granice poduzeća, kao što je upravljanje lancem nabave i upravljanje odnosima s klijentima, obuka djelatnika za rad s novim IKT-sustavima;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inicijativama usmjerenim na digitaliziranje poslovnih usluga i proizvoda.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Potencijalni korisnici: MSP-ovi</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5)</w:t>
            </w:r>
            <w:r w:rsidRPr="006A4AA8">
              <w:rPr>
                <w:rFonts w:ascii="Times New Roman" w:hAnsi="Times New Roman"/>
                <w:sz w:val="24"/>
                <w:szCs w:val="24"/>
              </w:rPr>
              <w:tab/>
              <w:t>Internacionalizacija rastućih i inovativnih poduzeća koja obuhvaća sljedeće aktivnosti:</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savjetodavna/mentorska potpora MSP-ovima povezana sa širenjem na inozemna tržišta (istraživanje tržišta, pripremanje/razvoj planova širenja poduzeća uključujući pripremu za međunarodne trgovinske sajmove, organizaciju povezivanja poduzeća i ostalih događaja, pronalaženje partnera u inozemstvu itd.) i provedba planova;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PPI uključenim u internacionalizaciju poduzeća, koja obuhvaća: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o</w:t>
            </w:r>
            <w:r w:rsidRPr="006A4AA8">
              <w:rPr>
                <w:rFonts w:ascii="Times New Roman" w:hAnsi="Times New Roman"/>
                <w:sz w:val="24"/>
                <w:szCs w:val="24"/>
              </w:rPr>
              <w:tab/>
              <w:t xml:space="preserve">analize inozemnih tržišta, uključujući globalne trendove, analize MSP-ova aktivnih na inozemnim tržištima;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o</w:t>
            </w:r>
            <w:r w:rsidRPr="006A4AA8">
              <w:rPr>
                <w:rFonts w:ascii="Times New Roman" w:hAnsi="Times New Roman"/>
                <w:sz w:val="24"/>
                <w:szCs w:val="24"/>
              </w:rPr>
              <w:tab/>
              <w:t xml:space="preserve">pripremu strategija ulaska na tržište za MSP-ove (u određenim granama s visokim potencijalom za širenje) kako bi se MSP-ovima olakšao pristup </w:t>
            </w:r>
            <w:r w:rsidRPr="006A4AA8">
              <w:rPr>
                <w:rFonts w:ascii="Times New Roman" w:hAnsi="Times New Roman"/>
                <w:sz w:val="24"/>
                <w:szCs w:val="24"/>
              </w:rPr>
              <w:lastRenderedPageBreak/>
              <w:t xml:space="preserve">inozemnim tržištima;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o</w:t>
            </w:r>
            <w:r w:rsidRPr="006A4AA8">
              <w:rPr>
                <w:rFonts w:ascii="Times New Roman" w:hAnsi="Times New Roman"/>
                <w:sz w:val="24"/>
                <w:szCs w:val="24"/>
              </w:rPr>
              <w:tab/>
              <w:t xml:space="preserve">pružanje obuke u vidu e-učenja kako bi se za MSP-ovima omogućilo širenje na nova tržišta;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o</w:t>
            </w:r>
            <w:r w:rsidRPr="006A4AA8">
              <w:rPr>
                <w:rFonts w:ascii="Times New Roman" w:hAnsi="Times New Roman"/>
                <w:sz w:val="24"/>
                <w:szCs w:val="24"/>
              </w:rPr>
              <w:tab/>
              <w:t>suradnja sa stranim PPI, organizacija izaslanstava na međunarodne trgovinske sajmove i ostale događaje (uključujući povezivanje poduzeća);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promicanje internacionalizacije poslovnih aktivnosti između MSP-ova (uključujući informativne kampanje promicanja međunarodnih djelatnosti MSP-ova);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promicanju i predstavljanju Hrvatske i njezinih regija kao destinacija atraktivnih i dostupnih turistima tijekom cijele godine putem uvođenja novih turističkih ponuda - između ostalog, promotivnih kampanja turističkih proizvoda, organizacije promotivnih događaja, studijskih posjeta, internetskih kampanja, itd., istraživanje turističkog prometa (omogućavanje pristupa najnovijim informacijama o turističkom prometu subjektima koji posluju u sektoru turizma i poboljšanje kvalitete istraživanja turističkog prometa u pojedinim regijama).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koja se tiče promicanja i olakšavanja izravnih stranih ulaganja (organizacija kampanja za privlačenje investicija, međunarodnih investicijski sajmova te investicijskih misija) kako bi se privukla izravna ulaganja, posebice ona otvorena za suradnju s MSP-ovima u Hrvatskoj.</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 xml:space="preserve">Potencijalni korisnici: MSP-ovi koji žele započeti ili proširiti svoje aktivnosti na inozemna tržišta, inovativni klasteri, MINPO u suradnji s regionalnim tijelima i PPI (kao što su poduzetnička udruženja, Hrvatska gospodarska komora, Hrvatska obrtnička komora, Hrvatski savez zadruga, HAMAG-BICRO) uključenima u internacionalizaciju.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Ciljna skupina: MSP-ovi.</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3.D.2 Poboljšanje inovativnosti MSP-ova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1) Podupiranje inovacija u MSP-ovima, što obuhvaća sljedeće:</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ulaganjima neophodnim za primjenu (komercijalizaciju) rezultata istraživanja i razvoja (do kojih su došli sami MSP-ovi ilikoji su kupljeni na tržištu, uključujući neposredne rezultate potpore u sklopu tematskog cilja 1) na poslovnu aktivnost i pokretanje proizvodnje na temelju primijenjenih rješenja, što obuhvaća daljnji razvojno-istraživački rad potreban za prilagodbu rješenja pojedinačnim potrebama MSP-ova, podmirenje troškova materijalne i nematerijalne imovine, industrijski dizajn, neophodno propisano osposobljavanje i savjetovanje, razvoj usluga i promoviranje ulaska na tržište;</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 xml:space="preserve">savjetodavne usluge za MSP-ove u vezi sa zaštitom prava intelektualnog vlasništva i upravljanjem njima, koje obuhvaćaju prijavu patenta (izravni troškovi pripreme i prijave patenta - opis izuma, industrijski dizajni i modeli korištenja (isključujući troškove prijave patenta povezane sa zaštitom samo na teritoriju Hrvatske) i primjenu prava intelektualnog vlasništva, uključujući analize slobode djelovanja na tržištu;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 xml:space="preserve">poboljšanje spremnosti MSP-ova za inovacije: potpora radi poticanja tvrtki na bavljenje inovacijama i ispitivanje komercijalnog potencijala svojih inovativnih ideja (povezano s dokazivanjem inovativnog koncepta, studijama izvedivosti, planiranjem poslovnog modela, istraživanjem i testiranjem tržišta, preliminarnim tehničkim i laboratorijskim ispitivanjem te pretraživanjem baza podataka patenata);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ulaganjima u implementaciju tehnoloških rješenja namijenjenih poboljšanju učinkovitosti proizvodnje i aktivnosti pružanja proizvoda i usluga, uključujući utvrđivanje smjerova za tehnološki napredak, tehnološke revizije, kao i pripremu planova za tehnološki razvoj i povezana ulaganja za kojima postoji potreba;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osnivačkim i početnim ulaganjima i funkcioniranju inovativnih novoosnovanih i novoizdvojenih poduzeća, kako u područjima visokih tehnologija tako i u netehnološkim područjima, namijenjena sprečavanju tržišnih neuspjeha te koja uključuje mentorstvo s ciljem prenošenja inovativnih ideja i rezultata istraživanja u utrživu robu zadovoljavajuće kvalitete, odnosno u usluge s velikim tržišnim potencijalom;</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 xml:space="preserve">potpora sudjelovanju MSP-ova u međunarodnim inovacijskim programima usmjerenima na suradnju između poduzeća i znanstvenih ili znanstveno-istraživačkih institucije ili drugih poduzeća, kad ta suradnja uključuje subjekte iz najmanje dviju zemalja i usmjerena je na provođenje istraživanja i razvoja </w:t>
            </w:r>
            <w:r w:rsidRPr="006A4AA8">
              <w:rPr>
                <w:rFonts w:ascii="Times New Roman" w:hAnsi="Times New Roman"/>
                <w:sz w:val="24"/>
                <w:szCs w:val="24"/>
              </w:rPr>
              <w:lastRenderedPageBreak/>
              <w:t>te podmirenje troškova pripreme i podnošenja jedne prijave projekta kao odgovora na jedan poziv za dostavljanje prijedloga u sklopu međunarodnog inovacijskog programa.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 xml:space="preserve">Potencijalni korisnici: MSP-ovi vođeni inovacijama (uključujući novoosnovana i novoizdvojena poduzeća evidentirana kao subjekti koji obavljaju poslovnu djelatnost). </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2) Uspostavljanje proizvodnog kapaciteta MSP-ova temeljenog na inovacijama: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w:t>
            </w:r>
            <w:r w:rsidRPr="006A4AA8">
              <w:rPr>
                <w:rFonts w:ascii="Times New Roman" w:hAnsi="Times New Roman"/>
                <w:sz w:val="24"/>
                <w:szCs w:val="24"/>
              </w:rPr>
              <w:tab/>
              <w:t>potpora unapređenju inovacijskog potencijala MSP-ova ulaganjem u sofisticiranu inovativnu tehnologiju (po mogućnosti ključne tehnologije koje potiču razvoj inovacija (eng. keyenablingtechnologies, KET)) i potpora rezultatima postupaka prijenosa znanja iz znanstvenih ili znanstveno-istraživačkih organizacija ili drugih tvrtki, uključujući tehničku pomoć i ustanovljena rješenja potrebna za primjenu inovacije, potpora licenciranju ili ostalim oblicima upravljanja pravima intelektualnog vlasništva, posebice u podsektorima s najvećom mogućnošću rasta utvrđenim u Strategiji S3;</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    potpora ulaganjima u implementaciju tehnoloških rješenja namijenjenih poboljšanju učinkovitosti proizvodnje i aktivnosti pružanja proizvoda i usluga, uključujući utvrđivanje smjerova za tehnološki napredak, tehnološke revizije, kao i pripremu planova za tehnološki razvoj i povezana ulaganja za kojima postoji potreba.</w:t>
            </w:r>
          </w:p>
          <w:p w:rsidR="009B42E0" w:rsidRPr="006A4AA8" w:rsidRDefault="009B42E0" w:rsidP="001A0292">
            <w:pPr>
              <w:widowControl w:val="0"/>
              <w:shd w:val="clear" w:color="auto" w:fill="FFFFFF"/>
              <w:autoSpaceDE w:val="0"/>
              <w:autoSpaceDN w:val="0"/>
              <w:adjustRightInd w:val="0"/>
              <w:rPr>
                <w:rFonts w:ascii="Times New Roman" w:hAnsi="Times New Roman"/>
                <w:sz w:val="24"/>
                <w:szCs w:val="24"/>
              </w:rPr>
            </w:pPr>
            <w:r w:rsidRPr="006A4AA8">
              <w:rPr>
                <w:rFonts w:ascii="Times New Roman" w:hAnsi="Times New Roman"/>
                <w:sz w:val="24"/>
                <w:szCs w:val="24"/>
              </w:rPr>
              <w:t>Potencijalni korisnici: MSP-ovi usmjereni na srednje visoke i visoke tehnologije i proizvodnju robe i usluga s visokom dodanom vrijednošću, posebice za sektore utvrđene u Strategiji S3.</w:t>
            </w:r>
          </w:p>
          <w:p w:rsidR="009B42E0" w:rsidRPr="005E763C"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sz w:val="24"/>
                <w:szCs w:val="24"/>
              </w:rPr>
              <w:t>[1] Inovacijski klasteri označavaju strukture ili organizirane grupe neovisnih strana (kao što su inovativna novoosnovana poduzeća, mala, srednja i velika poduzeća, kao i organizacije za širenje istraživanja i znanja, neprofitne organizacije i ostali povezani sudionici u gospodarstvu) namijenjene poticanju inovacijskih aktivnosti putem promoviranja, dijeljenja kapaciteta i razmjene znanja i stručnosti te putem djelotvornog doprinosa prijenosu znanja, umrežavanju, širenju informacija i suradnji među društvima i ostalim organizacijama u klasteru.</w:t>
            </w:r>
          </w:p>
        </w:tc>
      </w:tr>
    </w:tbl>
    <w:p w:rsidR="00FC3F35" w:rsidRDefault="00FC3F35" w:rsidP="006774A5">
      <w:pPr>
        <w:widowControl w:val="0"/>
        <w:shd w:val="clear" w:color="auto" w:fill="FFFFFF"/>
        <w:autoSpaceDE w:val="0"/>
        <w:autoSpaceDN w:val="0"/>
        <w:adjustRightInd w:val="0"/>
        <w:spacing w:after="0" w:line="278" w:lineRule="exact"/>
        <w:rPr>
          <w:rFonts w:ascii="Times New Roman" w:eastAsia="Times New Roman" w:hAnsi="Times New Roman" w:cs="Times New Roman"/>
          <w:sz w:val="20"/>
          <w:szCs w:val="20"/>
          <w:lang w:eastAsia="hr-HR"/>
        </w:rPr>
      </w:pPr>
    </w:p>
    <w:p w:rsidR="00FC3F35" w:rsidRPr="00576C1D" w:rsidRDefault="00FC3F3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Default="00FC3F3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i/>
          <w:iCs/>
          <w:color w:val="000000"/>
          <w:spacing w:val="1"/>
          <w:sz w:val="24"/>
          <w:szCs w:val="24"/>
          <w:lang w:eastAsia="hr-HR"/>
        </w:rPr>
      </w:pPr>
      <w:r w:rsidRPr="00576C1D">
        <w:rPr>
          <w:rFonts w:ascii="Times New Roman" w:eastAsia="Times New Roman" w:hAnsi="Times New Roman" w:cs="Times New Roman"/>
          <w:i/>
          <w:iCs/>
          <w:color w:val="000000"/>
          <w:spacing w:val="1"/>
          <w:sz w:val="24"/>
          <w:szCs w:val="24"/>
          <w:lang w:eastAsia="hr-HR"/>
        </w:rPr>
        <w:t>2.A.6.2 Vodeća načela za odabir operacija</w:t>
      </w:r>
    </w:p>
    <w:tbl>
      <w:tblPr>
        <w:tblStyle w:val="TableGrid"/>
        <w:tblW w:w="0" w:type="auto"/>
        <w:tblLook w:val="04A0" w:firstRow="1" w:lastRow="0" w:firstColumn="1" w:lastColumn="0" w:noHBand="0" w:noVBand="1"/>
      </w:tblPr>
      <w:tblGrid>
        <w:gridCol w:w="4735"/>
        <w:gridCol w:w="10399"/>
      </w:tblGrid>
      <w:tr w:rsidR="009B42E0" w:rsidRPr="005E763C" w:rsidTr="00470BE0">
        <w:tc>
          <w:tcPr>
            <w:tcW w:w="4735" w:type="dxa"/>
            <w:vAlign w:val="center"/>
          </w:tcPr>
          <w:p w:rsidR="009B42E0" w:rsidRPr="00576C1D" w:rsidRDefault="009B42E0" w:rsidP="001A0292">
            <w:pPr>
              <w:widowControl w:val="0"/>
              <w:shd w:val="clear" w:color="auto" w:fill="FFFFFF"/>
              <w:autoSpaceDE w:val="0"/>
              <w:autoSpaceDN w:val="0"/>
              <w:adjustRightInd w:val="0"/>
              <w:spacing w:line="206" w:lineRule="exact"/>
              <w:rPr>
                <w:rFonts w:ascii="Times New Roman" w:hAnsi="Times New Roman"/>
                <w:b/>
                <w:sz w:val="18"/>
                <w:szCs w:val="18"/>
              </w:rPr>
            </w:pPr>
            <w:r w:rsidRPr="00576C1D">
              <w:rPr>
                <w:rFonts w:ascii="Times New Roman" w:hAnsi="Times New Roman"/>
                <w:b/>
                <w:sz w:val="18"/>
                <w:szCs w:val="18"/>
              </w:rPr>
              <w:t>Investicijski prioritet</w:t>
            </w:r>
          </w:p>
          <w:p w:rsidR="009B42E0" w:rsidRPr="005E763C" w:rsidRDefault="009B42E0" w:rsidP="001A0292">
            <w:pPr>
              <w:rPr>
                <w:rFonts w:ascii="Times New Roman" w:hAnsi="Times New Roman"/>
                <w:sz w:val="24"/>
                <w:szCs w:val="24"/>
              </w:rPr>
            </w:pPr>
          </w:p>
        </w:tc>
        <w:tc>
          <w:tcPr>
            <w:tcW w:w="10399" w:type="dxa"/>
            <w:vAlign w:val="center"/>
          </w:tcPr>
          <w:p w:rsidR="009B42E0" w:rsidRPr="005E763C" w:rsidRDefault="009B42E0" w:rsidP="001A0292">
            <w:pPr>
              <w:rPr>
                <w:rFonts w:ascii="Times New Roman" w:hAnsi="Times New Roman"/>
                <w:sz w:val="24"/>
                <w:szCs w:val="24"/>
              </w:rPr>
            </w:pPr>
            <w:r w:rsidRPr="00576C1D">
              <w:rPr>
                <w:rFonts w:ascii="Times New Roman" w:hAnsi="Times New Roman"/>
                <w:color w:val="000000"/>
                <w:spacing w:val="-1"/>
                <w:sz w:val="18"/>
                <w:szCs w:val="18"/>
              </w:rPr>
              <w:t>3d - Podupiranje kapaciteta MSP-ova za rast i inovacijske procese</w:t>
            </w:r>
          </w:p>
        </w:tc>
      </w:tr>
      <w:tr w:rsidR="009B42E0" w:rsidRPr="005E763C" w:rsidTr="00470BE0">
        <w:tc>
          <w:tcPr>
            <w:tcW w:w="15134" w:type="dxa"/>
            <w:gridSpan w:val="2"/>
            <w:vAlign w:val="center"/>
          </w:tcPr>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Mora se dokazati relevantnost odabranih operacija te njihov doprinos ostvarivanju ciljeva OPKK-a i specifičnih ciljeva 3.A.1. i 3.A.2. u sklopu tematskog cilja 3 IP-a 3.D., kao i osigurati njihov utjecaj na konkurentnost i inovativnost MSP-ova te financijska provedivost, održivost, tehnička spremnost i zrelost, dodana vrijednost i potencijal rasta.</w:t>
            </w:r>
          </w:p>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 xml:space="preserve">Radi potpore uravnoteženom regionalnom razvoju, projekti iz manje razvijenih regija će dobiti dodatne bodove tijekom postupka bodovanja, kao i više stope sufinanciranja i veću tehničku pomoć, po potrebi. Nadalje, po potrebi mogu biti osmišljeni posebni programi pomoći za manje razvijena, demografski ili zemljopisno ugrožena područja.Ocjena projekata će biti podložna kriterijima odabira koje je odobrio Nadzorni odbor. </w:t>
            </w:r>
          </w:p>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Popis kriterija za odabir operacija koji nije konačan će uključivati sljedeće:</w:t>
            </w:r>
          </w:p>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w:t>
            </w:r>
            <w:r w:rsidRPr="006A4AA8">
              <w:rPr>
                <w:rFonts w:ascii="Times New Roman" w:hAnsi="Times New Roman"/>
                <w:color w:val="000000"/>
                <w:spacing w:val="-1"/>
                <w:sz w:val="24"/>
                <w:szCs w:val="24"/>
              </w:rPr>
              <w:tab/>
              <w:t>razina inovativnosti predloženog projekta, shvaćena kao razina novosti rješenja;</w:t>
            </w:r>
          </w:p>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w:t>
            </w:r>
            <w:r w:rsidRPr="006A4AA8">
              <w:rPr>
                <w:rFonts w:ascii="Times New Roman" w:hAnsi="Times New Roman"/>
                <w:color w:val="000000"/>
                <w:spacing w:val="-1"/>
                <w:sz w:val="24"/>
                <w:szCs w:val="24"/>
              </w:rPr>
              <w:tab/>
              <w:t>doprinos konkurentnosti određenog sektora ili područja (zemlja, regija);</w:t>
            </w:r>
          </w:p>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w:t>
            </w:r>
            <w:r w:rsidRPr="006A4AA8">
              <w:rPr>
                <w:rFonts w:ascii="Times New Roman" w:hAnsi="Times New Roman"/>
                <w:color w:val="000000"/>
                <w:spacing w:val="-1"/>
                <w:sz w:val="24"/>
                <w:szCs w:val="24"/>
              </w:rPr>
              <w:tab/>
              <w:t>suradnja među poduzećima;</w:t>
            </w:r>
          </w:p>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w:t>
            </w:r>
            <w:r w:rsidRPr="006A4AA8">
              <w:rPr>
                <w:rFonts w:ascii="Times New Roman" w:hAnsi="Times New Roman"/>
                <w:color w:val="000000"/>
                <w:spacing w:val="-1"/>
                <w:sz w:val="24"/>
                <w:szCs w:val="24"/>
              </w:rPr>
              <w:tab/>
              <w:t>uključenost u internacionalizaciju;</w:t>
            </w:r>
          </w:p>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lastRenderedPageBreak/>
              <w:t>•</w:t>
            </w:r>
            <w:r w:rsidRPr="006A4AA8">
              <w:rPr>
                <w:rFonts w:ascii="Times New Roman" w:hAnsi="Times New Roman"/>
                <w:color w:val="000000"/>
                <w:spacing w:val="-1"/>
                <w:sz w:val="24"/>
                <w:szCs w:val="24"/>
              </w:rPr>
              <w:tab/>
              <w:t>potencijal rasta na tržištu (međunarodnom, nacionalnom, regionalnom).</w:t>
            </w:r>
          </w:p>
          <w:p w:rsidR="009B42E0" w:rsidRPr="006A4AA8"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U okviru specifičnog cilja 3.D.2., prednost će imati MSP-ovi u srednje-tehnološkim i visoko-tehnološkim područjima kao i oni u svim gospodarskim djelatnostima koje se intenzivno oslanjanju na znanja, uključujući uslužne i kreativne djelatnosti s najboljim mogućnostima održivog rasta.</w:t>
            </w:r>
          </w:p>
          <w:p w:rsidR="009B42E0" w:rsidRPr="005E763C" w:rsidRDefault="009B42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Prednost će imati MSP-ovi koji žele primijeniti rezultate projekata istraživanja i razvoja (tj. usmjereni su na njihovu komercijalizaciju), podržani su u sklopu tematskog cilja 1 i djeluju primarno u sektorima definiranim u Strategiji S3.</w:t>
            </w:r>
          </w:p>
        </w:tc>
      </w:tr>
    </w:tbl>
    <w:p w:rsidR="00FC3F35" w:rsidRPr="00576C1D" w:rsidRDefault="00FC3F35" w:rsidP="00FC3F35">
      <w:pPr>
        <w:widowControl w:val="0"/>
        <w:shd w:val="clear" w:color="auto" w:fill="FFFFFF"/>
        <w:autoSpaceDE w:val="0"/>
        <w:autoSpaceDN w:val="0"/>
        <w:adjustRightInd w:val="0"/>
        <w:spacing w:before="1008"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1"/>
          <w:sz w:val="24"/>
          <w:szCs w:val="24"/>
          <w:lang w:eastAsia="hr-HR"/>
        </w:rPr>
        <w:lastRenderedPageBreak/>
        <w:t xml:space="preserve">2.A.6.3 Planirano korištenje financijskih instrumenata </w:t>
      </w:r>
      <w:r w:rsidRPr="00576C1D">
        <w:rPr>
          <w:rFonts w:ascii="Times New Roman" w:eastAsia="Times New Roman" w:hAnsi="Times New Roman" w:cs="Times New Roman"/>
          <w:bCs/>
          <w:iCs/>
          <w:color w:val="000000"/>
          <w:spacing w:val="-1"/>
          <w:sz w:val="24"/>
          <w:szCs w:val="24"/>
          <w:lang w:eastAsia="hr-HR"/>
        </w:rPr>
        <w:t>(po potrebi)</w:t>
      </w:r>
    </w:p>
    <w:tbl>
      <w:tblPr>
        <w:tblStyle w:val="TableGrid"/>
        <w:tblW w:w="0" w:type="auto"/>
        <w:tblLook w:val="04A0" w:firstRow="1" w:lastRow="0" w:firstColumn="1" w:lastColumn="0" w:noHBand="0" w:noVBand="1"/>
      </w:tblPr>
      <w:tblGrid>
        <w:gridCol w:w="4735"/>
        <w:gridCol w:w="10399"/>
      </w:tblGrid>
      <w:tr w:rsidR="00470BE0" w:rsidRPr="005E763C" w:rsidTr="00470BE0">
        <w:tc>
          <w:tcPr>
            <w:tcW w:w="4735" w:type="dxa"/>
            <w:vAlign w:val="center"/>
          </w:tcPr>
          <w:p w:rsidR="00470BE0" w:rsidRPr="00576C1D" w:rsidRDefault="00470BE0" w:rsidP="001A0292">
            <w:pPr>
              <w:widowControl w:val="0"/>
              <w:shd w:val="clear" w:color="auto" w:fill="FFFFFF"/>
              <w:autoSpaceDE w:val="0"/>
              <w:autoSpaceDN w:val="0"/>
              <w:adjustRightInd w:val="0"/>
              <w:spacing w:line="206" w:lineRule="exact"/>
              <w:rPr>
                <w:rFonts w:ascii="Times New Roman" w:hAnsi="Times New Roman"/>
                <w:b/>
                <w:sz w:val="18"/>
                <w:szCs w:val="18"/>
              </w:rPr>
            </w:pPr>
            <w:r w:rsidRPr="00576C1D">
              <w:rPr>
                <w:rFonts w:ascii="Times New Roman" w:hAnsi="Times New Roman"/>
                <w:b/>
                <w:sz w:val="18"/>
                <w:szCs w:val="18"/>
              </w:rPr>
              <w:t>Investicijski prioritet</w:t>
            </w:r>
          </w:p>
          <w:p w:rsidR="00470BE0" w:rsidRPr="005E763C" w:rsidRDefault="00470BE0" w:rsidP="001A0292">
            <w:pPr>
              <w:rPr>
                <w:rFonts w:ascii="Times New Roman" w:hAnsi="Times New Roman"/>
                <w:sz w:val="24"/>
                <w:szCs w:val="24"/>
              </w:rPr>
            </w:pPr>
          </w:p>
        </w:tc>
        <w:tc>
          <w:tcPr>
            <w:tcW w:w="10399" w:type="dxa"/>
            <w:vAlign w:val="center"/>
          </w:tcPr>
          <w:p w:rsidR="00470BE0" w:rsidRPr="005E763C" w:rsidRDefault="00470BE0" w:rsidP="001A0292">
            <w:pPr>
              <w:rPr>
                <w:rFonts w:ascii="Times New Roman" w:hAnsi="Times New Roman"/>
                <w:sz w:val="24"/>
                <w:szCs w:val="24"/>
              </w:rPr>
            </w:pPr>
            <w:r w:rsidRPr="00576C1D">
              <w:rPr>
                <w:rFonts w:ascii="Times New Roman" w:hAnsi="Times New Roman"/>
                <w:color w:val="000000"/>
                <w:spacing w:val="-1"/>
                <w:sz w:val="18"/>
                <w:szCs w:val="18"/>
              </w:rPr>
              <w:t>3d - Podupiranje kapaciteta MSP-ova za rast i inovacijske procese</w:t>
            </w:r>
          </w:p>
        </w:tc>
      </w:tr>
      <w:tr w:rsidR="00470BE0" w:rsidRPr="005E763C" w:rsidTr="00470BE0">
        <w:tc>
          <w:tcPr>
            <w:tcW w:w="15134" w:type="dxa"/>
            <w:gridSpan w:val="2"/>
            <w:vAlign w:val="center"/>
          </w:tcPr>
          <w:p w:rsidR="00470BE0" w:rsidRPr="005E763C" w:rsidRDefault="00470BE0" w:rsidP="001A0292">
            <w:pPr>
              <w:widowControl w:val="0"/>
              <w:shd w:val="clear" w:color="auto" w:fill="FFFFFF"/>
              <w:autoSpaceDE w:val="0"/>
              <w:autoSpaceDN w:val="0"/>
              <w:adjustRightInd w:val="0"/>
              <w:rPr>
                <w:rFonts w:ascii="Times New Roman" w:hAnsi="Times New Roman"/>
                <w:color w:val="000000"/>
                <w:spacing w:val="-1"/>
                <w:sz w:val="24"/>
                <w:szCs w:val="24"/>
              </w:rPr>
            </w:pPr>
            <w:r w:rsidRPr="006A4AA8">
              <w:rPr>
                <w:rFonts w:ascii="Times New Roman" w:hAnsi="Times New Roman"/>
                <w:color w:val="000000"/>
                <w:spacing w:val="-1"/>
                <w:sz w:val="24"/>
                <w:szCs w:val="24"/>
              </w:rPr>
              <w:t>U sklopu tematskog cilja 3, investicijskog prioriteta 3.A., planirano je razvijanje financijskih instrumenata koji će također pridonijeti postizanju ciljeva investicijskog prioriteta  3.D. Daljnji razvoj ovog dijela će biti dovršen po završetku ex-ante procjene.</w:t>
            </w:r>
          </w:p>
        </w:tc>
      </w:tr>
    </w:tbl>
    <w:p w:rsidR="00FC3F35" w:rsidRDefault="00FC3F35" w:rsidP="006774A5">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hr-HR"/>
        </w:rPr>
      </w:pPr>
    </w:p>
    <w:p w:rsidR="00470BE0" w:rsidRDefault="00470BE0" w:rsidP="006774A5">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hr-HR"/>
        </w:rPr>
      </w:pPr>
    </w:p>
    <w:p w:rsidR="00FC3F35" w:rsidRDefault="00FC3F3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Cs/>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2.A.6.4 Planirano korištenje velikih projekata </w:t>
      </w:r>
      <w:r w:rsidRPr="00576C1D">
        <w:rPr>
          <w:rFonts w:ascii="Times New Roman" w:eastAsia="Times New Roman" w:hAnsi="Times New Roman" w:cs="Times New Roman"/>
          <w:bCs/>
          <w:iCs/>
          <w:color w:val="000000"/>
          <w:spacing w:val="-1"/>
          <w:sz w:val="24"/>
          <w:szCs w:val="24"/>
          <w:lang w:eastAsia="hr-HR"/>
        </w:rPr>
        <w:t>(po potrebi)</w:t>
      </w:r>
    </w:p>
    <w:tbl>
      <w:tblPr>
        <w:tblStyle w:val="TableGrid"/>
        <w:tblW w:w="0" w:type="auto"/>
        <w:tblLook w:val="04A0" w:firstRow="1" w:lastRow="0" w:firstColumn="1" w:lastColumn="0" w:noHBand="0" w:noVBand="1"/>
      </w:tblPr>
      <w:tblGrid>
        <w:gridCol w:w="4735"/>
        <w:gridCol w:w="10399"/>
      </w:tblGrid>
      <w:tr w:rsidR="00470BE0" w:rsidRPr="005E763C" w:rsidTr="00470BE0">
        <w:tc>
          <w:tcPr>
            <w:tcW w:w="4735" w:type="dxa"/>
            <w:vAlign w:val="center"/>
          </w:tcPr>
          <w:p w:rsidR="00470BE0" w:rsidRPr="00576C1D" w:rsidRDefault="00470BE0" w:rsidP="001A0292">
            <w:pPr>
              <w:widowControl w:val="0"/>
              <w:shd w:val="clear" w:color="auto" w:fill="FFFFFF"/>
              <w:autoSpaceDE w:val="0"/>
              <w:autoSpaceDN w:val="0"/>
              <w:adjustRightInd w:val="0"/>
              <w:spacing w:line="206" w:lineRule="exact"/>
              <w:rPr>
                <w:rFonts w:ascii="Times New Roman" w:hAnsi="Times New Roman"/>
                <w:b/>
                <w:sz w:val="18"/>
                <w:szCs w:val="18"/>
              </w:rPr>
            </w:pPr>
            <w:r w:rsidRPr="00576C1D">
              <w:rPr>
                <w:rFonts w:ascii="Times New Roman" w:hAnsi="Times New Roman"/>
                <w:b/>
                <w:sz w:val="18"/>
                <w:szCs w:val="18"/>
              </w:rPr>
              <w:t>Investicijski prioritet</w:t>
            </w:r>
          </w:p>
          <w:p w:rsidR="00470BE0" w:rsidRPr="005E763C" w:rsidRDefault="00470BE0" w:rsidP="001A0292">
            <w:pPr>
              <w:rPr>
                <w:rFonts w:ascii="Times New Roman" w:hAnsi="Times New Roman"/>
                <w:sz w:val="24"/>
                <w:szCs w:val="24"/>
              </w:rPr>
            </w:pPr>
          </w:p>
        </w:tc>
        <w:tc>
          <w:tcPr>
            <w:tcW w:w="10399" w:type="dxa"/>
            <w:vAlign w:val="center"/>
          </w:tcPr>
          <w:p w:rsidR="00470BE0" w:rsidRPr="005E763C" w:rsidRDefault="00470BE0" w:rsidP="001A0292">
            <w:pPr>
              <w:rPr>
                <w:rFonts w:ascii="Times New Roman" w:hAnsi="Times New Roman"/>
                <w:sz w:val="24"/>
                <w:szCs w:val="24"/>
              </w:rPr>
            </w:pPr>
            <w:r w:rsidRPr="00576C1D">
              <w:rPr>
                <w:rFonts w:ascii="Times New Roman" w:hAnsi="Times New Roman"/>
                <w:color w:val="000000"/>
                <w:spacing w:val="-1"/>
                <w:sz w:val="18"/>
                <w:szCs w:val="18"/>
              </w:rPr>
              <w:t>3d - Podupiranje kapaciteta MSP-ova za rast i inovacijske procese</w:t>
            </w:r>
          </w:p>
        </w:tc>
      </w:tr>
      <w:tr w:rsidR="00470BE0" w:rsidRPr="005E763C" w:rsidTr="00470BE0">
        <w:tc>
          <w:tcPr>
            <w:tcW w:w="15134" w:type="dxa"/>
            <w:gridSpan w:val="2"/>
            <w:vAlign w:val="center"/>
          </w:tcPr>
          <w:p w:rsidR="00470BE0" w:rsidRPr="005E763C" w:rsidRDefault="00470BE0" w:rsidP="001A0292">
            <w:pPr>
              <w:widowControl w:val="0"/>
              <w:shd w:val="clear" w:color="auto" w:fill="FFFFFF"/>
              <w:autoSpaceDE w:val="0"/>
              <w:autoSpaceDN w:val="0"/>
              <w:adjustRightInd w:val="0"/>
              <w:rPr>
                <w:rFonts w:ascii="Times New Roman" w:hAnsi="Times New Roman"/>
                <w:color w:val="000000"/>
                <w:spacing w:val="-1"/>
                <w:sz w:val="24"/>
                <w:szCs w:val="24"/>
              </w:rPr>
            </w:pPr>
            <w:r w:rsidRPr="00576C1D">
              <w:rPr>
                <w:rFonts w:ascii="Times New Roman" w:hAnsi="Times New Roman"/>
                <w:sz w:val="24"/>
                <w:szCs w:val="24"/>
              </w:rPr>
              <w:t>Zasad nisu predviđeni veliki projekti u sklopu tematskog cilja 3</w:t>
            </w:r>
          </w:p>
        </w:tc>
      </w:tr>
    </w:tbl>
    <w:p w:rsidR="00470BE0" w:rsidRDefault="00470BE0"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z w:val="24"/>
          <w:szCs w:val="24"/>
          <w:lang w:eastAsia="hr-HR"/>
        </w:rPr>
      </w:pPr>
    </w:p>
    <w:p w:rsidR="00470BE0" w:rsidRDefault="00470BE0"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z w:val="24"/>
          <w:szCs w:val="24"/>
          <w:lang w:eastAsia="hr-HR"/>
        </w:rPr>
      </w:pPr>
    </w:p>
    <w:p w:rsidR="00FC3F35" w:rsidRPr="00576C1D" w:rsidRDefault="00FC3F3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1282"/>
        <w:gridCol w:w="1555"/>
        <w:gridCol w:w="1565"/>
        <w:gridCol w:w="2554"/>
        <w:gridCol w:w="1555"/>
        <w:gridCol w:w="1555"/>
        <w:gridCol w:w="1565"/>
        <w:gridCol w:w="1277"/>
        <w:gridCol w:w="1238"/>
      </w:tblGrid>
      <w:tr w:rsidR="00FC3F35" w:rsidRPr="00576C1D" w:rsidTr="00FC3F35">
        <w:trPr>
          <w:trHeight w:hRule="exact" w:val="451"/>
        </w:trPr>
        <w:tc>
          <w:tcPr>
            <w:tcW w:w="227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3d - Podupiranje kapaciteta MSP-ova za rast i inovacijske procese</w:t>
            </w:r>
          </w:p>
        </w:tc>
      </w:tr>
      <w:tr w:rsidR="00FC3F35" w:rsidRPr="00576C1D" w:rsidTr="00FC3F35">
        <w:trPr>
          <w:trHeight w:hRule="exact" w:val="432"/>
        </w:trPr>
        <w:tc>
          <w:tcPr>
            <w:tcW w:w="99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28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b/>
                <w:sz w:val="16"/>
                <w:szCs w:val="16"/>
                <w:lang w:eastAsia="hr-HR"/>
              </w:rPr>
            </w:pPr>
            <w:r w:rsidRPr="00576C1D">
              <w:rPr>
                <w:rFonts w:ascii="Times New Roman" w:eastAsia="Times New Roman" w:hAnsi="Times New Roman" w:cs="Times New Roman"/>
                <w:b/>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Kategorija regije (gdje je potrebno)</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9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8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16"/>
                <w:szCs w:val="16"/>
                <w:lang w:eastAsia="hr-HR"/>
              </w:rPr>
            </w:pPr>
            <w:r w:rsidRPr="00576C1D">
              <w:rPr>
                <w:rFonts w:ascii="Times New Roman" w:eastAsia="Times New Roman" w:hAnsi="Times New Roman" w:cs="Times New Roman"/>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16"/>
                <w:szCs w:val="16"/>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r w:rsidRPr="00576C1D">
              <w:rPr>
                <w:rFonts w:ascii="Times New Roman" w:eastAsia="Times New Roman" w:hAnsi="Times New Roman" w:cs="Times New Roman"/>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117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11"/>
                <w:sz w:val="16"/>
                <w:szCs w:val="16"/>
                <w:lang w:eastAsia="hr-HR"/>
              </w:rPr>
              <w:lastRenderedPageBreak/>
              <w:t>CO01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Produktivno ulaganje: broj poduzeća koja primaju potporu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Poduzeća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3.445,00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r w:rsidR="00FC3F35" w:rsidRPr="00576C1D" w:rsidTr="00FC3F35">
        <w:trPr>
          <w:trHeight w:hRule="exact" w:val="98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3d11</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91"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MSP-ovi podržani u pribavljanju certifikata (za standarde</w:t>
            </w:r>
            <w:r w:rsidRPr="00576C1D">
              <w:rPr>
                <w:rFonts w:ascii="Times New Roman" w:eastAsia="Times New Roman" w:hAnsi="Times New Roman" w:cs="Times New Roman"/>
                <w:color w:val="000000"/>
                <w:spacing w:val="-1"/>
                <w:sz w:val="16"/>
                <w:szCs w:val="16"/>
                <w:lang w:eastAsia="hr-HR"/>
              </w:rPr>
              <w: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9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1.400,00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r w:rsidR="00FC3F35" w:rsidRPr="00576C1D" w:rsidTr="00FC3F35">
        <w:trPr>
          <w:trHeight w:hRule="exact" w:val="97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2"/>
                <w:sz w:val="16"/>
                <w:szCs w:val="16"/>
                <w:lang w:eastAsia="hr-HR"/>
              </w:rPr>
              <w:t>3d12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7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Podržani klasteri, zadruge i lanci vrijednosti</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r w:rsidR="00FC3F35" w:rsidRPr="00576C1D" w:rsidTr="00FC3F35">
        <w:trPr>
          <w:trHeight w:hRule="exact" w:val="54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1"/>
                <w:sz w:val="16"/>
                <w:szCs w:val="16"/>
                <w:lang w:eastAsia="hr-HR"/>
              </w:rPr>
              <w:t>3d13</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25"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MSP-ovi koji primaju potporu za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433,00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3d - Podupiranje kapaciteta MSP-ova za rast na regionalnim, nacionalnim i međunarodnim tržištima i inovacijske procese</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b/>
                <w:sz w:val="16"/>
                <w:szCs w:val="16"/>
                <w:lang w:eastAsia="hr-HR"/>
              </w:rPr>
            </w:pPr>
            <w:r w:rsidRPr="00576C1D">
              <w:rPr>
                <w:rFonts w:ascii="Times New Roman" w:eastAsia="Times New Roman" w:hAnsi="Times New Roman" w:cs="Times New Roman"/>
                <w:b/>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Kategorija regije (gdje je potrebno)</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16"/>
                <w:szCs w:val="16"/>
                <w:lang w:eastAsia="hr-HR"/>
              </w:rPr>
            </w:pPr>
            <w:r w:rsidRPr="00576C1D">
              <w:rPr>
                <w:rFonts w:ascii="Times New Roman" w:eastAsia="Times New Roman" w:hAnsi="Times New Roman" w:cs="Times New Roman"/>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16"/>
                <w:szCs w:val="16"/>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r w:rsidRPr="00576C1D">
              <w:rPr>
                <w:rFonts w:ascii="Times New Roman" w:eastAsia="Times New Roman" w:hAnsi="Times New Roman" w:cs="Times New Roman"/>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499"/>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uvođenje novih proizvoda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81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8"/>
                <w:szCs w:val="18"/>
                <w:lang w:eastAsia="hr-HR"/>
              </w:rPr>
              <w:t>3d14</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MSP-ovi koji su primili potporu za internacionalizaciju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Jednom godišnje</w:t>
            </w:r>
          </w:p>
        </w:tc>
      </w:tr>
    </w:tbl>
    <w:p w:rsidR="00470BE0" w:rsidRDefault="00470BE0"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hr-HR"/>
        </w:rPr>
      </w:pPr>
    </w:p>
    <w:p w:rsidR="006774A5" w:rsidRDefault="006774A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hr-HR"/>
        </w:rPr>
      </w:pPr>
    </w:p>
    <w:p w:rsidR="00FC3F35" w:rsidRDefault="00FC3F3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2.A.7 Socijalne inovacije, međudržavna suradnja i doprinos tematskim ciljevima 1-7</w:t>
      </w:r>
    </w:p>
    <w:tbl>
      <w:tblPr>
        <w:tblStyle w:val="TableGrid"/>
        <w:tblW w:w="0" w:type="auto"/>
        <w:tblLook w:val="04A0" w:firstRow="1" w:lastRow="0" w:firstColumn="1" w:lastColumn="0" w:noHBand="0" w:noVBand="1"/>
      </w:tblPr>
      <w:tblGrid>
        <w:gridCol w:w="4735"/>
        <w:gridCol w:w="10541"/>
      </w:tblGrid>
      <w:tr w:rsidR="00470BE0" w:rsidRPr="00470BE0" w:rsidTr="00470BE0">
        <w:tc>
          <w:tcPr>
            <w:tcW w:w="4735" w:type="dxa"/>
            <w:vAlign w:val="center"/>
          </w:tcPr>
          <w:p w:rsidR="00470BE0" w:rsidRPr="00470BE0" w:rsidRDefault="00470BE0" w:rsidP="001A0292">
            <w:pPr>
              <w:rPr>
                <w:rFonts w:ascii="Times New Roman" w:hAnsi="Times New Roman"/>
              </w:rPr>
            </w:pPr>
            <w:r w:rsidRPr="00470BE0">
              <w:rPr>
                <w:rFonts w:ascii="Times New Roman" w:hAnsi="Times New Roman"/>
                <w:b/>
              </w:rPr>
              <w:t>Prioritetna os</w:t>
            </w:r>
          </w:p>
        </w:tc>
        <w:tc>
          <w:tcPr>
            <w:tcW w:w="10541" w:type="dxa"/>
            <w:vAlign w:val="center"/>
          </w:tcPr>
          <w:p w:rsidR="00470BE0" w:rsidRPr="00470BE0" w:rsidRDefault="00470BE0" w:rsidP="001A0292">
            <w:pPr>
              <w:rPr>
                <w:rFonts w:ascii="Times New Roman" w:hAnsi="Times New Roman"/>
              </w:rPr>
            </w:pPr>
            <w:r w:rsidRPr="00470BE0">
              <w:rPr>
                <w:rFonts w:ascii="Times New Roman" w:hAnsi="Times New Roman"/>
                <w:b/>
                <w:bCs/>
                <w:color w:val="000000"/>
                <w:spacing w:val="2"/>
              </w:rPr>
              <w:t>3 - Poslovna konkurentnost</w:t>
            </w:r>
          </w:p>
        </w:tc>
      </w:tr>
      <w:tr w:rsidR="00470BE0" w:rsidRPr="00470BE0" w:rsidTr="006774A5">
        <w:trPr>
          <w:trHeight w:val="490"/>
        </w:trPr>
        <w:tc>
          <w:tcPr>
            <w:tcW w:w="15276" w:type="dxa"/>
            <w:gridSpan w:val="2"/>
            <w:vAlign w:val="center"/>
          </w:tcPr>
          <w:p w:rsidR="00470BE0" w:rsidRPr="00470BE0" w:rsidRDefault="00470BE0" w:rsidP="001A0292">
            <w:pPr>
              <w:widowControl w:val="0"/>
              <w:shd w:val="clear" w:color="auto" w:fill="FFFFFF"/>
              <w:autoSpaceDE w:val="0"/>
              <w:autoSpaceDN w:val="0"/>
              <w:adjustRightInd w:val="0"/>
              <w:rPr>
                <w:rFonts w:ascii="Times New Roman" w:hAnsi="Times New Roman"/>
                <w:color w:val="000000"/>
                <w:spacing w:val="-1"/>
              </w:rPr>
            </w:pPr>
          </w:p>
        </w:tc>
      </w:tr>
    </w:tbl>
    <w:p w:rsidR="006774A5" w:rsidRDefault="006774A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eastAsia="hr-HR"/>
        </w:rPr>
      </w:pPr>
    </w:p>
    <w:p w:rsidR="006774A5" w:rsidRDefault="006774A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eastAsia="hr-HR"/>
        </w:rPr>
      </w:pPr>
    </w:p>
    <w:p w:rsidR="00FC3F35" w:rsidRPr="00576C1D" w:rsidRDefault="00FC3F3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2.A.8 Okvir uspješnosti</w:t>
      </w:r>
    </w:p>
    <w:p w:rsidR="00FC3F35" w:rsidRPr="00576C1D" w:rsidRDefault="00FC3F35" w:rsidP="006774A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6: Okvir uspješnosti prioritetne osi </w:t>
      </w:r>
      <w:r w:rsidRPr="00576C1D">
        <w:rPr>
          <w:rFonts w:ascii="Times New Roman" w:eastAsia="Times New Roman" w:hAnsi="Times New Roman" w:cs="Times New Roman"/>
          <w:color w:val="000000"/>
          <w:spacing w:val="-1"/>
          <w:sz w:val="24"/>
          <w:szCs w:val="24"/>
          <w:lang w:eastAsia="hr-HR"/>
        </w:rPr>
        <w:t>(po fondu i, za EFRR i ESF, kategoriji regije)</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02"/>
        <w:gridCol w:w="662"/>
        <w:gridCol w:w="710"/>
        <w:gridCol w:w="854"/>
        <w:gridCol w:w="1680"/>
        <w:gridCol w:w="1200"/>
        <w:gridCol w:w="960"/>
        <w:gridCol w:w="1008"/>
        <w:gridCol w:w="1018"/>
        <w:gridCol w:w="1018"/>
        <w:gridCol w:w="1018"/>
        <w:gridCol w:w="1008"/>
        <w:gridCol w:w="1018"/>
        <w:gridCol w:w="902"/>
        <w:gridCol w:w="1181"/>
      </w:tblGrid>
      <w:tr w:rsidR="00FC3F35" w:rsidRPr="00470BE0" w:rsidTr="00FC3F35">
        <w:trPr>
          <w:trHeight w:hRule="exact" w:val="374"/>
        </w:trPr>
        <w:tc>
          <w:tcPr>
            <w:tcW w:w="227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1"/>
                <w:sz w:val="16"/>
                <w:szCs w:val="16"/>
                <w:lang w:eastAsia="hr-HR"/>
              </w:rPr>
              <w:lastRenderedPageBreak/>
              <w:t>Prioritetne os</w:t>
            </w:r>
          </w:p>
        </w:tc>
        <w:tc>
          <w:tcPr>
            <w:tcW w:w="2534" w:type="dxa"/>
            <w:gridSpan w:val="2"/>
            <w:tcBorders>
              <w:top w:val="single" w:sz="6" w:space="0" w:color="auto"/>
              <w:left w:val="single" w:sz="6" w:space="0" w:color="auto"/>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2"/>
                <w:sz w:val="16"/>
                <w:szCs w:val="16"/>
                <w:lang w:eastAsia="hr-HR"/>
              </w:rPr>
              <w:t>3- Poslovna konkurentnost</w:t>
            </w:r>
          </w:p>
        </w:tc>
        <w:tc>
          <w:tcPr>
            <w:tcW w:w="1200" w:type="dxa"/>
            <w:tcBorders>
              <w:top w:val="single" w:sz="6" w:space="0" w:color="auto"/>
              <w:left w:val="nil"/>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960" w:type="dxa"/>
            <w:tcBorders>
              <w:top w:val="single" w:sz="6" w:space="0" w:color="auto"/>
              <w:left w:val="nil"/>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nil"/>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nil"/>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nil"/>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nil"/>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nil"/>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920" w:type="dxa"/>
            <w:gridSpan w:val="2"/>
            <w:tcBorders>
              <w:top w:val="single" w:sz="6" w:space="0" w:color="auto"/>
              <w:left w:val="nil"/>
              <w:bottom w:val="single" w:sz="6" w:space="0" w:color="auto"/>
              <w:right w:val="nil"/>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181" w:type="dxa"/>
            <w:tcBorders>
              <w:top w:val="single" w:sz="6" w:space="0" w:color="auto"/>
              <w:left w:val="nil"/>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r>
      <w:tr w:rsidR="00FC3F35" w:rsidRPr="00470BE0" w:rsidTr="00FC3F35">
        <w:trPr>
          <w:trHeight w:hRule="exact" w:val="411"/>
        </w:trPr>
        <w:tc>
          <w:tcPr>
            <w:tcW w:w="902" w:type="dxa"/>
            <w:vMerge w:val="restart"/>
            <w:tcBorders>
              <w:top w:val="single" w:sz="6" w:space="0" w:color="auto"/>
              <w:left w:val="single" w:sz="6" w:space="0" w:color="auto"/>
              <w:bottom w:val="nil"/>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Oznaka</w:t>
            </w:r>
          </w:p>
        </w:tc>
        <w:tc>
          <w:tcPr>
            <w:tcW w:w="662" w:type="dxa"/>
            <w:vMerge w:val="restart"/>
            <w:tcBorders>
              <w:top w:val="single" w:sz="6" w:space="0" w:color="auto"/>
              <w:left w:val="single" w:sz="6" w:space="0" w:color="auto"/>
              <w:bottom w:val="nil"/>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2"/>
                <w:sz w:val="16"/>
                <w:szCs w:val="16"/>
                <w:lang w:eastAsia="hr-HR"/>
              </w:rPr>
              <w:t>Vrsta pokazatelja</w:t>
            </w:r>
          </w:p>
        </w:tc>
        <w:tc>
          <w:tcPr>
            <w:tcW w:w="1564" w:type="dxa"/>
            <w:gridSpan w:val="2"/>
            <w:vMerge w:val="restart"/>
            <w:tcBorders>
              <w:top w:val="single" w:sz="6" w:space="0" w:color="auto"/>
              <w:left w:val="single" w:sz="6" w:space="0" w:color="auto"/>
              <w:bottom w:val="nil"/>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Pokazatelj ili glavni provedbeni korak</w:t>
            </w:r>
          </w:p>
        </w:tc>
        <w:tc>
          <w:tcPr>
            <w:tcW w:w="1680" w:type="dxa"/>
            <w:vMerge w:val="restart"/>
            <w:tcBorders>
              <w:top w:val="single" w:sz="6" w:space="0" w:color="auto"/>
              <w:left w:val="single" w:sz="6" w:space="0" w:color="auto"/>
              <w:bottom w:val="nil"/>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1"/>
                <w:sz w:val="16"/>
                <w:szCs w:val="16"/>
                <w:lang w:eastAsia="hr-HR"/>
              </w:rPr>
              <w:t>Mjerna jedinica, po potrebi</w:t>
            </w:r>
          </w:p>
        </w:tc>
        <w:tc>
          <w:tcPr>
            <w:tcW w:w="1200" w:type="dxa"/>
            <w:vMerge w:val="restart"/>
            <w:tcBorders>
              <w:top w:val="single" w:sz="6" w:space="0" w:color="auto"/>
              <w:left w:val="single" w:sz="6" w:space="0" w:color="auto"/>
              <w:bottom w:val="nil"/>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3"/>
                <w:sz w:val="16"/>
                <w:szCs w:val="16"/>
                <w:lang w:eastAsia="hr-HR"/>
              </w:rPr>
              <w:t>Fond</w:t>
            </w:r>
          </w:p>
        </w:tc>
        <w:tc>
          <w:tcPr>
            <w:tcW w:w="960" w:type="dxa"/>
            <w:vMerge w:val="restart"/>
            <w:tcBorders>
              <w:top w:val="single" w:sz="6" w:space="0" w:color="auto"/>
              <w:left w:val="single" w:sz="6" w:space="0" w:color="auto"/>
              <w:bottom w:val="nil"/>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1"/>
                <w:sz w:val="16"/>
                <w:szCs w:val="16"/>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2"/>
                <w:sz w:val="16"/>
                <w:szCs w:val="16"/>
                <w:lang w:eastAsia="hr-HR"/>
              </w:rPr>
              <w:t>Konačni cilj (2023.)</w:t>
            </w:r>
          </w:p>
        </w:tc>
        <w:tc>
          <w:tcPr>
            <w:tcW w:w="902" w:type="dxa"/>
            <w:vMerge w:val="restart"/>
            <w:tcBorders>
              <w:top w:val="single" w:sz="6" w:space="0" w:color="auto"/>
              <w:left w:val="single" w:sz="6" w:space="0" w:color="auto"/>
              <w:bottom w:val="nil"/>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1"/>
                <w:sz w:val="16"/>
                <w:szCs w:val="16"/>
                <w:lang w:eastAsia="hr-HR"/>
              </w:rPr>
              <w:t>Izvor podataka</w:t>
            </w:r>
          </w:p>
        </w:tc>
        <w:tc>
          <w:tcPr>
            <w:tcW w:w="1181" w:type="dxa"/>
            <w:vMerge w:val="restart"/>
            <w:tcBorders>
              <w:top w:val="single" w:sz="6" w:space="0" w:color="auto"/>
              <w:left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Objašnjenje značaja pokazatelja, po potrebi</w:t>
            </w:r>
          </w:p>
        </w:tc>
      </w:tr>
      <w:tr w:rsidR="00FC3F35" w:rsidRPr="00470BE0" w:rsidTr="00FC3F35">
        <w:trPr>
          <w:trHeight w:hRule="exact" w:val="365"/>
        </w:trPr>
        <w:tc>
          <w:tcPr>
            <w:tcW w:w="902" w:type="dxa"/>
            <w:tcBorders>
              <w:top w:val="nil"/>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662" w:type="dxa"/>
            <w:tcBorders>
              <w:top w:val="nil"/>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564" w:type="dxa"/>
            <w:gridSpan w:val="2"/>
            <w:tcBorders>
              <w:top w:val="nil"/>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680" w:type="dxa"/>
            <w:tcBorders>
              <w:top w:val="nil"/>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200" w:type="dxa"/>
            <w:tcBorders>
              <w:top w:val="nil"/>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960" w:type="dxa"/>
            <w:tcBorders>
              <w:top w:val="nil"/>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FC3F35" w:rsidRPr="00470BE0" w:rsidRDefault="00FC3F35" w:rsidP="00FC3F35">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M</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U</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M</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U</w:t>
            </w:r>
          </w:p>
        </w:tc>
        <w:tc>
          <w:tcPr>
            <w:tcW w:w="902" w:type="dxa"/>
            <w:tcBorders>
              <w:top w:val="nil"/>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p>
          <w:p w:rsidR="00FC3F35" w:rsidRPr="00470BE0"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16"/>
                <w:szCs w:val="16"/>
                <w:lang w:eastAsia="hr-HR"/>
              </w:rPr>
            </w:pPr>
          </w:p>
        </w:tc>
        <w:tc>
          <w:tcPr>
            <w:tcW w:w="1181" w:type="dxa"/>
            <w:vMerge/>
            <w:tcBorders>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r>
      <w:tr w:rsidR="00FC3F35" w:rsidRPr="00470BE0" w:rsidTr="00FC3F35">
        <w:trPr>
          <w:trHeight w:hRule="exact" w:val="1430"/>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3"/>
                <w:sz w:val="16"/>
                <w:szCs w:val="16"/>
                <w:lang w:eastAsia="hr-HR"/>
              </w:rPr>
              <w:t>PF31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Cs/>
                <w:color w:val="000000"/>
                <w:sz w:val="16"/>
                <w:szCs w:val="16"/>
                <w:lang w:eastAsia="hr-HR"/>
              </w:rPr>
              <w:t>F</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z w:val="16"/>
                <w:szCs w:val="16"/>
                <w:lang w:eastAsia="hr-HR"/>
              </w:rPr>
              <w:t>Ukupni iznos potvrđenih/prihvatljivih izdataka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z w:val="16"/>
                <w:szCs w:val="16"/>
                <w:lang w:eastAsia="hr-HR"/>
              </w:rPr>
              <w:t>milijun EUR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1"/>
                <w:sz w:val="16"/>
                <w:szCs w:val="16"/>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1"/>
                <w:sz w:val="16"/>
                <w:szCs w:val="16"/>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648"/>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z w:val="16"/>
                <w:szCs w:val="16"/>
                <w:lang w:eastAsia="hr-HR"/>
              </w:rPr>
              <w:t>253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451"/>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2"/>
                <w:sz w:val="16"/>
                <w:szCs w:val="16"/>
                <w:lang w:eastAsia="hr-HR"/>
              </w:rPr>
              <w:t>1.263,00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z w:val="16"/>
                <w:szCs w:val="16"/>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38" w:firstLine="5"/>
              <w:rPr>
                <w:rFonts w:ascii="Times New Roman" w:eastAsia="Times New Roman" w:hAnsi="Times New Roman" w:cs="Times New Roman"/>
                <w:color w:val="000000"/>
                <w:spacing w:val="-2"/>
                <w:sz w:val="16"/>
                <w:szCs w:val="16"/>
                <w:lang w:eastAsia="hr-HR"/>
              </w:rPr>
            </w:pPr>
            <w:r w:rsidRPr="00470BE0">
              <w:rPr>
                <w:rFonts w:ascii="Times New Roman" w:eastAsia="Times New Roman" w:hAnsi="Times New Roman" w:cs="Times New Roman"/>
                <w:color w:val="000000"/>
                <w:spacing w:val="-2"/>
                <w:sz w:val="16"/>
                <w:szCs w:val="16"/>
                <w:lang w:eastAsia="hr-HR"/>
              </w:rPr>
              <w:t>100 % sredstava iz EFRR-a alociranih za PO3</w:t>
            </w:r>
          </w:p>
          <w:p w:rsidR="00FC3F35" w:rsidRPr="00470BE0" w:rsidRDefault="00FC3F35" w:rsidP="00FC3F35">
            <w:pPr>
              <w:widowControl w:val="0"/>
              <w:shd w:val="clear" w:color="auto" w:fill="FFFFFF"/>
              <w:autoSpaceDE w:val="0"/>
              <w:autoSpaceDN w:val="0"/>
              <w:adjustRightInd w:val="0"/>
              <w:spacing w:after="0" w:line="110" w:lineRule="exact"/>
              <w:ind w:right="38" w:hanging="5"/>
              <w:rPr>
                <w:rFonts w:ascii="Times New Roman" w:eastAsia="Times New Roman" w:hAnsi="Times New Roman" w:cs="Times New Roman"/>
                <w:color w:val="000000"/>
                <w:spacing w:val="-2"/>
                <w:sz w:val="16"/>
                <w:szCs w:val="16"/>
                <w:lang w:eastAsia="hr-HR"/>
              </w:rPr>
            </w:pPr>
          </w:p>
          <w:p w:rsidR="00FC3F35" w:rsidRPr="00470BE0" w:rsidRDefault="00FC3F35" w:rsidP="00FC3F35">
            <w:pPr>
              <w:widowControl w:val="0"/>
              <w:shd w:val="clear" w:color="auto" w:fill="FFFFFF"/>
              <w:autoSpaceDE w:val="0"/>
              <w:autoSpaceDN w:val="0"/>
              <w:adjustRightInd w:val="0"/>
              <w:spacing w:after="0" w:line="110" w:lineRule="exact"/>
              <w:ind w:right="38" w:hanging="5"/>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2"/>
                <w:sz w:val="16"/>
                <w:szCs w:val="16"/>
                <w:lang w:eastAsia="hr-HR"/>
              </w:rPr>
              <w:t>Kontrolna točka pokazuje stvarni tempo nastajanja i provjere prihvatljivih izdataka projekata</w:t>
            </w:r>
            <w:r w:rsidRPr="00470BE0">
              <w:rPr>
                <w:rFonts w:ascii="Times New Roman" w:eastAsia="Times New Roman" w:hAnsi="Times New Roman" w:cs="Times New Roman"/>
                <w:color w:val="000000"/>
                <w:spacing w:val="-1"/>
                <w:sz w:val="16"/>
                <w:szCs w:val="16"/>
                <w:lang w:eastAsia="hr-HR"/>
              </w:rPr>
              <w:t>.</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662"/>
        <w:gridCol w:w="710"/>
        <w:gridCol w:w="854"/>
        <w:gridCol w:w="1680"/>
        <w:gridCol w:w="1200"/>
        <w:gridCol w:w="960"/>
        <w:gridCol w:w="1008"/>
        <w:gridCol w:w="1018"/>
        <w:gridCol w:w="1018"/>
        <w:gridCol w:w="1018"/>
        <w:gridCol w:w="1008"/>
        <w:gridCol w:w="1018"/>
        <w:gridCol w:w="902"/>
        <w:gridCol w:w="1181"/>
      </w:tblGrid>
      <w:tr w:rsidR="00FC3F35" w:rsidRPr="00470BE0" w:rsidTr="00FC3F35">
        <w:trPr>
          <w:trHeight w:hRule="exact" w:val="374"/>
        </w:trPr>
        <w:tc>
          <w:tcPr>
            <w:tcW w:w="228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1"/>
                <w:sz w:val="16"/>
                <w:szCs w:val="16"/>
                <w:lang w:eastAsia="hr-HR"/>
              </w:rPr>
              <w:t>Prioritetne os</w:t>
            </w:r>
          </w:p>
        </w:tc>
        <w:tc>
          <w:tcPr>
            <w:tcW w:w="12865" w:type="dxa"/>
            <w:gridSpan w:val="12"/>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2"/>
                <w:sz w:val="16"/>
                <w:szCs w:val="16"/>
                <w:lang w:eastAsia="hr-HR"/>
              </w:rPr>
              <w:t>3- Poslovna konkurentnost</w:t>
            </w:r>
          </w:p>
        </w:tc>
      </w:tr>
      <w:tr w:rsidR="00FC3F35" w:rsidRPr="00470BE0" w:rsidTr="00FC3F35">
        <w:trPr>
          <w:trHeight w:hRule="exact" w:val="365"/>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Oznaka</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2"/>
                <w:sz w:val="16"/>
                <w:szCs w:val="16"/>
                <w:lang w:eastAsia="hr-HR"/>
              </w:rPr>
              <w:t>Vrsta pokazatelja</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Pokazatelj ili glavni provedbeni korak</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1"/>
                <w:sz w:val="16"/>
                <w:szCs w:val="16"/>
                <w:lang w:eastAsia="hr-HR"/>
              </w:rPr>
              <w:t>Mjerna jedinica, po potrebi</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3"/>
                <w:sz w:val="16"/>
                <w:szCs w:val="16"/>
                <w:lang w:eastAsia="hr-HR"/>
              </w:rPr>
              <w:t>Fond</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1"/>
                <w:sz w:val="16"/>
                <w:szCs w:val="16"/>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2"/>
                <w:sz w:val="16"/>
                <w:szCs w:val="16"/>
                <w:lang w:eastAsia="hr-HR"/>
              </w:rPr>
              <w:t>Konačni cilj (2023.)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pacing w:val="-1"/>
                <w:sz w:val="16"/>
                <w:szCs w:val="16"/>
                <w:lang w:eastAsia="hr-HR"/>
              </w:rPr>
              <w:t>Izvor podataka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
                <w:bCs/>
                <w:color w:val="000000"/>
                <w:sz w:val="16"/>
                <w:szCs w:val="16"/>
                <w:lang w:eastAsia="hr-HR"/>
              </w:rPr>
              <w:t>Objašnjenje značaja pokazatelja, po potrebi</w:t>
            </w:r>
          </w:p>
        </w:tc>
      </w:tr>
      <w:tr w:rsidR="00FC3F35" w:rsidRPr="00470BE0" w:rsidTr="00FC3F35">
        <w:trPr>
          <w:trHeight w:hRule="exact" w:val="106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4"/>
                <w:sz w:val="16"/>
                <w:szCs w:val="16"/>
                <w:lang w:eastAsia="hr-HR"/>
              </w:rPr>
              <w:t>CO01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Cs/>
                <w:color w:val="000000"/>
                <w:sz w:val="16"/>
                <w:szCs w:val="16"/>
                <w:lang w:eastAsia="hr-HR"/>
              </w:rPr>
              <w:t>O</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2"/>
                <w:sz w:val="16"/>
                <w:szCs w:val="16"/>
                <w:lang w:eastAsia="hr-HR"/>
              </w:rPr>
              <w:t>Produktivno ulaganje: broj poduzeća koja primaju potporu</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2"/>
                <w:sz w:val="16"/>
                <w:szCs w:val="16"/>
                <w:lang w:eastAsia="hr-HR"/>
              </w:rPr>
              <w:t>Poduzeća</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576"/>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4"/>
                <w:sz w:val="16"/>
                <w:szCs w:val="16"/>
                <w:lang w:eastAsia="hr-HR"/>
              </w:rPr>
              <w:t>1,137</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ind w:left="446"/>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pacing w:val="-2"/>
                <w:sz w:val="16"/>
                <w:szCs w:val="16"/>
                <w:lang w:eastAsia="hr-HR"/>
              </w:rPr>
              <w:t>3.445,00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470BE0">
              <w:rPr>
                <w:rFonts w:ascii="Times New Roman" w:eastAsia="Times New Roman" w:hAnsi="Times New Roman" w:cs="Times New Roman"/>
                <w:bCs/>
                <w:color w:val="000000"/>
                <w:sz w:val="16"/>
                <w:szCs w:val="16"/>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470BE0" w:rsidRDefault="00FC3F35" w:rsidP="00FC3F35">
            <w:pPr>
              <w:widowControl w:val="0"/>
              <w:shd w:val="clear" w:color="auto" w:fill="FFFFFF"/>
              <w:autoSpaceDE w:val="0"/>
              <w:autoSpaceDN w:val="0"/>
              <w:adjustRightInd w:val="0"/>
              <w:spacing w:after="0" w:line="115" w:lineRule="exact"/>
              <w:ind w:right="10" w:hanging="5"/>
              <w:rPr>
                <w:rFonts w:ascii="Times New Roman" w:eastAsia="Times New Roman" w:hAnsi="Times New Roman" w:cs="Times New Roman"/>
                <w:sz w:val="16"/>
                <w:szCs w:val="16"/>
                <w:lang w:eastAsia="hr-HR"/>
              </w:rPr>
            </w:pPr>
            <w:r w:rsidRPr="00470BE0">
              <w:rPr>
                <w:rFonts w:ascii="Times New Roman" w:eastAsia="Times New Roman" w:hAnsi="Times New Roman" w:cs="Times New Roman"/>
                <w:color w:val="000000"/>
                <w:sz w:val="16"/>
                <w:szCs w:val="16"/>
                <w:lang w:eastAsia="hr-HR"/>
              </w:rPr>
              <w:t>Odabrana kontrolna točka odnosi se na više od 50 % sveukupne alokacije i najreprezentativniji je za relevantne operacije u sklopu PO3.</w:t>
            </w:r>
          </w:p>
        </w:tc>
      </w:tr>
    </w:tbl>
    <w:p w:rsidR="00FC3F35" w:rsidRPr="00576C1D" w:rsidRDefault="00FC3F35" w:rsidP="00FC3F35">
      <w:pPr>
        <w:widowControl w:val="0"/>
        <w:shd w:val="clear" w:color="auto" w:fill="FFFFFF"/>
        <w:autoSpaceDE w:val="0"/>
        <w:autoSpaceDN w:val="0"/>
        <w:adjustRightInd w:val="0"/>
        <w:spacing w:before="456" w:after="0" w:line="240" w:lineRule="auto"/>
        <w:ind w:left="533"/>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sz w:val="26"/>
          <w:szCs w:val="26"/>
          <w:lang w:eastAsia="hr-HR"/>
        </w:rPr>
        <w:t>Dodatne kvalitativne informacije o uspostavi okvira uspješnosti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2.A.9 Kategorije intervencije</w:t>
      </w:r>
    </w:p>
    <w:p w:rsidR="00FC3F35" w:rsidRPr="00576C1D" w:rsidRDefault="00FC3F35" w:rsidP="00FC3F35">
      <w:pPr>
        <w:widowControl w:val="0"/>
        <w:shd w:val="clear" w:color="auto" w:fill="FFFFFF"/>
        <w:autoSpaceDE w:val="0"/>
        <w:autoSpaceDN w:val="0"/>
        <w:adjustRightInd w:val="0"/>
        <w:spacing w:before="120" w:after="0" w:line="274" w:lineRule="exact"/>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4"/>
          <w:szCs w:val="24"/>
          <w:lang w:eastAsia="hr-HR"/>
        </w:rPr>
        <w:t>Kategorije intervencije koje odgovaraju sadržaju prioritetne osi na temelju nazivlja koje je usvojila Komisija i indikativna analiza potpore Unije</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tabs>
          <w:tab w:val="left" w:pos="6237"/>
        </w:tabs>
        <w:autoSpaceDE w:val="0"/>
        <w:autoSpaceDN w:val="0"/>
        <w:adjustRightInd w:val="0"/>
        <w:spacing w:before="322" w:after="0" w:line="514" w:lineRule="exact"/>
        <w:ind w:left="542" w:right="9516"/>
        <w:rPr>
          <w:rFonts w:ascii="Times New Roman" w:eastAsia="Times New Roman" w:hAnsi="Times New Roman" w:cs="Times New Roman"/>
          <w:b/>
          <w:bCs/>
          <w:color w:val="000000"/>
          <w:spacing w:val="-3"/>
          <w:sz w:val="24"/>
          <w:szCs w:val="24"/>
          <w:lang w:eastAsia="hr-HR"/>
        </w:rPr>
      </w:pPr>
      <w:r w:rsidRPr="00576C1D">
        <w:rPr>
          <w:rFonts w:ascii="Times New Roman" w:eastAsia="Times New Roman" w:hAnsi="Times New Roman" w:cs="Times New Roman"/>
          <w:b/>
          <w:bCs/>
          <w:color w:val="000000"/>
          <w:spacing w:val="-3"/>
          <w:sz w:val="24"/>
          <w:szCs w:val="24"/>
          <w:lang w:eastAsia="hr-HR"/>
        </w:rPr>
        <w:t xml:space="preserve">Tablice 7-11: Kategorije intervencije </w:t>
      </w:r>
    </w:p>
    <w:p w:rsidR="00FC3F35" w:rsidRPr="00576C1D" w:rsidRDefault="00FC3F35" w:rsidP="00FC3F35">
      <w:pPr>
        <w:widowControl w:val="0"/>
        <w:shd w:val="clear" w:color="auto" w:fill="FFFFFF"/>
        <w:tabs>
          <w:tab w:val="left" w:pos="6237"/>
        </w:tabs>
        <w:autoSpaceDE w:val="0"/>
        <w:autoSpaceDN w:val="0"/>
        <w:adjustRightInd w:val="0"/>
        <w:spacing w:before="322" w:after="0" w:line="240" w:lineRule="auto"/>
        <w:ind w:left="542" w:right="951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pacing w:val="-4"/>
          <w:lang w:eastAsia="hr-HR"/>
        </w:rPr>
        <w:t>Tablica 7: Dimenzija 1 - Područje intervencije</w:t>
      </w:r>
    </w:p>
    <w:tbl>
      <w:tblPr>
        <w:tblW w:w="0" w:type="auto"/>
        <w:tblInd w:w="40" w:type="dxa"/>
        <w:tblLayout w:type="fixed"/>
        <w:tblCellMar>
          <w:left w:w="40" w:type="dxa"/>
          <w:right w:w="40" w:type="dxa"/>
        </w:tblCellMar>
        <w:tblLook w:val="0000" w:firstRow="0" w:lastRow="0" w:firstColumn="0" w:lastColumn="0" w:noHBand="0" w:noVBand="0"/>
      </w:tblPr>
      <w:tblGrid>
        <w:gridCol w:w="979"/>
        <w:gridCol w:w="2995"/>
        <w:gridCol w:w="9178"/>
        <w:gridCol w:w="1997"/>
      </w:tblGrid>
      <w:tr w:rsidR="00FC3F35" w:rsidRPr="00576C1D" w:rsidTr="00FC3F35">
        <w:trPr>
          <w:trHeight w:hRule="exact" w:val="442"/>
        </w:trPr>
        <w:tc>
          <w:tcPr>
            <w:tcW w:w="1514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C244E3"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Pr>
                <w:rFonts w:ascii="Times New Roman" w:eastAsia="Times New Roman" w:hAnsi="Times New Roman" w:cs="Times New Roman"/>
                <w:b/>
                <w:bCs/>
                <w:noProof/>
                <w:color w:val="000000"/>
                <w:spacing w:val="-1"/>
                <w:sz w:val="16"/>
                <w:szCs w:val="16"/>
                <w:lang w:eastAsia="hr-HR"/>
              </w:rPr>
              <w:pict>
                <v:line id="Line 2150" o:spid="_x0000_s1026" style="position:absolute;left:0;text-align:left;z-index:251712512;visibility:visible;mso-position-horizontal-relative:margin" from="110.9pt,-2.4pt" to="110.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" o:allowincell="f" strokeweight=".7pt">
                  <w10:wrap anchorx="margin"/>
                </v:line>
              </w:pict>
            </w:r>
            <w:r w:rsidR="00FC3F35" w:rsidRPr="00576C1D">
              <w:rPr>
                <w:rFonts w:ascii="Times New Roman" w:eastAsia="Times New Roman" w:hAnsi="Times New Roman" w:cs="Times New Roman"/>
                <w:b/>
                <w:bCs/>
                <w:color w:val="000000"/>
                <w:spacing w:val="-1"/>
                <w:sz w:val="16"/>
                <w:szCs w:val="16"/>
                <w:lang w:eastAsia="hr-HR"/>
              </w:rPr>
              <w:t xml:space="preserve">Prioritetna os                     </w:t>
            </w:r>
            <w:r w:rsidR="00FC3F35" w:rsidRPr="00576C1D">
              <w:rPr>
                <w:rFonts w:ascii="Times New Roman" w:eastAsia="Times New Roman" w:hAnsi="Times New Roman" w:cs="Times New Roman"/>
                <w:b/>
                <w:bCs/>
                <w:color w:val="000000"/>
                <w:spacing w:val="-1"/>
                <w:sz w:val="16"/>
                <w:szCs w:val="16"/>
                <w:lang w:eastAsia="hr-HR"/>
              </w:rPr>
              <w:br w:type="column"/>
              <w:t>3 - Poslovna konkurentnost</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001. Općenita produktivna ulaganja u mala i srednja poduzeća ('MSP-ove')</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592.000.000,00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lastRenderedPageBreak/>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064. Procesi istraživanja i inovacija u MSP-ovima (uključujući sisteme vouchera, inovacije koje se odnose na procese, projektiranje, usluge te socijalne inovacije)</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77,000.000,00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066. Napredne usluge podrške za MSP-ove i skupine MSP-ova (uključujući usluge upravljanja, promidžbe i dizajna)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168,000.000,00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072. Poslovna infrastruktura za MSP-ove (uključujući industrijske parkove i lokacije)</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108,500.000,00</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121. Priprema, provedba, praćenje i kontrola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21,000.000,00</w:t>
            </w:r>
          </w:p>
        </w:tc>
      </w:tr>
      <w:tr w:rsidR="00FC3F35" w:rsidRPr="00576C1D" w:rsidTr="00FC3F35">
        <w:trPr>
          <w:trHeight w:hRule="exact" w:val="442"/>
        </w:trPr>
        <w:tc>
          <w:tcPr>
            <w:tcW w:w="1514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Prioritetna os                     3 - Poslovna konkurentnost</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122. Evaluacija i studije</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1,500.000,00</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123. Informiranje i komunikacija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2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w:t>
            </w:r>
          </w:p>
        </w:tc>
      </w:tr>
    </w:tbl>
    <w:p w:rsidR="00FC3F35" w:rsidRPr="00576C1D" w:rsidRDefault="00FC3F35" w:rsidP="00FC3F35">
      <w:pPr>
        <w:widowControl w:val="0"/>
        <w:shd w:val="clear" w:color="auto" w:fill="FFFFFF"/>
        <w:autoSpaceDE w:val="0"/>
        <w:autoSpaceDN w:val="0"/>
        <w:adjustRightInd w:val="0"/>
        <w:spacing w:before="398" w:after="0" w:line="240" w:lineRule="auto"/>
        <w:ind w:left="542"/>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6"/>
          <w:lang w:eastAsia="hr-HR"/>
        </w:rPr>
        <w:t>Tablica 8: Dimenzija 2 – Oblik financiranja</w:t>
      </w:r>
    </w:p>
    <w:p w:rsidR="00FC3F35" w:rsidRPr="00576C1D" w:rsidRDefault="00FC3F35" w:rsidP="00FC3F35">
      <w:pPr>
        <w:widowControl w:val="0"/>
        <w:autoSpaceDE w:val="0"/>
        <w:autoSpaceDN w:val="0"/>
        <w:adjustRightInd w:val="0"/>
        <w:spacing w:after="48"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0"/>
        <w:gridCol w:w="2995"/>
        <w:gridCol w:w="9178"/>
        <w:gridCol w:w="1997"/>
      </w:tblGrid>
      <w:tr w:rsidR="00FC3F35" w:rsidRPr="00576C1D" w:rsidTr="00FC3F35">
        <w:trPr>
          <w:trHeight w:hRule="exact" w:val="442"/>
        </w:trPr>
        <w:tc>
          <w:tcPr>
            <w:tcW w:w="15140"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Prioritetna os                     3 - Poslovna konkurentnost</w:t>
            </w:r>
          </w:p>
        </w:tc>
      </w:tr>
      <w:tr w:rsidR="00FC3F35" w:rsidRPr="00576C1D" w:rsidTr="00FC3F35">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r w:rsidR="00FC3F35" w:rsidRPr="00576C1D" w:rsidTr="00FC3F35">
        <w:trPr>
          <w:trHeight w:hRule="exact" w:val="44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720,000.000,00</w:t>
            </w:r>
          </w:p>
        </w:tc>
      </w:tr>
      <w:tr w:rsidR="00FC3F35" w:rsidRPr="00576C1D" w:rsidTr="00FC3F35">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03. Potpora kroz financijske instrumente: rizični i dioničarski kapital ili njegov ekvivalent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21,000.000,00</w:t>
            </w:r>
          </w:p>
        </w:tc>
      </w:tr>
      <w:tr w:rsidR="00FC3F35" w:rsidRPr="00576C1D" w:rsidTr="00FC3F35">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04. Potpora kroz financijske instrumente: zajam  ili njegov ekvivalent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196,000.000,00</w:t>
            </w:r>
          </w:p>
        </w:tc>
      </w:tr>
      <w:tr w:rsidR="00FC3F35" w:rsidRPr="00576C1D" w:rsidTr="00FC3F35">
        <w:trPr>
          <w:trHeight w:hRule="exact" w:val="451"/>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 Potpora kroz financijske instrumente: jamstvo ili njegov ekvivalent</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33,000.000,00</w:t>
            </w:r>
          </w:p>
        </w:tc>
      </w:tr>
    </w:tbl>
    <w:p w:rsidR="00FC3F35" w:rsidRPr="00576C1D" w:rsidRDefault="00FC3F35" w:rsidP="00FC3F35">
      <w:pPr>
        <w:widowControl w:val="0"/>
        <w:autoSpaceDE w:val="0"/>
        <w:autoSpaceDN w:val="0"/>
        <w:adjustRightInd w:val="0"/>
        <w:spacing w:after="48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97"/>
      </w:tblGrid>
      <w:tr w:rsidR="00FC3F35" w:rsidRPr="00576C1D" w:rsidTr="00FC3F35">
        <w:trPr>
          <w:trHeight w:hRule="exact" w:val="250"/>
        </w:trPr>
        <w:tc>
          <w:tcPr>
            <w:tcW w:w="15150" w:type="dxa"/>
            <w:gridSpan w:val="5"/>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lang w:eastAsia="hr-HR"/>
              </w:rPr>
              <w:t>Tablica 9: Dimenzija 3 – Vrsta teritorija</w:t>
            </w:r>
          </w:p>
        </w:tc>
      </w:tr>
      <w:tr w:rsidR="00FC3F35" w:rsidRPr="00576C1D" w:rsidTr="00FC3F35">
        <w:trPr>
          <w:trHeight w:hRule="exact" w:val="43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tabs>
                <w:tab w:val="left" w:pos="1277"/>
              </w:tabs>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Prioritetna os                     </w:t>
            </w:r>
          </w:p>
        </w:tc>
        <w:tc>
          <w:tcPr>
            <w:tcW w:w="1296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3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Poslovna konkurentnost</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970,000.000,00</w:t>
            </w:r>
          </w:p>
        </w:tc>
      </w:tr>
    </w:tbl>
    <w:p w:rsidR="00FC3F35" w:rsidRPr="00576C1D" w:rsidRDefault="00FC3F35" w:rsidP="00FC3F35">
      <w:pPr>
        <w:widowControl w:val="0"/>
        <w:shd w:val="clear" w:color="auto" w:fill="FFFFFF"/>
        <w:autoSpaceDE w:val="0"/>
        <w:autoSpaceDN w:val="0"/>
        <w:adjustRightInd w:val="0"/>
        <w:spacing w:before="422" w:after="182" w:line="240" w:lineRule="auto"/>
        <w:ind w:left="542"/>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5"/>
          <w:lang w:eastAsia="hr-HR"/>
        </w:rPr>
        <w:t>Tablica 10: Dimenzija 4 - Mehanizmi teritorijalne provedbe</w:t>
      </w:r>
    </w:p>
    <w:tbl>
      <w:tblPr>
        <w:tblStyle w:val="TableGrid"/>
        <w:tblW w:w="0" w:type="auto"/>
        <w:tblLook w:val="04A0" w:firstRow="1" w:lastRow="0" w:firstColumn="1" w:lastColumn="0" w:noHBand="0" w:noVBand="1"/>
      </w:tblPr>
      <w:tblGrid>
        <w:gridCol w:w="4735"/>
        <w:gridCol w:w="10541"/>
      </w:tblGrid>
      <w:tr w:rsidR="00470BE0" w:rsidRPr="005E763C" w:rsidTr="00470BE0">
        <w:tc>
          <w:tcPr>
            <w:tcW w:w="4735" w:type="dxa"/>
            <w:vAlign w:val="center"/>
          </w:tcPr>
          <w:p w:rsidR="00470BE0" w:rsidRPr="005E763C" w:rsidRDefault="00470BE0" w:rsidP="001A0292">
            <w:pPr>
              <w:rPr>
                <w:rFonts w:ascii="Times New Roman" w:hAnsi="Times New Roman"/>
                <w:sz w:val="24"/>
                <w:szCs w:val="24"/>
              </w:rPr>
            </w:pPr>
            <w:r w:rsidRPr="00576C1D">
              <w:rPr>
                <w:rFonts w:ascii="Times New Roman" w:hAnsi="Times New Roman"/>
                <w:b/>
                <w:sz w:val="16"/>
                <w:szCs w:val="16"/>
              </w:rPr>
              <w:lastRenderedPageBreak/>
              <w:t>Prioritetna os</w:t>
            </w:r>
          </w:p>
        </w:tc>
        <w:tc>
          <w:tcPr>
            <w:tcW w:w="10541" w:type="dxa"/>
            <w:vAlign w:val="center"/>
          </w:tcPr>
          <w:p w:rsidR="00470BE0" w:rsidRPr="005E763C" w:rsidRDefault="00470BE0" w:rsidP="001A0292">
            <w:pPr>
              <w:rPr>
                <w:rFonts w:ascii="Times New Roman" w:hAnsi="Times New Roman"/>
                <w:sz w:val="24"/>
                <w:szCs w:val="24"/>
              </w:rPr>
            </w:pPr>
            <w:r w:rsidRPr="00576C1D">
              <w:rPr>
                <w:rFonts w:ascii="Times New Roman" w:hAnsi="Times New Roman"/>
                <w:b/>
                <w:bCs/>
                <w:color w:val="000000"/>
                <w:spacing w:val="2"/>
                <w:sz w:val="16"/>
                <w:szCs w:val="16"/>
              </w:rPr>
              <w:t>3 - Poslovna konkurentnost</w:t>
            </w:r>
          </w:p>
        </w:tc>
      </w:tr>
      <w:tr w:rsidR="00470BE0" w:rsidRPr="005E763C" w:rsidTr="00470BE0">
        <w:tc>
          <w:tcPr>
            <w:tcW w:w="15276" w:type="dxa"/>
            <w:gridSpan w:val="2"/>
            <w:vAlign w:val="center"/>
          </w:tcPr>
          <w:p w:rsidR="00470BE0" w:rsidRPr="005E763C" w:rsidRDefault="00470BE0" w:rsidP="001A0292">
            <w:pPr>
              <w:widowControl w:val="0"/>
              <w:shd w:val="clear" w:color="auto" w:fill="FFFFFF"/>
              <w:autoSpaceDE w:val="0"/>
              <w:autoSpaceDN w:val="0"/>
              <w:adjustRightInd w:val="0"/>
              <w:rPr>
                <w:rFonts w:ascii="Times New Roman" w:hAnsi="Times New Roman"/>
                <w:color w:val="000000"/>
                <w:spacing w:val="-1"/>
                <w:sz w:val="24"/>
                <w:szCs w:val="24"/>
              </w:rPr>
            </w:pPr>
          </w:p>
        </w:tc>
      </w:tr>
    </w:tbl>
    <w:p w:rsidR="00470BE0" w:rsidRDefault="00470BE0" w:rsidP="00FC3F35">
      <w:pPr>
        <w:widowControl w:val="0"/>
        <w:shd w:val="clear" w:color="auto" w:fill="FFFFFF"/>
        <w:autoSpaceDE w:val="0"/>
        <w:autoSpaceDN w:val="0"/>
        <w:adjustRightInd w:val="0"/>
        <w:spacing w:before="422" w:after="182" w:line="240" w:lineRule="auto"/>
        <w:ind w:left="542"/>
        <w:rPr>
          <w:rFonts w:ascii="Times New Roman" w:eastAsia="Times New Roman" w:hAnsi="Times New Roman" w:cs="Times New Roman"/>
          <w:sz w:val="20"/>
          <w:szCs w:val="20"/>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2996"/>
        <w:gridCol w:w="9178"/>
        <w:gridCol w:w="1987"/>
      </w:tblGrid>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sz w:val="16"/>
                <w:szCs w:val="16"/>
                <w:lang w:eastAsia="hr-HR"/>
              </w:rPr>
              <w:t>EFRR</w:t>
            </w:r>
          </w:p>
        </w:tc>
        <w:tc>
          <w:tcPr>
            <w:tcW w:w="299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2"/>
                <w:sz w:val="16"/>
                <w:szCs w:val="16"/>
                <w:lang w:eastAsia="hr-HR"/>
              </w:rPr>
              <w:t>07. Nije primjenjivo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970,000.000,00</w:t>
            </w:r>
          </w:p>
        </w:tc>
      </w:tr>
    </w:tbl>
    <w:p w:rsidR="003A2C49" w:rsidRDefault="003A2C49">
      <w:r>
        <w:br w:type="page"/>
      </w: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87"/>
      </w:tblGrid>
      <w:tr w:rsidR="00FC3F35" w:rsidRPr="00576C1D" w:rsidTr="003A2C49">
        <w:trPr>
          <w:trHeight w:hRule="exact" w:val="768"/>
        </w:trPr>
        <w:tc>
          <w:tcPr>
            <w:tcW w:w="15140" w:type="dxa"/>
            <w:gridSpan w:val="5"/>
            <w:tcBorders>
              <w:left w:val="nil"/>
              <w:bottom w:val="single" w:sz="4"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2"/>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2"/>
                <w:sz w:val="20"/>
                <w:szCs w:val="20"/>
                <w:lang w:eastAsia="hr-HR"/>
              </w:rPr>
              <w:t xml:space="preserve">Tablica 11: Dimenzija 6 – Sporedna tema Europskog socijalnog fonda </w:t>
            </w:r>
            <w:r w:rsidRPr="00576C1D">
              <w:rPr>
                <w:rFonts w:ascii="Times New Roman" w:eastAsia="Times New Roman" w:hAnsi="Times New Roman" w:cs="Times New Roman"/>
                <w:color w:val="000000"/>
                <w:spacing w:val="2"/>
                <w:sz w:val="20"/>
                <w:szCs w:val="20"/>
                <w:lang w:eastAsia="hr-HR"/>
              </w:rPr>
              <w:t>(samo Europski socijalni fond i Inicijativa za zapošljavanje mladih)</w:t>
            </w:r>
          </w:p>
        </w:tc>
      </w:tr>
      <w:tr w:rsidR="00FC3F35" w:rsidRPr="00576C1D" w:rsidTr="003A2C49">
        <w:trPr>
          <w:trHeight w:hRule="exact" w:val="442"/>
        </w:trPr>
        <w:tc>
          <w:tcPr>
            <w:tcW w:w="2189" w:type="dxa"/>
            <w:gridSpan w:val="2"/>
            <w:tcBorders>
              <w:top w:val="single" w:sz="4"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576C1D">
              <w:rPr>
                <w:rFonts w:ascii="Times New Roman" w:eastAsia="Times New Roman" w:hAnsi="Times New Roman" w:cs="Times New Roman"/>
                <w:b/>
                <w:bCs/>
                <w:sz w:val="16"/>
                <w:szCs w:val="16"/>
                <w:lang w:eastAsia="hr-HR"/>
              </w:rPr>
              <w:t>Prioritetna os</w:t>
            </w:r>
          </w:p>
        </w:tc>
        <w:tc>
          <w:tcPr>
            <w:tcW w:w="12951" w:type="dxa"/>
            <w:gridSpan w:val="3"/>
            <w:tcBorders>
              <w:top w:val="single" w:sz="4"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3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Poslovna konkurentnost</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bl>
    <w:p w:rsidR="00FC3F35" w:rsidRDefault="00FC3F35" w:rsidP="00FC3F35">
      <w:pPr>
        <w:widowControl w:val="0"/>
        <w:shd w:val="clear" w:color="auto" w:fill="FFFFFF"/>
        <w:autoSpaceDE w:val="0"/>
        <w:autoSpaceDN w:val="0"/>
        <w:adjustRightInd w:val="0"/>
        <w:spacing w:before="509" w:after="240" w:line="278" w:lineRule="exact"/>
        <w:ind w:left="1392" w:hanging="854"/>
        <w:rPr>
          <w:rFonts w:ascii="Times New Roman" w:eastAsia="Times New Roman" w:hAnsi="Times New Roman" w:cs="Times New Roman"/>
          <w:bCs/>
          <w:color w:val="000000"/>
          <w:spacing w:val="5"/>
          <w:sz w:val="24"/>
          <w:szCs w:val="24"/>
          <w:lang w:eastAsia="hr-HR"/>
        </w:rPr>
      </w:pPr>
      <w:r w:rsidRPr="00576C1D">
        <w:rPr>
          <w:rFonts w:ascii="Times New Roman" w:eastAsia="Times New Roman" w:hAnsi="Times New Roman" w:cs="Times New Roman"/>
          <w:b/>
          <w:bCs/>
          <w:color w:val="000000"/>
          <w:spacing w:val="5"/>
          <w:sz w:val="24"/>
          <w:szCs w:val="24"/>
          <w:lang w:eastAsia="hr-HR"/>
        </w:rPr>
        <w:t xml:space="preserve">2.A.10 Sažetak planiranog korištenja tehničke pomoći uključujući, po potrebi, aktivnosti kojima se jača administrativni kapacitet nadležnih tijela uključenih u kontrolu i upravljanje programima i korisnicima </w:t>
      </w:r>
      <w:r w:rsidRPr="00576C1D">
        <w:rPr>
          <w:rFonts w:ascii="Times New Roman" w:eastAsia="Times New Roman" w:hAnsi="Times New Roman" w:cs="Times New Roman"/>
          <w:bCs/>
          <w:color w:val="000000"/>
          <w:spacing w:val="5"/>
          <w:sz w:val="24"/>
          <w:szCs w:val="24"/>
          <w:lang w:eastAsia="hr-HR"/>
        </w:rPr>
        <w:t>(po potrebi) (po prioritetnoj osi)</w:t>
      </w:r>
    </w:p>
    <w:tbl>
      <w:tblPr>
        <w:tblStyle w:val="TableGrid"/>
        <w:tblW w:w="0" w:type="auto"/>
        <w:tblLook w:val="04A0" w:firstRow="1" w:lastRow="0" w:firstColumn="1" w:lastColumn="0" w:noHBand="0" w:noVBand="1"/>
      </w:tblPr>
      <w:tblGrid>
        <w:gridCol w:w="4735"/>
        <w:gridCol w:w="10541"/>
      </w:tblGrid>
      <w:tr w:rsidR="00470BE0" w:rsidRPr="006A4AA8" w:rsidTr="00470BE0">
        <w:tc>
          <w:tcPr>
            <w:tcW w:w="4735" w:type="dxa"/>
            <w:vAlign w:val="center"/>
          </w:tcPr>
          <w:p w:rsidR="00470BE0" w:rsidRPr="006A4AA8" w:rsidRDefault="00470BE0" w:rsidP="001A0292">
            <w:pPr>
              <w:rPr>
                <w:rFonts w:ascii="Times New Roman" w:hAnsi="Times New Roman"/>
              </w:rPr>
            </w:pPr>
            <w:r w:rsidRPr="006A4AA8">
              <w:rPr>
                <w:rFonts w:ascii="Times New Roman" w:hAnsi="Times New Roman"/>
                <w:b/>
              </w:rPr>
              <w:t>Prioritetna os</w:t>
            </w:r>
          </w:p>
        </w:tc>
        <w:tc>
          <w:tcPr>
            <w:tcW w:w="10541" w:type="dxa"/>
            <w:vAlign w:val="center"/>
          </w:tcPr>
          <w:p w:rsidR="00470BE0" w:rsidRPr="006A4AA8" w:rsidRDefault="00470BE0" w:rsidP="001A0292">
            <w:pPr>
              <w:rPr>
                <w:rFonts w:ascii="Times New Roman" w:hAnsi="Times New Roman"/>
              </w:rPr>
            </w:pPr>
            <w:r w:rsidRPr="006A4AA8">
              <w:rPr>
                <w:rFonts w:ascii="Times New Roman" w:hAnsi="Times New Roman"/>
                <w:b/>
                <w:bCs/>
                <w:color w:val="000000"/>
                <w:spacing w:val="2"/>
              </w:rPr>
              <w:t>3 - Poslovna konkurentnost</w:t>
            </w:r>
          </w:p>
        </w:tc>
      </w:tr>
      <w:tr w:rsidR="00470BE0" w:rsidRPr="006A4AA8" w:rsidTr="00470BE0">
        <w:tc>
          <w:tcPr>
            <w:tcW w:w="15276" w:type="dxa"/>
            <w:gridSpan w:val="2"/>
            <w:vAlign w:val="center"/>
          </w:tcPr>
          <w:p w:rsidR="00470BE0" w:rsidRPr="006A4AA8" w:rsidRDefault="00470BE0" w:rsidP="001A0292">
            <w:pPr>
              <w:widowControl w:val="0"/>
              <w:shd w:val="clear" w:color="auto" w:fill="FFFFFF"/>
              <w:autoSpaceDE w:val="0"/>
              <w:autoSpaceDN w:val="0"/>
              <w:adjustRightInd w:val="0"/>
              <w:rPr>
                <w:rFonts w:ascii="Times New Roman" w:hAnsi="Times New Roman"/>
                <w:color w:val="000000"/>
                <w:spacing w:val="-1"/>
              </w:rPr>
            </w:pPr>
            <w:r w:rsidRPr="006A4AA8">
              <w:rPr>
                <w:rFonts w:ascii="Times New Roman" w:hAnsi="Times New Roman"/>
                <w:color w:val="000000"/>
                <w:spacing w:val="-1"/>
              </w:rPr>
              <w:t>Glavne vrste mjera tehničke pomoći posebno namijenjene potpori prioritetne osi 3 su sljedeće:</w:t>
            </w:r>
          </w:p>
          <w:p w:rsidR="00470BE0" w:rsidRPr="006A4AA8" w:rsidRDefault="00470BE0" w:rsidP="001A0292">
            <w:pPr>
              <w:widowControl w:val="0"/>
              <w:shd w:val="clear" w:color="auto" w:fill="FFFFFF"/>
              <w:autoSpaceDE w:val="0"/>
              <w:autoSpaceDN w:val="0"/>
              <w:adjustRightInd w:val="0"/>
              <w:rPr>
                <w:rFonts w:ascii="Times New Roman" w:hAnsi="Times New Roman"/>
                <w:color w:val="000000"/>
                <w:spacing w:val="-1"/>
              </w:rPr>
            </w:pPr>
            <w:r w:rsidRPr="006A4AA8">
              <w:rPr>
                <w:rFonts w:ascii="Times New Roman" w:hAnsi="Times New Roman"/>
                <w:color w:val="000000"/>
                <w:spacing w:val="-1"/>
              </w:rPr>
              <w:t>•</w:t>
            </w:r>
            <w:r w:rsidRPr="006A4AA8">
              <w:rPr>
                <w:rFonts w:ascii="Times New Roman" w:hAnsi="Times New Roman"/>
                <w:color w:val="000000"/>
                <w:spacing w:val="-1"/>
              </w:rPr>
              <w:tab/>
              <w:t>jačanje administrativnih i tehničkih kapaciteta institucija odgovornih za primjenu i provedbu politika vezanih za poduzetništvo (od državne razine do lokalnih vlasti i službi za koje su odgovorne);</w:t>
            </w:r>
          </w:p>
          <w:p w:rsidR="00470BE0" w:rsidRPr="006A4AA8" w:rsidRDefault="00470BE0" w:rsidP="001A0292">
            <w:pPr>
              <w:widowControl w:val="0"/>
              <w:shd w:val="clear" w:color="auto" w:fill="FFFFFF"/>
              <w:autoSpaceDE w:val="0"/>
              <w:autoSpaceDN w:val="0"/>
              <w:adjustRightInd w:val="0"/>
              <w:rPr>
                <w:rFonts w:ascii="Times New Roman" w:hAnsi="Times New Roman"/>
                <w:color w:val="000000"/>
                <w:spacing w:val="-1"/>
              </w:rPr>
            </w:pPr>
            <w:r w:rsidRPr="006A4AA8">
              <w:rPr>
                <w:rFonts w:ascii="Times New Roman" w:hAnsi="Times New Roman"/>
                <w:color w:val="000000"/>
                <w:spacing w:val="-1"/>
              </w:rPr>
              <w:t>•</w:t>
            </w:r>
            <w:r w:rsidRPr="006A4AA8">
              <w:rPr>
                <w:rFonts w:ascii="Times New Roman" w:hAnsi="Times New Roman"/>
                <w:color w:val="000000"/>
                <w:spacing w:val="-1"/>
              </w:rPr>
              <w:tab/>
              <w:t xml:space="preserve">podizanje javne svijesti i obrazovanja povezanih s aktivnostima u okviru ove prioritetne osi; </w:t>
            </w:r>
          </w:p>
          <w:p w:rsidR="00470BE0" w:rsidRPr="006A4AA8" w:rsidRDefault="00470BE0" w:rsidP="001A0292">
            <w:pPr>
              <w:widowControl w:val="0"/>
              <w:shd w:val="clear" w:color="auto" w:fill="FFFFFF"/>
              <w:autoSpaceDE w:val="0"/>
              <w:autoSpaceDN w:val="0"/>
              <w:adjustRightInd w:val="0"/>
              <w:rPr>
                <w:rFonts w:ascii="Times New Roman" w:hAnsi="Times New Roman"/>
                <w:color w:val="000000"/>
                <w:spacing w:val="-1"/>
              </w:rPr>
            </w:pPr>
            <w:r w:rsidRPr="006A4AA8">
              <w:rPr>
                <w:rFonts w:ascii="Times New Roman" w:hAnsi="Times New Roman"/>
                <w:color w:val="000000"/>
                <w:spacing w:val="-1"/>
              </w:rPr>
              <w:t>•</w:t>
            </w:r>
            <w:r w:rsidRPr="006A4AA8">
              <w:rPr>
                <w:rFonts w:ascii="Times New Roman" w:hAnsi="Times New Roman"/>
                <w:color w:val="000000"/>
                <w:spacing w:val="-1"/>
              </w:rPr>
              <w:tab/>
              <w:t>tehnička pomoć u obliku pripreme baze projekata za trenutno razdoblje financiranja, ali i za sljedeće;</w:t>
            </w:r>
          </w:p>
          <w:p w:rsidR="00470BE0" w:rsidRPr="006A4AA8" w:rsidRDefault="00470BE0" w:rsidP="001A0292">
            <w:pPr>
              <w:widowControl w:val="0"/>
              <w:shd w:val="clear" w:color="auto" w:fill="FFFFFF"/>
              <w:autoSpaceDE w:val="0"/>
              <w:autoSpaceDN w:val="0"/>
              <w:adjustRightInd w:val="0"/>
              <w:rPr>
                <w:rFonts w:ascii="Times New Roman" w:hAnsi="Times New Roman"/>
                <w:color w:val="000000"/>
                <w:spacing w:val="-1"/>
              </w:rPr>
            </w:pPr>
            <w:r w:rsidRPr="006A4AA8">
              <w:rPr>
                <w:rFonts w:ascii="Times New Roman" w:hAnsi="Times New Roman"/>
                <w:color w:val="000000"/>
                <w:spacing w:val="-1"/>
              </w:rPr>
              <w:t>•</w:t>
            </w:r>
            <w:r w:rsidRPr="006A4AA8">
              <w:rPr>
                <w:rFonts w:ascii="Times New Roman" w:hAnsi="Times New Roman"/>
                <w:color w:val="000000"/>
                <w:spacing w:val="-1"/>
              </w:rPr>
              <w:tab/>
              <w:t>potpora razvoju specifičnih studija iznad razine projekta, npr. studija regije ili podsektora, generiranje podataka itd. kako bi se olakšala provedba prioritetne osi;</w:t>
            </w:r>
          </w:p>
          <w:p w:rsidR="00470BE0" w:rsidRPr="006A4AA8" w:rsidRDefault="00470BE0" w:rsidP="001A0292">
            <w:pPr>
              <w:widowControl w:val="0"/>
              <w:shd w:val="clear" w:color="auto" w:fill="FFFFFF"/>
              <w:autoSpaceDE w:val="0"/>
              <w:autoSpaceDN w:val="0"/>
              <w:adjustRightInd w:val="0"/>
              <w:rPr>
                <w:rFonts w:ascii="Times New Roman" w:hAnsi="Times New Roman"/>
                <w:color w:val="000000"/>
                <w:spacing w:val="-1"/>
              </w:rPr>
            </w:pPr>
            <w:r w:rsidRPr="006A4AA8">
              <w:rPr>
                <w:rFonts w:ascii="Times New Roman" w:hAnsi="Times New Roman"/>
                <w:color w:val="000000"/>
                <w:spacing w:val="-1"/>
              </w:rPr>
              <w:t>Tehnička pomoć u uspostavi sustava financijskih instrumenata, upravljanja njima, njihovog praćenja, evaluacije, procjene rizika povezane s njima i ostalih analiza nužnih za razvoj dodatnih financijskih instrumenata, promjene investicijske strategije itd.</w:t>
            </w:r>
          </w:p>
        </w:tc>
      </w:tr>
    </w:tbl>
    <w:p w:rsidR="00470BE0" w:rsidRDefault="00470BE0" w:rsidP="00FC3F35">
      <w:pPr>
        <w:widowControl w:val="0"/>
        <w:shd w:val="clear" w:color="auto" w:fill="FFFFFF"/>
        <w:autoSpaceDE w:val="0"/>
        <w:autoSpaceDN w:val="0"/>
        <w:adjustRightInd w:val="0"/>
        <w:spacing w:before="509" w:after="240" w:line="278" w:lineRule="exact"/>
        <w:ind w:left="1392" w:hanging="854"/>
        <w:rPr>
          <w:rFonts w:ascii="Times New Roman" w:eastAsia="Times New Roman" w:hAnsi="Times New Roman" w:cs="Times New Roman"/>
          <w:bCs/>
          <w:color w:val="000000"/>
          <w:spacing w:val="5"/>
          <w:sz w:val="24"/>
          <w:szCs w:val="24"/>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363"/>
        <w:gridCol w:w="2582"/>
        <w:gridCol w:w="8496"/>
      </w:tblGrid>
      <w:tr w:rsidR="00FC3F35" w:rsidRPr="00576C1D" w:rsidTr="00FC3F35">
        <w:trPr>
          <w:trHeight w:hRule="exact" w:val="346"/>
        </w:trPr>
        <w:tc>
          <w:tcPr>
            <w:tcW w:w="270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5"/>
                <w:sz w:val="24"/>
                <w:szCs w:val="24"/>
                <w:lang w:eastAsia="hr-HR"/>
              </w:rPr>
              <w:t>2.A.I Prioritetna os</w:t>
            </w:r>
          </w:p>
        </w:tc>
        <w:tc>
          <w:tcPr>
            <w:tcW w:w="136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8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49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51"/>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prioritetne osi</w:t>
            </w:r>
          </w:p>
        </w:tc>
        <w:tc>
          <w:tcPr>
            <w:tcW w:w="1363"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4</w:t>
            </w:r>
          </w:p>
        </w:tc>
        <w:tc>
          <w:tcPr>
            <w:tcW w:w="258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496"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7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Naziv prioritetne osi</w:t>
            </w:r>
          </w:p>
        </w:tc>
        <w:tc>
          <w:tcPr>
            <w:tcW w:w="1244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Promicanje energetske učinkovitosti i obnovljivih izvora energije</w:t>
            </w:r>
          </w:p>
        </w:tc>
      </w:tr>
    </w:tbl>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isključivo kroz financijske instrumente</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isključivo kroz financijske instrumente uspostavljene na razini Unije</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putem lokalnog razvoja kojeg predvodi zajednica</w:t>
      </w:r>
    </w:p>
    <w:p w:rsidR="00FC3F35"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Za ESF: Cjelokupna prioritetna os posvećena je socijalnim inovacijama ili međudržavnoj suradnji, ili i jednom i drugom</w:t>
      </w:r>
    </w:p>
    <w:p w:rsidR="00470BE0" w:rsidRPr="00576C1D" w:rsidRDefault="00470BE0" w:rsidP="00470BE0">
      <w:pPr>
        <w:widowControl w:val="0"/>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p>
    <w:p w:rsidR="00470BE0" w:rsidRDefault="00470BE0" w:rsidP="00FC3F35">
      <w:pPr>
        <w:widowControl w:val="0"/>
        <w:shd w:val="clear" w:color="auto" w:fill="FFFFFF"/>
        <w:autoSpaceDE w:val="0"/>
        <w:autoSpaceDN w:val="0"/>
        <w:adjustRightInd w:val="0"/>
        <w:spacing w:before="518" w:after="0" w:line="274" w:lineRule="exact"/>
        <w:ind w:left="542" w:right="1325"/>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before="518" w:after="0" w:line="274" w:lineRule="exact"/>
        <w:ind w:left="542" w:right="13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 xml:space="preserve">2.A.2 Opravdanje za uspostavu prioritetne osi koja obuhvaća više od jedne kategorije regije, tematskog cilja ili fonda </w:t>
      </w:r>
      <w:r w:rsidRPr="00576C1D">
        <w:rPr>
          <w:rFonts w:ascii="Times New Roman" w:eastAsia="Times New Roman" w:hAnsi="Times New Roman" w:cs="Times New Roman"/>
          <w:bCs/>
          <w:color w:val="000000"/>
          <w:spacing w:val="-1"/>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2.A.3 Fond, kategorija regije i obračunska osnovica za potporu Unije</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Obračunska osnovica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Kategorija regije za najudaljenije regije i sjeverne rijetko naseljene regije (po potrebi)</w:t>
            </w:r>
          </w:p>
        </w:tc>
      </w:tr>
      <w:tr w:rsidR="00FC3F35" w:rsidRPr="00576C1D" w:rsidTr="00FC3F35">
        <w:trPr>
          <w:trHeight w:hRule="exact" w:val="47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EFRR</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Manje razvijena</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Ukupni iznos</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56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698"/>
        <w:gridCol w:w="1267"/>
        <w:gridCol w:w="912"/>
        <w:gridCol w:w="1622"/>
        <w:gridCol w:w="8640"/>
      </w:tblGrid>
      <w:tr w:rsidR="00FC3F35" w:rsidRPr="00576C1D" w:rsidTr="00FC3F35">
        <w:trPr>
          <w:trHeight w:hRule="exact" w:val="346"/>
        </w:trPr>
        <w:tc>
          <w:tcPr>
            <w:tcW w:w="15139" w:type="dxa"/>
            <w:gridSpan w:val="5"/>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r>
      <w:tr w:rsidR="00FC3F35" w:rsidRPr="00576C1D" w:rsidTr="00FC3F35">
        <w:trPr>
          <w:trHeight w:hRule="exact" w:val="486"/>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1267"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4b</w:t>
            </w:r>
          </w:p>
        </w:tc>
        <w:tc>
          <w:tcPr>
            <w:tcW w:w="91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2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640"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55"/>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2441"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Promicanje energetske učinkovitosti i korištenja obnovljivih izvora energije u poduzećima</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197"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tbl>
      <w:tblPr>
        <w:tblStyle w:val="TableGrid"/>
        <w:tblW w:w="0" w:type="auto"/>
        <w:tblLook w:val="04A0" w:firstRow="1" w:lastRow="0" w:firstColumn="1" w:lastColumn="0" w:noHBand="0" w:noVBand="1"/>
      </w:tblPr>
      <w:tblGrid>
        <w:gridCol w:w="2802"/>
        <w:gridCol w:w="12474"/>
      </w:tblGrid>
      <w:tr w:rsidR="009B2CD9" w:rsidRPr="009B2CD9" w:rsidTr="009B2CD9">
        <w:tc>
          <w:tcPr>
            <w:tcW w:w="2802" w:type="dxa"/>
            <w:vAlign w:val="center"/>
          </w:tcPr>
          <w:p w:rsidR="009B2CD9" w:rsidRPr="009B2CD9" w:rsidRDefault="009B2CD9" w:rsidP="001A0292">
            <w:pPr>
              <w:rPr>
                <w:rFonts w:ascii="Times New Roman" w:hAnsi="Times New Roman"/>
              </w:rPr>
            </w:pPr>
            <w:r w:rsidRPr="009B2CD9">
              <w:rPr>
                <w:rFonts w:ascii="Times New Roman" w:hAnsi="Times New Roman"/>
                <w:b/>
                <w:bCs/>
                <w:color w:val="000000"/>
                <w:spacing w:val="-2"/>
              </w:rPr>
              <w:t>Oznaka prioritetne os</w:t>
            </w:r>
            <w:r w:rsidRPr="009B2CD9">
              <w:rPr>
                <w:rFonts w:ascii="Times New Roman" w:hAnsi="Times New Roman"/>
              </w:rPr>
              <w:t>i</w:t>
            </w:r>
          </w:p>
        </w:tc>
        <w:tc>
          <w:tcPr>
            <w:tcW w:w="12474" w:type="dxa"/>
            <w:vAlign w:val="center"/>
          </w:tcPr>
          <w:p w:rsidR="009B2CD9" w:rsidRPr="009B2CD9" w:rsidRDefault="009B2CD9" w:rsidP="001A0292">
            <w:pPr>
              <w:rPr>
                <w:rFonts w:ascii="Times New Roman" w:hAnsi="Times New Roman"/>
              </w:rPr>
            </w:pPr>
            <w:r w:rsidRPr="009B2CD9">
              <w:rPr>
                <w:rFonts w:ascii="Times New Roman" w:hAnsi="Times New Roman"/>
              </w:rPr>
              <w:t>4b 1</w:t>
            </w:r>
          </w:p>
        </w:tc>
      </w:tr>
      <w:tr w:rsidR="009B2CD9" w:rsidRPr="009B2CD9" w:rsidTr="009B2CD9">
        <w:tc>
          <w:tcPr>
            <w:tcW w:w="2802" w:type="dxa"/>
            <w:vAlign w:val="center"/>
          </w:tcPr>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b/>
              </w:rPr>
              <w:t>Naziv specifičnog cilja</w:t>
            </w:r>
          </w:p>
        </w:tc>
        <w:tc>
          <w:tcPr>
            <w:tcW w:w="12474" w:type="dxa"/>
            <w:vAlign w:val="center"/>
          </w:tcPr>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7"/>
              </w:rPr>
              <w:t>Povećanje energetske učinkovitosti i korištenja OIE u proizvodnim/prerađivačkim industrijama</w:t>
            </w:r>
          </w:p>
        </w:tc>
      </w:tr>
      <w:tr w:rsidR="009B2CD9" w:rsidRPr="009B2CD9" w:rsidTr="009B2CD9">
        <w:tc>
          <w:tcPr>
            <w:tcW w:w="2802" w:type="dxa"/>
            <w:vAlign w:val="center"/>
          </w:tcPr>
          <w:p w:rsidR="009B2CD9" w:rsidRPr="009B2CD9" w:rsidRDefault="009B2CD9" w:rsidP="001A0292">
            <w:pPr>
              <w:widowControl w:val="0"/>
              <w:shd w:val="clear" w:color="auto" w:fill="FFFFFF"/>
              <w:autoSpaceDE w:val="0"/>
              <w:autoSpaceDN w:val="0"/>
              <w:adjustRightInd w:val="0"/>
              <w:spacing w:line="206" w:lineRule="exact"/>
              <w:ind w:left="10"/>
              <w:rPr>
                <w:rFonts w:ascii="Times New Roman" w:hAnsi="Times New Roman"/>
              </w:rPr>
            </w:pPr>
            <w:r w:rsidRPr="009B2CD9">
              <w:rPr>
                <w:rFonts w:ascii="Times New Roman" w:hAnsi="Times New Roman"/>
                <w:b/>
                <w:bCs/>
              </w:rPr>
              <w:t>Rezultati koje države članice žele postići pomoću podrške Unije</w:t>
            </w:r>
          </w:p>
          <w:p w:rsidR="009B2CD9" w:rsidRPr="009B2CD9" w:rsidRDefault="009B2CD9" w:rsidP="001A0292">
            <w:pPr>
              <w:rPr>
                <w:rFonts w:ascii="Times New Roman" w:hAnsi="Times New Roman"/>
              </w:rPr>
            </w:pPr>
          </w:p>
        </w:tc>
        <w:tc>
          <w:tcPr>
            <w:tcW w:w="12474" w:type="dxa"/>
            <w:vAlign w:val="center"/>
          </w:tcPr>
          <w:p w:rsidR="009B2CD9" w:rsidRPr="009B2CD9" w:rsidRDefault="009B2CD9" w:rsidP="001A0292">
            <w:pPr>
              <w:rPr>
                <w:rFonts w:ascii="Times New Roman" w:hAnsi="Times New Roman"/>
              </w:rPr>
            </w:pPr>
            <w:r w:rsidRPr="009B2CD9">
              <w:rPr>
                <w:rFonts w:ascii="Times New Roman" w:hAnsi="Times New Roman"/>
                <w:b/>
                <w:bCs/>
                <w:color w:val="000000"/>
                <w:spacing w:val="2"/>
              </w:rPr>
              <w:t>3 - Poslovna konkurentnost</w:t>
            </w:r>
          </w:p>
        </w:tc>
      </w:tr>
      <w:tr w:rsidR="009B2CD9" w:rsidRPr="009B2CD9" w:rsidTr="009B2CD9">
        <w:tc>
          <w:tcPr>
            <w:tcW w:w="15276" w:type="dxa"/>
            <w:gridSpan w:val="2"/>
            <w:vAlign w:val="center"/>
          </w:tcPr>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U 2011. je udio industrijskog sektora u konačnoj potrošnji energije bio 18 %, a uglavnom se temeljio na ugljikovodicima u smislu izvora (više od 65%). Trend u potrošnji energije unutar industrije je negativan, sa zabilježenih 24 % smanjenja u razdoblju od 2007. do 2011., prvenstveno zbog sveobuhvatnih općih problema u gospodarskim aktivnostima i proizvodnji. Trend opadanja potrošnje energije prisutan je u gotovo svim prerađivačkim industrijama, a razlikuje se samo intenzitetom (npr. 13,6 % u kemijskom sektoru, 9,8 % u sektoru proizvodnje građevinskog materijala, 2,1 % u sektoru papirne industrije i 1,4 % u industrijama metala).</w:t>
            </w: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Svrha ovog specifičnog cilja je podupirati mjere kojima bi se doprinijelo poboljšanju energetske učinkovitosti i uvođenju obnovljivih izvora energije (ili prelasku na njih) u sektoru proizvodnje, uključujući posebice sljedeće vrste industrija: industrija željeza i čelika, obojenih metala,  nemetala, kemijska i petrokemijska industrija, industrija transportnih sredstava, prerada stakla, proizvodnja građevinskog materijala, rudarstvo i vađenje, tekstilna, odjevna i kožnoprerađivačka industrija, industrija papira i tiskarstvo, strojarstvo i ostale metalne i druge industrije, isključujući proizvodnju hrane i pića i duhansku industriju.</w:t>
            </w: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U drugom Nacionalnom akcijskom planu energetske učinkovitosti procjenjuje se da bi ušteda u sektoru industrije koji ne obuhvaća sustav trgovanja emisijama tvorila 17 % ukupne uštede koja se namjerava ostvariti do 2016. Sektor industrije također ima važnu ulogu u postizanju ciljeva u pogledu obnovljivih izvora energije za 2020., posebice za cilj definiran u Nacionalnom akcijskom planu energetske učinkovitosti do 2020., koji se odnosi na povećanje korištenja obnovljivih izvora energije u konačnoj potrošnji energije za potrebe grijanja i hlađenja, s 13,5 % u 2012. do 19,6 % u 2020.</w:t>
            </w: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Ne samo da će se tim mjerama pridonijeti postizanju nacionalnih i europskih ciljeva u vezi s energetskim/klimatskim promjenama, već će one dovesti i do veće konkurentnosti poduzeća uslijed poboljšanja energetske učinkovitosti i naprednijeg gospodarenja energijom u općenitom smislu. Važno je napomenuti da ovaj specifični cilj obuhvaća sva poduzeća (ne samo MSP-</w:t>
            </w:r>
            <w:r w:rsidRPr="009B2CD9">
              <w:rPr>
                <w:rFonts w:ascii="Times New Roman" w:hAnsi="Times New Roman"/>
                <w:color w:val="000000"/>
                <w:spacing w:val="-1"/>
              </w:rPr>
              <w:lastRenderedPageBreak/>
              <w:t>ove), no podliježe relevantnim pravilima o državnoj potpori.</w:t>
            </w: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Na temelju projekcija 3. Nacionalnog akcijskog plana energetske učinkovitosti povezanih s potrebnim mjerama i njihovim troškovima, procjenjuje se da bi sredstva alocirana temeljem ovoga specifičnog cilja omogućila postizanje približno 30 % cilja (namjene) smanjenja potrošnje energije u industrijskom sektoru do 2020.</w:t>
            </w:r>
          </w:p>
        </w:tc>
      </w:tr>
      <w:tr w:rsidR="009B2CD9" w:rsidRPr="009B2CD9" w:rsidTr="009B2CD9">
        <w:tc>
          <w:tcPr>
            <w:tcW w:w="2802" w:type="dxa"/>
            <w:vAlign w:val="center"/>
          </w:tcPr>
          <w:p w:rsidR="009B2CD9" w:rsidRPr="009B2CD9" w:rsidRDefault="009B2CD9" w:rsidP="001A0292">
            <w:pPr>
              <w:rPr>
                <w:rFonts w:ascii="Times New Roman" w:hAnsi="Times New Roman"/>
              </w:rPr>
            </w:pPr>
            <w:r w:rsidRPr="009B2CD9">
              <w:rPr>
                <w:rFonts w:ascii="Times New Roman" w:hAnsi="Times New Roman"/>
                <w:b/>
                <w:bCs/>
                <w:color w:val="000000"/>
                <w:spacing w:val="-2"/>
              </w:rPr>
              <w:lastRenderedPageBreak/>
              <w:t>Oznaka prioritetne os</w:t>
            </w:r>
            <w:r w:rsidRPr="009B2CD9">
              <w:rPr>
                <w:rFonts w:ascii="Times New Roman" w:hAnsi="Times New Roman"/>
              </w:rPr>
              <w:t>i</w:t>
            </w:r>
          </w:p>
        </w:tc>
        <w:tc>
          <w:tcPr>
            <w:tcW w:w="12474" w:type="dxa"/>
            <w:vAlign w:val="center"/>
          </w:tcPr>
          <w:p w:rsidR="009B2CD9" w:rsidRPr="009B2CD9" w:rsidRDefault="009B2CD9" w:rsidP="001A0292">
            <w:pPr>
              <w:rPr>
                <w:rFonts w:ascii="Times New Roman" w:hAnsi="Times New Roman"/>
              </w:rPr>
            </w:pPr>
            <w:r w:rsidRPr="009B2CD9">
              <w:rPr>
                <w:rFonts w:ascii="Times New Roman" w:hAnsi="Times New Roman"/>
              </w:rPr>
              <w:t>4b 2</w:t>
            </w:r>
          </w:p>
        </w:tc>
      </w:tr>
      <w:tr w:rsidR="009B2CD9" w:rsidRPr="009B2CD9" w:rsidTr="009B2CD9">
        <w:tc>
          <w:tcPr>
            <w:tcW w:w="2802" w:type="dxa"/>
            <w:vAlign w:val="center"/>
          </w:tcPr>
          <w:p w:rsidR="009B2CD9" w:rsidRPr="009B2CD9" w:rsidRDefault="009B2CD9" w:rsidP="001A0292">
            <w:pPr>
              <w:rPr>
                <w:rFonts w:ascii="Times New Roman" w:hAnsi="Times New Roman"/>
                <w:b/>
                <w:bCs/>
                <w:color w:val="000000"/>
                <w:spacing w:val="-2"/>
              </w:rPr>
            </w:pPr>
            <w:r w:rsidRPr="009B2CD9">
              <w:rPr>
                <w:rFonts w:ascii="Times New Roman" w:hAnsi="Times New Roman"/>
                <w:b/>
              </w:rPr>
              <w:t>Naziv specifičnog cilja</w:t>
            </w:r>
          </w:p>
        </w:tc>
        <w:tc>
          <w:tcPr>
            <w:tcW w:w="12474" w:type="dxa"/>
            <w:vAlign w:val="center"/>
          </w:tcPr>
          <w:p w:rsidR="009B2CD9" w:rsidRPr="009B2CD9" w:rsidRDefault="009B2CD9" w:rsidP="001A0292">
            <w:pPr>
              <w:rPr>
                <w:rFonts w:ascii="Times New Roman" w:hAnsi="Times New Roman"/>
              </w:rPr>
            </w:pPr>
            <w:r w:rsidRPr="009B2CD9">
              <w:rPr>
                <w:rFonts w:ascii="Times New Roman" w:hAnsi="Times New Roman"/>
                <w:color w:val="000000"/>
                <w:spacing w:val="-1"/>
              </w:rPr>
              <w:t>Povećanje energetske učinkovitosti i korištenja OIE u privatnom uslužnom sektoru (turizam, trgovina)</w:t>
            </w:r>
          </w:p>
        </w:tc>
      </w:tr>
      <w:tr w:rsidR="009B2CD9" w:rsidRPr="009B2CD9" w:rsidTr="009B2CD9">
        <w:tc>
          <w:tcPr>
            <w:tcW w:w="15276" w:type="dxa"/>
            <w:gridSpan w:val="2"/>
            <w:vAlign w:val="center"/>
          </w:tcPr>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U 2011. je udio uslužnog sektora u konačnoj potrošnji energije bio 12 %, a u smislu izvora se uglavnom temeljio na ugljikovodicima. Dok je potrošnju energije u industriji obilježio silazni trend, uslužni sektor je imao stabilnu putanju rasta u smislu njegovog udjela u konačnoj potrošnji do 2011., uglavnom zbog turističkog sektora.</w:t>
            </w: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Svrha ovog specifičnog cilja je poticati mjere kojima bi se doprinijelo poboljšanju energetske učinkovitosti i uvođenju obnovljivih izvora energije (ili prelasku na njih) u sektoru komercijalnih usluga, posebno u podsektorima turizma i trgovine. Od ukupnog broja objekata (zgrada) iz sektora komercijalnih usluga, oko 10 % otpada na turističke a oko 30 % na trgovačke objekte. Imajući u vidu ne samo njihov opseg (u smislu BDP-a), već i njihovu stratešku važnost za zemlju i potencijal za uštedu energije i uvođenje obnovljivih izvora energije, ovaj strateški cilj će biti fokusiran na usluge povezane s turizmom.</w:t>
            </w: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U drugom Nacionalnom akcijskom planu energetske učinkovitosti procjenjuje se da bi ušteda u sektoru usluga tvorila 19 % u ukupnoj uštedi koja se namjerava ostvariti do 2016. Sektor usluga također ima važnu ulogu u postizanju ciljeva u pogledu obnovljivih izvora energije za 2020., posebice za cilj koji se odnosi na povećanje korištenja obnovljivih izvora energije u konačnoj potrošnji energije za potrebe grijanja i hlađenja. Potonji cilj je od posebnog značenja budući da je oko 45 % konačne potrošnje energije u poslovnim zgradama u južnom dijelu Hrvatske namijenjeno samo hlađenju. Stoga je predviđeno da će većina ulaganja biti usmjerena na proizvodnju solarne energije i mjere za povećavanje učinkovitosti rashladnih sustava.</w:t>
            </w: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Ne samo da će se tim mjerama pridonijeti postizanju nacionalnih i europskih ciljeva u vezi s energetskih/klimatskih promjena, već će one pridonijeti većoj konkurentnosti. Važno je napomenuti da ovaj specifični cilj obuhvaća sve pružatelje usluga (ne samo MSP-ove), no podliježe relevantnim pravilima o državnoj potpori.</w:t>
            </w: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p>
          <w:p w:rsidR="009B2CD9" w:rsidRPr="009B2CD9" w:rsidRDefault="009B2CD9" w:rsidP="001A0292">
            <w:pPr>
              <w:widowControl w:val="0"/>
              <w:shd w:val="clear" w:color="auto" w:fill="FFFFFF"/>
              <w:autoSpaceDE w:val="0"/>
              <w:autoSpaceDN w:val="0"/>
              <w:adjustRightInd w:val="0"/>
              <w:rPr>
                <w:rFonts w:ascii="Times New Roman" w:hAnsi="Times New Roman"/>
                <w:color w:val="000000"/>
                <w:spacing w:val="-1"/>
              </w:rPr>
            </w:pPr>
            <w:r w:rsidRPr="009B2CD9">
              <w:rPr>
                <w:rFonts w:ascii="Times New Roman" w:hAnsi="Times New Roman"/>
                <w:color w:val="000000"/>
                <w:spacing w:val="-1"/>
              </w:rPr>
              <w:t>Na temelju projekcija trećeg Nacionalnog akcijskog plana energetske učinkovitosti povezanih s potrebnim mjerama i njihovim troškovima, procjenjuje se da bi sredstva alocirana temeljem ovoga specifičnog cilja omogućila postizanje približno 30 % cilja smanjenja potrošnje energije u uslužnom sektoru do 2020</w:t>
            </w:r>
            <w:r w:rsidR="00082CF4">
              <w:rPr>
                <w:rFonts w:ascii="Times New Roman" w:hAnsi="Times New Roman"/>
                <w:color w:val="000000"/>
                <w:spacing w:val="-1"/>
              </w:rPr>
              <w:t xml:space="preserve"> godine</w:t>
            </w:r>
            <w:r w:rsidRPr="009B2CD9">
              <w:rPr>
                <w:rFonts w:ascii="Times New Roman" w:hAnsi="Times New Roman"/>
                <w:color w:val="000000"/>
                <w:spacing w:val="-1"/>
              </w:rPr>
              <w:t>.</w:t>
            </w:r>
          </w:p>
        </w:tc>
      </w:tr>
    </w:tbl>
    <w:p w:rsidR="009B2CD9" w:rsidRDefault="009B2CD9" w:rsidP="00FC3F35">
      <w:pPr>
        <w:widowControl w:val="0"/>
        <w:shd w:val="clear" w:color="auto" w:fill="FFFFFF"/>
        <w:autoSpaceDE w:val="0"/>
        <w:autoSpaceDN w:val="0"/>
        <w:adjustRightInd w:val="0"/>
        <w:spacing w:after="197" w:line="240" w:lineRule="auto"/>
        <w:ind w:left="538"/>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sz w:val="20"/>
                <w:szCs w:val="20"/>
                <w:lang w:eastAsia="hr-HR"/>
              </w:rPr>
              <w:t>4bl - Povećanje energetske učinkovitosti i korištenja OIE u proizvodnim industrijama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499"/>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4bl2</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2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Ušteda energije u industrijskoj proizvodnji</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PJ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1"/>
                <w:sz w:val="16"/>
                <w:szCs w:val="16"/>
                <w:lang w:eastAsia="hr-HR"/>
              </w:rPr>
              <w:t>1,21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2010.</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0"/>
                <w:sz w:val="16"/>
                <w:szCs w:val="16"/>
                <w:lang w:eastAsia="hr-HR"/>
              </w:rPr>
              <w:t>1,91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9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gospodarstva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3F35">
        <w:trPr>
          <w:trHeight w:hRule="exact" w:val="69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4bll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Povećanje udjela obnovljive energije u bruto konačnoj potrošnji energije u proizvodnji</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1000 tona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51,00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56,00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9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gospodarstva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sz w:val="20"/>
                <w:szCs w:val="20"/>
                <w:lang w:eastAsia="hr-HR"/>
              </w:rPr>
              <w:t>4b2 - Povećanje energetske učinkovitosti i korištenja OIE u privatnom uslužnom sektoru (turizam, trgovina)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potrebno)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499"/>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lastRenderedPageBreak/>
              <w:t>4b22</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Ušteda energije u sektoru usluga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PJ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0,33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2010.</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0,63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9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gospodarstva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3F35">
        <w:trPr>
          <w:trHeight w:hRule="exact" w:val="70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4b21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Povećanje udjela obnovljive energije u bruto konačnoj potrošnji energije u sektoru usluga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1000 tona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0"/>
                <w:sz w:val="16"/>
                <w:szCs w:val="16"/>
                <w:lang w:eastAsia="hr-HR"/>
              </w:rPr>
              <w:t>1,45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1,60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9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gospodarstva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4" w:right="541" w:bottom="360" w:left="540" w:header="720" w:footer="720" w:gutter="0"/>
          <w:cols w:num="3" w:space="720" w:equalWidth="0">
            <w:col w:w="720" w:space="6946"/>
            <w:col w:w="720" w:space="6648"/>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2.A.6 Aktivnosti koje će biti podržane u sklopu investicijskog prioriteta</w:t>
      </w:r>
      <w:r w:rsidRPr="00576C1D">
        <w:rPr>
          <w:rFonts w:ascii="Times New Roman" w:eastAsia="Times New Roman" w:hAnsi="Times New Roman" w:cs="Times New Roman"/>
          <w:bCs/>
          <w:color w:val="000000"/>
          <w:sz w:val="24"/>
          <w:szCs w:val="24"/>
          <w:lang w:eastAsia="hr-HR"/>
        </w:rPr>
        <w:t xml:space="preserve"> (po investicijskom prioritetu</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504" w:after="0" w:line="278"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1"/>
        <w:gridCol w:w="10745"/>
      </w:tblGrid>
      <w:tr w:rsidR="009B2CD9" w:rsidRPr="005E763C" w:rsidTr="009B2CD9">
        <w:tc>
          <w:tcPr>
            <w:tcW w:w="4531" w:type="dxa"/>
            <w:vAlign w:val="center"/>
          </w:tcPr>
          <w:p w:rsidR="009B2CD9" w:rsidRPr="005E763C" w:rsidRDefault="009B2CD9" w:rsidP="001A0292">
            <w:pPr>
              <w:rPr>
                <w:rFonts w:ascii="Times New Roman" w:hAnsi="Times New Roman"/>
                <w:sz w:val="24"/>
                <w:szCs w:val="24"/>
              </w:rPr>
            </w:pPr>
            <w:r w:rsidRPr="00593567">
              <w:rPr>
                <w:rFonts w:ascii="Times New Roman" w:hAnsi="Times New Roman"/>
                <w:sz w:val="24"/>
                <w:szCs w:val="24"/>
              </w:rPr>
              <w:t>Investicijski prioritet</w:t>
            </w:r>
          </w:p>
        </w:tc>
        <w:tc>
          <w:tcPr>
            <w:tcW w:w="10745" w:type="dxa"/>
            <w:vAlign w:val="center"/>
          </w:tcPr>
          <w:p w:rsidR="009B2CD9" w:rsidRPr="004C117D"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4b - Promicanje energetske učinkovitosti i korištenja obnovljivih izvora energije u poduzećima</w:t>
            </w:r>
          </w:p>
        </w:tc>
      </w:tr>
      <w:tr w:rsidR="009B2CD9" w:rsidRPr="004C117D" w:rsidTr="009B2CD9">
        <w:tc>
          <w:tcPr>
            <w:tcW w:w="15276" w:type="dxa"/>
            <w:gridSpan w:val="2"/>
            <w:vAlign w:val="center"/>
          </w:tcPr>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Glavne ciljne skupine i korisnici:</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Specifični cilj 4bl i Specifični cilj 4b2</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Poduzeća (uključujući MSP-ove i veća poduzeća)</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 xml:space="preserve">Primjeri aktivnosti koje će biti financirane radi postizanja specifičnih ciljeva: </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Specifični cilj 4bl i Specifični cilj 4b2</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w:t>
            </w:r>
            <w:r w:rsidRPr="00593567">
              <w:rPr>
                <w:rFonts w:ascii="Times New Roman" w:hAnsi="Times New Roman"/>
              </w:rPr>
              <w:tab/>
              <w:t>Razvoj infrastrukture za obnovljive izvore energije u industrijskoj proizvodnji i uslužnom sektoru (turizam i trgovina), uključujući prelazak s konvencionalnih na alternativne izvore energije (OIE) kao što su: ugrađeni solarni kolektori, toplinske pumpe, visoko efikasna kogeneracija;</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w:t>
            </w:r>
            <w:r w:rsidRPr="00593567">
              <w:rPr>
                <w:rFonts w:ascii="Times New Roman" w:hAnsi="Times New Roman"/>
              </w:rPr>
              <w:tab/>
              <w:t>provedba mjera za povećavanje energetske učinkovitosti u industrijskoj proizvodnji i uslužnom sektoru (turizam i trgovina), uključujući:</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w:t>
            </w:r>
            <w:r w:rsidRPr="00593567">
              <w:rPr>
                <w:rFonts w:ascii="Times New Roman" w:hAnsi="Times New Roman"/>
              </w:rPr>
              <w:tab/>
              <w:t>"meke mjere" - uvođenje sustavnog upravljanja energijom, obavljanje energetskih pregleda, kontrola analiza potrošnje energije,</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w:t>
            </w:r>
            <w:r w:rsidRPr="00593567">
              <w:rPr>
                <w:rFonts w:ascii="Times New Roman" w:hAnsi="Times New Roman"/>
              </w:rPr>
              <w:tab/>
              <w:t>pripremu planova za učinkovitije gospodarenje energijom, institucionalnu i organizacijsku procjenu i prijedloge za optimiranje poslovnih procesa u smislu uštede energije;</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w:t>
            </w:r>
            <w:r w:rsidRPr="00593567">
              <w:rPr>
                <w:rFonts w:ascii="Times New Roman" w:hAnsi="Times New Roman"/>
              </w:rPr>
              <w:tab/>
              <w:t xml:space="preserve">infrastrukturna ulaganja poput onih u pametna brojila i obnovu objekata, koja će pridonijeti postizanju ciljeva povezanih s energetskom učinkovitošću,•  unapređenje trenutačno korištenih tehnologija, provedba pilot-projekata; </w:t>
            </w:r>
          </w:p>
          <w:p w:rsidR="009B2CD9" w:rsidRPr="004C117D"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    aktivnosti promoviranja (info pultovi, brošure, reklame, televizijski spotovi) i savjetodavne usluge za poduzeća.Imajući u vidu da su MSP-ovi financirani primarno u okviru Prioritetne osi 3, razgraničenje potencijalnih aktivnosti (povezanih s energijom) između prioritetnih osi PO3 i PO4 će biti osigurano na sljedeći način: ako su mjere povezane s energijom dio cjelovite modernizacije proizvodnih tehnologija, opreme i strojeva (primjerice, kupnja novih proizvodnih tehnologija), bit će financirane u okviru PO3. U slučaju projekata koji obuhvaćaju samo mjere povezane s energijom u MSP-ovima (bilo da se radi o mjerama povezanim s energetskom učinkovitošću ili OIE-ovima), financiranje će se vršiti kroz PO4. Mjere energetske učinkovitosti koje su namijenjene obnovi industrijskih/servisnih objekata (npr. upravne zgrade ili proizvodne hale) bit će financirane kroz PO4.</w:t>
            </w:r>
          </w:p>
        </w:tc>
      </w:tr>
    </w:tbl>
    <w:p w:rsidR="00FC3F35" w:rsidRPr="00576C1D" w:rsidRDefault="00FC3F35"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p>
    <w:p w:rsidR="00FC3F35" w:rsidRDefault="00FC3F35" w:rsidP="00FC3F35">
      <w:pPr>
        <w:widowControl w:val="0"/>
        <w:shd w:val="clear" w:color="auto" w:fill="FFFFFF"/>
        <w:autoSpaceDE w:val="0"/>
        <w:autoSpaceDN w:val="0"/>
        <w:adjustRightInd w:val="0"/>
        <w:spacing w:before="1565" w:after="182" w:line="240" w:lineRule="auto"/>
        <w:ind w:left="590"/>
        <w:rPr>
          <w:rFonts w:ascii="Times New Roman" w:eastAsia="Times New Roman" w:hAnsi="Times New Roman" w:cs="Times New Roman"/>
          <w:b/>
          <w:i/>
          <w:iCs/>
          <w:color w:val="000000"/>
          <w:spacing w:val="1"/>
          <w:sz w:val="24"/>
          <w:szCs w:val="24"/>
          <w:lang w:eastAsia="hr-HR"/>
        </w:rPr>
      </w:pPr>
      <w:r w:rsidRPr="00576C1D">
        <w:rPr>
          <w:rFonts w:ascii="Times New Roman" w:eastAsia="Times New Roman" w:hAnsi="Times New Roman" w:cs="Times New Roman"/>
          <w:b/>
          <w:i/>
          <w:iCs/>
          <w:color w:val="000000"/>
          <w:spacing w:val="1"/>
          <w:sz w:val="24"/>
          <w:szCs w:val="24"/>
          <w:lang w:eastAsia="hr-HR"/>
        </w:rPr>
        <w:t>2.A.6.2 Vodeća načela za odabir operacija</w:t>
      </w:r>
    </w:p>
    <w:tbl>
      <w:tblPr>
        <w:tblStyle w:val="TableGrid"/>
        <w:tblW w:w="0" w:type="auto"/>
        <w:tblLook w:val="04A0" w:firstRow="1" w:lastRow="0" w:firstColumn="1" w:lastColumn="0" w:noHBand="0" w:noVBand="1"/>
      </w:tblPr>
      <w:tblGrid>
        <w:gridCol w:w="4531"/>
        <w:gridCol w:w="10745"/>
      </w:tblGrid>
      <w:tr w:rsidR="009B2CD9" w:rsidRPr="005E763C" w:rsidTr="009B2CD9">
        <w:tc>
          <w:tcPr>
            <w:tcW w:w="4531" w:type="dxa"/>
            <w:vAlign w:val="center"/>
          </w:tcPr>
          <w:p w:rsidR="009B2CD9" w:rsidRPr="005E763C" w:rsidRDefault="009B2CD9" w:rsidP="001A0292">
            <w:pPr>
              <w:rPr>
                <w:rFonts w:ascii="Times New Roman" w:hAnsi="Times New Roman"/>
                <w:sz w:val="24"/>
                <w:szCs w:val="24"/>
              </w:rPr>
            </w:pPr>
            <w:r w:rsidRPr="00593567">
              <w:rPr>
                <w:rFonts w:ascii="Times New Roman" w:hAnsi="Times New Roman"/>
                <w:sz w:val="24"/>
                <w:szCs w:val="24"/>
              </w:rPr>
              <w:t>Investicijski prioritet</w:t>
            </w:r>
          </w:p>
        </w:tc>
        <w:tc>
          <w:tcPr>
            <w:tcW w:w="10745" w:type="dxa"/>
            <w:vAlign w:val="center"/>
          </w:tcPr>
          <w:p w:rsidR="009B2CD9" w:rsidRPr="004C117D"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4b - Promicanje energetske učinkovitosti i korištenja obnovljivih izvora energije u poduzećima</w:t>
            </w:r>
          </w:p>
        </w:tc>
      </w:tr>
      <w:tr w:rsidR="009B2CD9" w:rsidRPr="004C117D" w:rsidTr="009B2CD9">
        <w:tc>
          <w:tcPr>
            <w:tcW w:w="15276" w:type="dxa"/>
            <w:gridSpan w:val="2"/>
            <w:vAlign w:val="center"/>
          </w:tcPr>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Budući da ovaj investicijski prioritet (oba specifična cilja) obuhvaća odabrana ulaganja u privatni sektor, pozornost će se posvetiti izbjegavanju prekomjernog financiranja pojedinačnih projekata tj. korištenja javnih sredstava kako bi se korisniku osigurala nepripadajuća korist na tržištu.</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Ulaganja planirana u okviru ovoga IP-a također imaju, u načelu, značajni izvor prihoda, te će stoga posebna pozornost biti posvećena izbjegavanju prekomjernog (javnog) financiranja i omogućavanju dostatne financijske poluge privatnih sredstava.</w:t>
            </w:r>
          </w:p>
          <w:p w:rsidR="009B2CD9" w:rsidRPr="00593567"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Budući da se ovi specifični ciljevi prvenstveno odnose na tržišno orijentirane korisnike (poduzeća), posebna pozornost se treba posvetiti osiguravanju sukladnosti s primjenjivim pravilima o državnim potporama, detaljno opisanim u Smjernicama o državnim potporama za zaštitu okoliša i energiju za razdoblje 2014.–2020., uključujući pravila o stopi maksimalnog intenziteta potpore, koja je manja za privatni sektor nego za javni. Nadalje, tijekom postupka odabira prioritet će imati projekti u kojima su predviđene mjere usmjerene na vrijednosti veće od propisanih ekoloških/energetskih normi i projekti koji donose najveće koristi u smislu smanjenja potrošnje energije i smanjenja stvaranja stakleničkih plinova.</w:t>
            </w:r>
          </w:p>
          <w:p w:rsidR="009B2CD9" w:rsidRPr="004C117D"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lastRenderedPageBreak/>
              <w:t>Važno je napomenuti da ulaganja u OIE-ove koja spadaju u sustav zajamčenih tarifa neće biti podržana unutar specifičnih ciljeva.</w:t>
            </w:r>
          </w:p>
        </w:tc>
      </w:tr>
    </w:tbl>
    <w:p w:rsidR="00FC3F35" w:rsidRDefault="00FC3F35"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bCs/>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lastRenderedPageBreak/>
        <w:t xml:space="preserve">2.A.6.3 Planirano korištenje financijskih instrumenata </w:t>
      </w:r>
      <w:r w:rsidRPr="00576C1D">
        <w:rPr>
          <w:rFonts w:ascii="Times New Roman" w:eastAsia="Times New Roman" w:hAnsi="Times New Roman" w:cs="Times New Roman"/>
          <w:bCs/>
          <w:iCs/>
          <w:color w:val="000000"/>
          <w:spacing w:val="-1"/>
          <w:sz w:val="24"/>
          <w:szCs w:val="24"/>
          <w:lang w:eastAsia="hr-HR"/>
        </w:rPr>
        <w:t>(po potrebi)</w:t>
      </w:r>
    </w:p>
    <w:tbl>
      <w:tblPr>
        <w:tblStyle w:val="TableGrid"/>
        <w:tblW w:w="0" w:type="auto"/>
        <w:tblLook w:val="04A0" w:firstRow="1" w:lastRow="0" w:firstColumn="1" w:lastColumn="0" w:noHBand="0" w:noVBand="1"/>
      </w:tblPr>
      <w:tblGrid>
        <w:gridCol w:w="4531"/>
        <w:gridCol w:w="10745"/>
      </w:tblGrid>
      <w:tr w:rsidR="009B2CD9" w:rsidRPr="005E763C" w:rsidTr="009B2CD9">
        <w:tc>
          <w:tcPr>
            <w:tcW w:w="4531" w:type="dxa"/>
            <w:vAlign w:val="center"/>
          </w:tcPr>
          <w:p w:rsidR="009B2CD9" w:rsidRPr="005E763C" w:rsidRDefault="009B2CD9" w:rsidP="001A0292">
            <w:pPr>
              <w:rPr>
                <w:rFonts w:ascii="Times New Roman" w:hAnsi="Times New Roman"/>
                <w:sz w:val="24"/>
                <w:szCs w:val="24"/>
              </w:rPr>
            </w:pPr>
            <w:r w:rsidRPr="00593567">
              <w:rPr>
                <w:rFonts w:ascii="Times New Roman" w:hAnsi="Times New Roman"/>
                <w:sz w:val="24"/>
                <w:szCs w:val="24"/>
              </w:rPr>
              <w:t>Investicijski prioritet</w:t>
            </w:r>
          </w:p>
        </w:tc>
        <w:tc>
          <w:tcPr>
            <w:tcW w:w="10745" w:type="dxa"/>
            <w:vAlign w:val="center"/>
          </w:tcPr>
          <w:p w:rsidR="009B2CD9" w:rsidRPr="004C117D"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4b - Promicanje energetske učinkovitosti i korištenja obnovljivih izvora energije u poduzećima</w:t>
            </w:r>
          </w:p>
        </w:tc>
      </w:tr>
      <w:tr w:rsidR="009B2CD9" w:rsidRPr="004C117D" w:rsidTr="009B2CD9">
        <w:tc>
          <w:tcPr>
            <w:tcW w:w="15276" w:type="dxa"/>
            <w:gridSpan w:val="2"/>
            <w:vAlign w:val="center"/>
          </w:tcPr>
          <w:p w:rsidR="009B2CD9" w:rsidRPr="004C117D"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Zbog prirode planiranih ulaganja, korištenje financijskih instrumenata predviđeno je za oba specifična cilja u sklopu investicijskog prioriteta. Očekuje se da će Europska investicijska banka izvršiti ex-ante procjenu i pružiti pomoć u uspostavi financijskog instrumenta u nekoliko sektora uključujući energetsku učinkovitost i obnovljive izvore energije. Međutim, budući da je financijski instrument složeni mehanizam, očekuje se da će njegova uspostava zahtijevati relativno veliku količinu vremena. Stoga se s ciljem osiguravanja provedbe programa i postizanja ciljeva/namjena određenih za energetsku učinkovitost i obnovljive izvore energije u međuvremenu namjerava koristiti klasičnija vrsta financiranja tj. shema za dodjelu bespovratnih sredstava. Takav sustav financiranja je razvijen u suradnji i pod vodstvom Jaspersa a oslanja se (u najvećoj mogućoj mjeri) na postojeći i tekući program energetske obnove zgrada, kao i na rad/savjete u sklopu Studije Svjetske banke o provedbi i financiranju radi povećanja energetske učinkovitosti u sektoru zgradarstva. Ovaj sustav financiranja će služiti kao alat provedbe u fazama, s ciljem premošćivanja razdoblja do stavljanja financijskog instrumenta u upotrebu.</w:t>
            </w:r>
          </w:p>
        </w:tc>
      </w:tr>
    </w:tbl>
    <w:p w:rsidR="00FC3F35" w:rsidRPr="00576C1D" w:rsidRDefault="00FC3F35"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 xml:space="preserve">2.A.6.4 Planirano korištenje velikih projekata </w:t>
      </w:r>
      <w:r w:rsidRPr="00576C1D">
        <w:rPr>
          <w:rFonts w:ascii="Times New Roman" w:eastAsia="Times New Roman" w:hAnsi="Times New Roman" w:cs="Times New Roman"/>
          <w:bCs/>
          <w:iCs/>
          <w:color w:val="000000"/>
          <w:sz w:val="24"/>
          <w:szCs w:val="24"/>
          <w:lang w:eastAsia="hr-HR"/>
        </w:rPr>
        <w:t>(po potrebi)</w:t>
      </w:r>
    </w:p>
    <w:p w:rsidR="00FC3F35" w:rsidRPr="00576C1D" w:rsidRDefault="00FC3F35" w:rsidP="00FC3F35">
      <w:pPr>
        <w:widowControl w:val="0"/>
        <w:autoSpaceDE w:val="0"/>
        <w:autoSpaceDN w:val="0"/>
        <w:adjustRightInd w:val="0"/>
        <w:spacing w:after="115"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352"/>
        <w:gridCol w:w="307"/>
        <w:gridCol w:w="864"/>
        <w:gridCol w:w="576"/>
        <w:gridCol w:w="758"/>
        <w:gridCol w:w="1104"/>
        <w:gridCol w:w="826"/>
        <w:gridCol w:w="8362"/>
      </w:tblGrid>
      <w:tr w:rsidR="00FC3F35" w:rsidRPr="00576C1D" w:rsidTr="00FC3F35">
        <w:trPr>
          <w:trHeight w:hRule="exact" w:val="346"/>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b/>
                <w:bCs/>
                <w:sz w:val="18"/>
                <w:szCs w:val="18"/>
                <w:lang w:eastAsia="hr-HR"/>
              </w:rPr>
            </w:pPr>
            <w:r w:rsidRPr="00576C1D">
              <w:rPr>
                <w:rFonts w:ascii="Times New Roman" w:eastAsia="Times New Roman" w:hAnsi="Times New Roman" w:cs="Times New Roman"/>
                <w:b/>
                <w:bCs/>
                <w:sz w:val="18"/>
                <w:szCs w:val="18"/>
                <w:lang w:eastAsia="hr-HR"/>
              </w:rPr>
              <w:t>Investicijski prioritet</w:t>
            </w:r>
          </w:p>
        </w:tc>
        <w:tc>
          <w:tcPr>
            <w:tcW w:w="12797"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sz w:val="18"/>
                <w:szCs w:val="18"/>
                <w:lang w:eastAsia="hr-HR"/>
              </w:rPr>
              <w:t>4</w:t>
            </w:r>
            <w:r w:rsidRPr="00576C1D">
              <w:rPr>
                <w:rFonts w:ascii="Times New Roman" w:eastAsia="Times New Roman" w:hAnsi="Times New Roman" w:cs="Times New Roman"/>
                <w:sz w:val="18"/>
                <w:szCs w:val="18"/>
                <w:lang w:eastAsia="hr-HR"/>
              </w:rPr>
              <w:t>b - Promicanje energetske učinkovitosti i korištenja obnovljivih izvora energije u poduzećima</w:t>
            </w:r>
          </w:p>
        </w:tc>
      </w:tr>
      <w:tr w:rsidR="00FC3F35" w:rsidRPr="00576C1D" w:rsidTr="00FC3F35">
        <w:trPr>
          <w:trHeight w:hRule="exact" w:val="902"/>
        </w:trPr>
        <w:tc>
          <w:tcPr>
            <w:tcW w:w="2352"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Nije predviđeno.</w:t>
            </w:r>
          </w:p>
        </w:tc>
        <w:tc>
          <w:tcPr>
            <w:tcW w:w="30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6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7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5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0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2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36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i/>
          <w:iCs/>
          <w:color w:val="000000"/>
          <w:spacing w:val="1"/>
          <w:sz w:val="24"/>
          <w:szCs w:val="24"/>
          <w:lang w:eastAsia="hr-HR"/>
        </w:rPr>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
          <w:szCs w:val="2"/>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b/>
                <w:bCs/>
                <w:sz w:val="18"/>
                <w:szCs w:val="18"/>
                <w:lang w:eastAsia="hr-HR"/>
              </w:rPr>
            </w:pPr>
            <w:r w:rsidRPr="00576C1D">
              <w:rPr>
                <w:rFonts w:ascii="Times New Roman" w:eastAsia="Times New Roman" w:hAnsi="Times New Roman" w:cs="Times New Roman"/>
                <w:b/>
                <w:bCs/>
                <w:sz w:val="18"/>
                <w:szCs w:val="18"/>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bCs/>
                <w:sz w:val="18"/>
                <w:szCs w:val="18"/>
                <w:lang w:eastAsia="hr-HR"/>
              </w:rPr>
              <w:t>4</w:t>
            </w:r>
            <w:r w:rsidRPr="00576C1D">
              <w:rPr>
                <w:rFonts w:ascii="Times New Roman" w:eastAsia="Times New Roman" w:hAnsi="Times New Roman" w:cs="Times New Roman"/>
                <w:b/>
                <w:sz w:val="18"/>
                <w:szCs w:val="18"/>
                <w:lang w:eastAsia="hr-HR"/>
              </w:rPr>
              <w:t>b - Promicanje energetske učinkovitosti i korištenja obnovljivih izvora energije u poduzećima</w:t>
            </w:r>
          </w:p>
        </w:tc>
      </w:tr>
      <w:tr w:rsidR="00FC3F35" w:rsidRPr="00576C1D" w:rsidTr="00FC3F35">
        <w:trPr>
          <w:trHeight w:hRule="exact" w:val="44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w w:val="99"/>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Kategorija regije (gdje je potrebno)</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w w:val="99"/>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998"/>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14"/>
                <w:w w:val="99"/>
                <w:sz w:val="16"/>
                <w:szCs w:val="16"/>
                <w:lang w:eastAsia="hr-HR"/>
              </w:rPr>
              <w:lastRenderedPageBreak/>
              <w:t>4b 13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w w:val="99"/>
                <w:sz w:val="16"/>
                <w:szCs w:val="16"/>
                <w:lang w:eastAsia="hr-HR"/>
              </w:rPr>
              <w:t>Br. poduzeća i pružatelja usluga koji primaju potporu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w w:val="99"/>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w w:val="99"/>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w w:val="99"/>
                <w:sz w:val="16"/>
                <w:szCs w:val="16"/>
                <w:lang w:eastAsia="hr-HR"/>
              </w:rPr>
              <w:t>50,00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w w:val="99"/>
                <w:sz w:val="16"/>
                <w:szCs w:val="16"/>
                <w:lang w:eastAsia="hr-HR"/>
              </w:rPr>
              <w:t>Jednom godišnje</w:t>
            </w:r>
          </w:p>
        </w:tc>
      </w:tr>
    </w:tbl>
    <w:p w:rsidR="009B2CD9" w:rsidRDefault="009B2CD9" w:rsidP="00FC3F35">
      <w:pPr>
        <w:widowControl w:val="0"/>
        <w:shd w:val="clear" w:color="auto" w:fill="FFFFFF"/>
        <w:autoSpaceDE w:val="0"/>
        <w:autoSpaceDN w:val="0"/>
        <w:adjustRightInd w:val="0"/>
        <w:spacing w:before="514" w:after="178" w:line="240" w:lineRule="auto"/>
        <w:ind w:left="538"/>
        <w:rPr>
          <w:rFonts w:ascii="Times New Roman" w:eastAsia="Times New Roman" w:hAnsi="Times New Roman" w:cs="Times New Roman"/>
          <w:b/>
          <w:bCs/>
          <w:color w:val="000000"/>
          <w:spacing w:val="-2"/>
          <w:sz w:val="24"/>
          <w:szCs w:val="24"/>
          <w:lang w:eastAsia="hr-HR"/>
        </w:rPr>
      </w:pPr>
    </w:p>
    <w:p w:rsidR="00FC3F35" w:rsidRDefault="00FC3F35" w:rsidP="00FC3F35">
      <w:pPr>
        <w:widowControl w:val="0"/>
        <w:shd w:val="clear" w:color="auto" w:fill="FFFFFF"/>
        <w:autoSpaceDE w:val="0"/>
        <w:autoSpaceDN w:val="0"/>
        <w:adjustRightInd w:val="0"/>
        <w:spacing w:before="514" w:after="178" w:line="240" w:lineRule="auto"/>
        <w:ind w:left="538"/>
        <w:rPr>
          <w:rFonts w:ascii="Times New Roman" w:eastAsia="Times New Roman" w:hAnsi="Times New Roman" w:cs="Times New Roman"/>
          <w:b/>
          <w:bCs/>
          <w:color w:val="000000"/>
          <w:spacing w:val="-2"/>
          <w:sz w:val="24"/>
          <w:szCs w:val="24"/>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bl>
      <w:tblPr>
        <w:tblStyle w:val="TableGrid"/>
        <w:tblW w:w="0" w:type="auto"/>
        <w:tblLook w:val="04A0" w:firstRow="1" w:lastRow="0" w:firstColumn="1" w:lastColumn="0" w:noHBand="0" w:noVBand="1"/>
      </w:tblPr>
      <w:tblGrid>
        <w:gridCol w:w="2802"/>
        <w:gridCol w:w="12332"/>
      </w:tblGrid>
      <w:tr w:rsidR="009B2CD9" w:rsidRPr="005E763C" w:rsidTr="000C5259">
        <w:tc>
          <w:tcPr>
            <w:tcW w:w="2802" w:type="dxa"/>
            <w:vAlign w:val="center"/>
          </w:tcPr>
          <w:p w:rsidR="009B2CD9" w:rsidRPr="00593567" w:rsidRDefault="009B2CD9" w:rsidP="001A0292">
            <w:pPr>
              <w:rPr>
                <w:rFonts w:ascii="Times New Roman" w:hAnsi="Times New Roman"/>
                <w:sz w:val="24"/>
                <w:szCs w:val="24"/>
              </w:rPr>
            </w:pPr>
            <w:r w:rsidRPr="00576C1D">
              <w:rPr>
                <w:rFonts w:ascii="Times New Roman" w:hAnsi="Times New Roman"/>
                <w:b/>
                <w:sz w:val="18"/>
                <w:szCs w:val="18"/>
              </w:rPr>
              <w:t>Oznaka investicijskog prioriteta</w:t>
            </w:r>
          </w:p>
        </w:tc>
        <w:tc>
          <w:tcPr>
            <w:tcW w:w="12332" w:type="dxa"/>
            <w:vAlign w:val="center"/>
          </w:tcPr>
          <w:p w:rsidR="009B2CD9" w:rsidRPr="00593567" w:rsidRDefault="009B2CD9" w:rsidP="001A0292">
            <w:pPr>
              <w:widowControl w:val="0"/>
              <w:shd w:val="clear" w:color="auto" w:fill="FFFFFF"/>
              <w:autoSpaceDE w:val="0"/>
              <w:autoSpaceDN w:val="0"/>
              <w:adjustRightInd w:val="0"/>
              <w:rPr>
                <w:rFonts w:ascii="Times New Roman" w:hAnsi="Times New Roman"/>
              </w:rPr>
            </w:pPr>
            <w:r>
              <w:rPr>
                <w:rFonts w:ascii="Times New Roman" w:hAnsi="Times New Roman"/>
              </w:rPr>
              <w:t>4c</w:t>
            </w:r>
          </w:p>
        </w:tc>
      </w:tr>
      <w:tr w:rsidR="009B2CD9" w:rsidRPr="005E763C" w:rsidTr="000C5259">
        <w:tc>
          <w:tcPr>
            <w:tcW w:w="2802" w:type="dxa"/>
            <w:vAlign w:val="center"/>
          </w:tcPr>
          <w:p w:rsidR="009B2CD9" w:rsidRPr="00576C1D" w:rsidRDefault="009B2CD9"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Naziv investicijskog prioriteta</w:t>
            </w:r>
          </w:p>
          <w:p w:rsidR="009B2CD9" w:rsidRPr="005E763C" w:rsidRDefault="009B2CD9" w:rsidP="001A0292">
            <w:pPr>
              <w:rPr>
                <w:rFonts w:ascii="Times New Roman" w:hAnsi="Times New Roman"/>
                <w:sz w:val="24"/>
                <w:szCs w:val="24"/>
              </w:rPr>
            </w:pPr>
          </w:p>
        </w:tc>
        <w:tc>
          <w:tcPr>
            <w:tcW w:w="12332" w:type="dxa"/>
            <w:vAlign w:val="center"/>
          </w:tcPr>
          <w:p w:rsidR="009B2CD9" w:rsidRPr="004C117D" w:rsidRDefault="009B2CD9" w:rsidP="001A0292">
            <w:pPr>
              <w:widowControl w:val="0"/>
              <w:shd w:val="clear" w:color="auto" w:fill="FFFFFF"/>
              <w:autoSpaceDE w:val="0"/>
              <w:autoSpaceDN w:val="0"/>
              <w:adjustRightInd w:val="0"/>
              <w:rPr>
                <w:rFonts w:ascii="Times New Roman" w:hAnsi="Times New Roman"/>
              </w:rPr>
            </w:pPr>
            <w:r w:rsidRPr="00593567">
              <w:rPr>
                <w:rFonts w:ascii="Times New Roman" w:hAnsi="Times New Roman"/>
              </w:rPr>
              <w:t>Podupiranje energetske učinkovitosti, pametnog upravljanja energijom i korištenja OIE u javnoj infrastrukturi, uključujući javne zgrade, i u stambenom sektoru</w:t>
            </w:r>
          </w:p>
        </w:tc>
      </w:tr>
    </w:tbl>
    <w:p w:rsidR="00FC3F35" w:rsidRPr="00576C1D" w:rsidRDefault="00FC3F35" w:rsidP="00FC3F35">
      <w:pPr>
        <w:widowControl w:val="0"/>
        <w:shd w:val="clear" w:color="auto" w:fill="FFFFFF"/>
        <w:autoSpaceDE w:val="0"/>
        <w:autoSpaceDN w:val="0"/>
        <w:adjustRightInd w:val="0"/>
        <w:spacing w:before="571"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autoSpaceDE w:val="0"/>
        <w:autoSpaceDN w:val="0"/>
        <w:adjustRightInd w:val="0"/>
        <w:spacing w:after="101" w:line="1" w:lineRule="exact"/>
        <w:rPr>
          <w:rFonts w:ascii="Times New Roman" w:eastAsia="Times New Roman" w:hAnsi="Times New Roman" w:cs="Times New Roman"/>
          <w:sz w:val="2"/>
          <w:szCs w:val="2"/>
          <w:lang w:eastAsia="hr-HR"/>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07"/>
        <w:gridCol w:w="12442"/>
      </w:tblGrid>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w w:val="95"/>
                <w:sz w:val="18"/>
                <w:szCs w:val="18"/>
                <w:lang w:eastAsia="hr-HR"/>
              </w:rPr>
              <w:t>Oznaka specifičnog cilja</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5"/>
                <w:w w:val="95"/>
                <w:sz w:val="18"/>
                <w:szCs w:val="18"/>
                <w:lang w:eastAsia="hr-HR"/>
              </w:rPr>
              <w:t>4c 1</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w w:val="95"/>
                <w:sz w:val="18"/>
                <w:szCs w:val="18"/>
                <w:lang w:eastAsia="hr-HR"/>
              </w:rPr>
              <w:t>Naziv specifičnog cilja</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w w:val="95"/>
                <w:sz w:val="18"/>
                <w:szCs w:val="18"/>
                <w:lang w:eastAsia="hr-HR"/>
              </w:rPr>
              <w:t>Smanjenje  potrošnje energije  u zgradama javnog sektora</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w w:val="95"/>
                <w:sz w:val="18"/>
                <w:szCs w:val="18"/>
                <w:lang w:eastAsia="hr-HR"/>
              </w:rPr>
              <w:t>Rezultati koje države članice žele postići uz potporu Unije</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U Hrvatskoj je 80.196 javnih zgrada s oko 14 milijuna kvadratnih metara površine, što čini 13 % ukupnog broja zgrada i 10 % ukupne površine zgrada. Kao što je spomenuto, zgrade imaju najveći udio u krajnjoj potrošnji energije (43 % u 2011.), a od tog postotka, oko 11 % otpada na zgrade javnog sektora. Približno 2/3 energije odnosi se na grijanje/hlađenje. Više od 80 % zgrada je sagrađeno prije 1987. (uglavnom u razdoblju od 1940.-1970.) i energetskog su razreda D ili nižeg, tj. okarakterizirane su kao veliki potrošači s prosječnom potrošnjom energije oko 200 kWh/m</w:t>
            </w:r>
            <w:r w:rsidRPr="00576C1D">
              <w:rPr>
                <w:rFonts w:ascii="Times New Roman" w:eastAsia="Times New Roman" w:hAnsi="Times New Roman" w:cs="Times New Roman"/>
                <w:color w:val="000000"/>
                <w:spacing w:val="-1"/>
                <w:sz w:val="24"/>
                <w:szCs w:val="24"/>
                <w:vertAlign w:val="superscript"/>
                <w:lang w:eastAsia="hr-HR"/>
              </w:rPr>
              <w:t>2</w:t>
            </w:r>
            <w:r w:rsidRPr="00576C1D">
              <w:rPr>
                <w:rFonts w:ascii="Times New Roman" w:eastAsia="Times New Roman" w:hAnsi="Times New Roman" w:cs="Times New Roman"/>
                <w:color w:val="000000"/>
                <w:spacing w:val="-1"/>
                <w:sz w:val="24"/>
                <w:szCs w:val="24"/>
                <w:lang w:eastAsia="hr-HR"/>
              </w:rPr>
              <w:t>. Što se tiče izvora energije, samo 11 % energije koja se koristi u sektoru zgradarstva dolazi iz obnovljivih izvora energije (uglavnom od drva za grijanje). Ključni problemi a povezani s visokom potrošnjom energije su nedovoljna toplinska izolacija zgrada, zastarjeli sustavi grijanja (grijanje pomoću struje ili fosilnih goriva umjesto plinskih kotlova) te nedovoljno korištenje obnovljivih izvora energije (toplinski solarni sustavi, dizalice topline, upotreba biomase).</w:t>
            </w: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Stoga je opravdanje za postavljanje ovog strateškog cilja sljedeće:</w:t>
            </w: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Javne zgrade imaju značajni udio u ukupnoj potrošnji energije u sektoru zgradarstva te stoga predstavljaju značajni potencijal za energetsku uštedu i uštedu troškova. Budući da je Hrvatska kao država članica od 01. siječnja 2014. obvezna, u skladu s Direktivom 2012/27/EU Europskog parlamenta i Vijeća od 25. listopada 2012. godine o energetskoj učinkovitosti, svake godine obnoviti (u smislu energetske učinkovitosti) 3 % ukupne površine</w:t>
            </w: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e poda grijanih i/ili hlađenih zgrada u vlasništvu i uporabi središnje vlasti, kako bi udovoljila minimalnim zahtjevima </w:t>
            </w:r>
            <w:r w:rsidRPr="00576C1D">
              <w:rPr>
                <w:rFonts w:ascii="Times New Roman" w:eastAsia="Times New Roman" w:hAnsi="Times New Roman" w:cs="Times New Roman"/>
                <w:color w:val="000000"/>
                <w:spacing w:val="-1"/>
                <w:sz w:val="24"/>
                <w:szCs w:val="24"/>
                <w:lang w:eastAsia="hr-HR"/>
              </w:rPr>
              <w:lastRenderedPageBreak/>
              <w:t>energetske učinkovitosti, ovaj investicijski prioritet je prvenstveno namijenjen doprinosu tom cilju.</w:t>
            </w: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Od obnove zgrada javnog sektora očekuje se da će preuzeti vodeću ulogu, tj. Od  javnog sektora se očekuje da osigura investicije i promjenu ponašanja korisnika koja će služiti kao primjer i katalizator za slična ulaganja u  ostale kategorije zgrada.</w:t>
            </w: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192" w:firstLine="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S obzirom na obnovljive izvore energije, postoji značajni potencijal u području OIE-ova fokusiran na upotrebu biomase, solarne energije i dizalica topline. Taj potencijal će biti postavljen za cilj kroz </w:t>
            </w:r>
            <w:r w:rsidRPr="00576C1D">
              <w:rPr>
                <w:rFonts w:ascii="Times New Roman" w:eastAsia="Times New Roman" w:hAnsi="Times New Roman" w:cs="Times New Roman"/>
                <w:color w:val="000000"/>
                <w:spacing w:val="-1"/>
                <w:sz w:val="24"/>
                <w:szCs w:val="24"/>
                <w:u w:val="single"/>
                <w:lang w:eastAsia="hr-HR"/>
              </w:rPr>
              <w:t>integrirani pristup</w:t>
            </w:r>
            <w:r w:rsidRPr="00576C1D">
              <w:rPr>
                <w:rFonts w:ascii="Times New Roman" w:eastAsia="Times New Roman" w:hAnsi="Times New Roman" w:cs="Times New Roman"/>
                <w:color w:val="000000"/>
                <w:spacing w:val="-1"/>
                <w:sz w:val="24"/>
                <w:szCs w:val="24"/>
                <w:lang w:eastAsia="hr-HR"/>
              </w:rPr>
              <w:t>, tj. na način da se sustavi za proizvodnju energije iz obnovljivih izvora za potrebe određenih zgrada podupire uz mjere energetske učinkovitosti, prvenstveno u svrhe grijanja / hlađenja zgrada.</w:t>
            </w:r>
          </w:p>
          <w:p w:rsidR="00FC3F35" w:rsidRPr="00576C1D" w:rsidRDefault="00FC3F35" w:rsidP="00FC3F35">
            <w:pPr>
              <w:widowControl w:val="0"/>
              <w:shd w:val="clear" w:color="auto" w:fill="FFFFFF"/>
              <w:autoSpaceDE w:val="0"/>
              <w:autoSpaceDN w:val="0"/>
              <w:adjustRightInd w:val="0"/>
              <w:spacing w:after="0" w:line="274" w:lineRule="exact"/>
              <w:ind w:right="24"/>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Rezultati/ciljevi u sklopu ovog specifičnog cilja su prije svega povezani s doprinosom skupini nacionalnih ciljeva (i, slijedom toga, s glavnim ciljevima EU-a) u Nacionalnom planu energetske učinkovitosti (cilj uštede energije u uslužnom sektoru) i Akcijskom planu za obnovljive izvore energije (udio OIE-ova u hlađenju/grijanju i proizvodnji električne energije) do 2020. godine</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after="0" w:line="274" w:lineRule="exact"/>
              <w:ind w:right="24"/>
              <w:rPr>
                <w:rFonts w:ascii="Times New Roman" w:eastAsia="Times New Roman" w:hAnsi="Times New Roman" w:cs="Times New Roman"/>
                <w:sz w:val="20"/>
                <w:szCs w:val="20"/>
                <w:lang w:eastAsia="hr-HR"/>
              </w:rPr>
            </w:pP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lastRenderedPageBreak/>
              <w:t>Oznaka specifičnog cilja</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4c2</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w w:val="95"/>
                <w:sz w:val="18"/>
                <w:szCs w:val="18"/>
                <w:lang w:eastAsia="hr-HR"/>
              </w:rPr>
              <w:t>Naziv specifičnog cilja</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Smanjenje potrošnje energije u stambenim zgradama (u višestambenim zgradama i obiteljskim kućama)</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w w:val="95"/>
                <w:sz w:val="18"/>
                <w:szCs w:val="18"/>
                <w:lang w:eastAsia="hr-HR"/>
              </w:rPr>
              <w:t>Rezultati koje države članice žele postići uz potporu Unije</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U Hrvatskoj postoji 762.397 stambenih zgrada (uključujući obiteljske kuće) od ukupno oko 150 milijuna kvadratnih metara korisne površine, što čini 85 % ukupnog broja zgrada i 74 % ukupne površine zgrada. Od spomenutih 762.397 stambenih zgrada, obiteljske  kuće čine oko 65 %, dok višestambene zgrade čine oko 35 % ukupnog stambenog fonda. Kao što je spomenuto, zgrade imaju najveći udio u neposrednoj potrošnji energije (43 % u 2011.), a od tog postotka oko 32 % otpada na stambene zgrade, dok se približno 2/3 potrošene energije koristi za grijanje/hlađenje. U prosječnom kućanstvu se 70 % energije koristi za grijanje, hlađenje i  pripremu tople vode, dok se toplinska energija za grijanje prostora uglavnom dobiva iz ogrjevnog drva (45 %), nakon čega slijedi prirodni plin (25 %), pogonsko ulje (9 %) i električna energija (13 %) te OIE-ovi (osim drva) koji se koriste vrlo ograničeno. Oko 70 % stambenih zgrada je sagrađeno prije 1980. i energetskog su razreda D ili nižeg, tj. okarakterizirane su kao veliki potrošači. </w:t>
            </w:r>
          </w:p>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Ključni problemi povezana s visokom potrošnjom energije su velike toplinske potrebe zgrada, neučinkovitost sustava grijanja i potreba za zamjenom izvora energije ekološki, ekonomski i energetski prihvatljivijim izvorima, poglavito obnovljivim izvorima energije.</w:t>
            </w:r>
          </w:p>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Stoga je opravdanje za postavljanje ovog strateškog cilja sljedeće:</w:t>
            </w:r>
          </w:p>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 Prema podacima iz 2011., kućanstva u stambenim zgradama (višestambenim zgradama i obiteljskim kućama) sudjeluju s oko 32 % u neposrednoj potrošnji energije, pri čemu  većina otpada na energiju koja se koristi za grijanje prostora, što čini taj sektor izuzetno značajnim za postizanje ciljeva poboljšanja energetske učinkovitosti.</w:t>
            </w:r>
          </w:p>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7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lastRenderedPageBreak/>
              <w:t xml:space="preserve"> U području OIE postoji značajni potencijal za upotrebu biomase, solarne energije i dizalice topline. Taj potencijal će biti postavljen za cilj kroz </w:t>
            </w:r>
            <w:r w:rsidRPr="00576C1D">
              <w:rPr>
                <w:rFonts w:ascii="Times New Roman" w:eastAsia="Times New Roman" w:hAnsi="Times New Roman" w:cs="Times New Roman"/>
                <w:color w:val="000000"/>
                <w:sz w:val="24"/>
                <w:szCs w:val="24"/>
                <w:u w:val="single"/>
                <w:lang w:eastAsia="hr-HR"/>
              </w:rPr>
              <w:t>integrirani pristup,</w:t>
            </w:r>
            <w:r w:rsidRPr="00576C1D">
              <w:rPr>
                <w:rFonts w:ascii="Times New Roman" w:eastAsia="Times New Roman" w:hAnsi="Times New Roman" w:cs="Times New Roman"/>
                <w:color w:val="000000"/>
                <w:sz w:val="24"/>
                <w:szCs w:val="24"/>
                <w:lang w:eastAsia="hr-HR"/>
              </w:rPr>
              <w:t>tj. na način da sustavi za proizvodnju energije iz obnovljivih izvora za potrebe određenih stambenih zgrada  primjene uz mjere energetske učinkovitosti, prvenstveno u svrhe proizvodnje energije za potrebe hlađenja/grijanja.</w:t>
            </w:r>
          </w:p>
          <w:p w:rsidR="00FC3F35" w:rsidRPr="00576C1D" w:rsidRDefault="00FC3F35" w:rsidP="00FC3F35">
            <w:pPr>
              <w:widowControl w:val="0"/>
              <w:shd w:val="clear" w:color="auto" w:fill="FFFFFF"/>
              <w:autoSpaceDE w:val="0"/>
              <w:autoSpaceDN w:val="0"/>
              <w:adjustRightInd w:val="0"/>
              <w:spacing w:after="0" w:line="274" w:lineRule="exact"/>
              <w:ind w:right="19" w:firstLine="5"/>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19"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Rezultati/ciljevi u sklopu ovog specifičnog cilja su prije svega povezani s doprinosom skupini nacionalnih ciljeva (i, slijedom toga, s glavnim ciljevima EU-a) u Nacionalnom planu energetske učinkovitosti (i Akcijskom planu za obnovljive izvore energije (udio OIE-ova u hlađenju/grijanju i proizvodnji električne energije) do 2020. godine.</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lastRenderedPageBreak/>
              <w:t>Oznaka specifičnog cilja</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4c3</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w w:val="95"/>
                <w:sz w:val="18"/>
                <w:szCs w:val="18"/>
                <w:lang w:eastAsia="hr-HR"/>
              </w:rPr>
              <w:t>Naziv specifičnog cilja</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Povećanje učinkovitosti sustava toplinarstva</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w w:val="95"/>
                <w:sz w:val="18"/>
                <w:szCs w:val="18"/>
                <w:lang w:eastAsia="hr-HR"/>
              </w:rPr>
              <w:t>Rezultati koje države članice žele postići uz potporu Unije</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58" w:hanging="5"/>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Sustavi toplinarstva (T) postoje u 18 gradova gdje ih omogućava ih 13 tvrtki, a uglavnom ih koriste privatni korisnici. Najveće poduzeće koje pokriva 80 % tržišta je dio komunalne službe HEP koja je u državnom vlasništvu; sve ostale tvrtke osim jedne su u vlasništvu općina. Tvrtke koje se bave toplinarstvom opskrbljuju oko 153.000 kućanstava, što čini oko 10 % ukupnih kućanstava i oko 20 % urbanih kućanstava. Važno je napomenuti da postojeći sustav toplinarstva zapravo pokriva oko 37 % urbanog stanovništva, ali se klijenti isključuju s mreže zbog problema povezanih s kvalitetom usluga.</w:t>
            </w:r>
          </w:p>
          <w:p w:rsidR="00FC3F35" w:rsidRPr="00576C1D" w:rsidRDefault="00FC3F35" w:rsidP="00FC3F35">
            <w:pPr>
              <w:widowControl w:val="0"/>
              <w:shd w:val="clear" w:color="auto" w:fill="FFFFFF"/>
              <w:autoSpaceDE w:val="0"/>
              <w:autoSpaceDN w:val="0"/>
              <w:adjustRightInd w:val="0"/>
              <w:spacing w:after="0" w:line="274" w:lineRule="exact"/>
              <w:ind w:right="58" w:firstLine="5"/>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58"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Dotični su problemi motivirani činjenicom da većina sustava toplinarstva ima vijek trajanja kraći od predviđenog i potrebne su im veće zamjene i tehnološke nadogradnje za kotlove, trafostanice i cijevi mreže. Trenutne razine gubitaka topline variraju od 13 % do 23 % nasuprot 6-7 % prema najboljoj praksi, dok vrijednosti gubitka vode dostižu do 50 promjena godišnje nasuprot jedne promjene u najboljoj praksi.</w:t>
            </w:r>
          </w:p>
          <w:p w:rsidR="00FC3F35" w:rsidRPr="00576C1D" w:rsidRDefault="00FC3F35" w:rsidP="00FC3F35">
            <w:pPr>
              <w:widowControl w:val="0"/>
              <w:shd w:val="clear" w:color="auto" w:fill="FFFFFF"/>
              <w:autoSpaceDE w:val="0"/>
              <w:autoSpaceDN w:val="0"/>
              <w:adjustRightInd w:val="0"/>
              <w:spacing w:after="0" w:line="274" w:lineRule="exact"/>
              <w:ind w:right="58" w:hanging="5"/>
              <w:rPr>
                <w:rFonts w:ascii="Times New Roman" w:eastAsia="Times New Roman" w:hAnsi="Times New Roman" w:cs="Times New Roman"/>
                <w:color w:val="000000"/>
                <w:spacing w:val="-1"/>
                <w:sz w:val="24"/>
                <w:szCs w:val="24"/>
                <w:highlight w:val="yellow"/>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5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Potpora Unije bila bi usmjerena na ulaganja u nadogradnju kotlova, podstanica i mrežnih cijevi, s ciljem povećanja energetske učinkovitosti sveukupnog sustava toplinarstva i razine usluge pružene kućanstvima; prema tome, specifični cilj prati inicijative energetske učinkovitosti za stambena kućanstva. Nadalje, fondovi EU-a koristili bi se za financiranje pripremnih radova za takva ulaganja. Procjenjuje se da bi smanjeni gubitak topline, kao posljedica ulaganja, mogao dovesti do uštede energije u vrijednosti od 1 PJ, što predstavlja otprilike 0,5 % ukupne potrošnje energije i otprilike 5 % cilja utvrđenog u sklopu drugog Nacionalnog akcijskog plana energetske učinkovitosti. Ulaganjima bi se također postigla smanjenja emisije C0</w:t>
            </w:r>
            <w:r w:rsidRPr="00576C1D">
              <w:rPr>
                <w:rFonts w:ascii="Times New Roman" w:eastAsia="Times New Roman" w:hAnsi="Times New Roman" w:cs="Times New Roman"/>
                <w:color w:val="000000"/>
                <w:spacing w:val="-1"/>
                <w:sz w:val="24"/>
                <w:szCs w:val="24"/>
                <w:vertAlign w:val="subscript"/>
                <w:lang w:eastAsia="hr-HR"/>
              </w:rPr>
              <w:t>2</w:t>
            </w:r>
            <w:r w:rsidRPr="00576C1D">
              <w:rPr>
                <w:rFonts w:ascii="Times New Roman" w:eastAsia="Times New Roman" w:hAnsi="Times New Roman" w:cs="Times New Roman"/>
                <w:color w:val="000000"/>
                <w:spacing w:val="-1"/>
                <w:sz w:val="24"/>
                <w:szCs w:val="24"/>
                <w:lang w:eastAsia="hr-HR"/>
              </w:rPr>
              <w:t xml:space="preserve"> uz bolju energetsku učinkovitost sustava toplinarstva i zamjenu kotlova na lož-ulje čišćim gorivima.</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Oznaka specifičnog cilja</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4c4</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w w:val="95"/>
                <w:sz w:val="18"/>
                <w:szCs w:val="18"/>
                <w:lang w:eastAsia="hr-HR"/>
              </w:rPr>
              <w:t>Naziv specifičnog cilja</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Povećanje učinkovitosti javne rasvjete</w:t>
            </w:r>
          </w:p>
        </w:tc>
      </w:tr>
      <w:tr w:rsidR="00FC3F35" w:rsidRPr="00576C1D" w:rsidTr="00082CF4">
        <w:tc>
          <w:tcPr>
            <w:tcW w:w="2707" w:type="dxa"/>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w w:val="95"/>
                <w:sz w:val="18"/>
                <w:szCs w:val="18"/>
                <w:lang w:eastAsia="hr-HR"/>
              </w:rPr>
              <w:t>Rezultati koje države članice žele postići uz potporu Unije</w:t>
            </w:r>
          </w:p>
        </w:tc>
        <w:tc>
          <w:tcPr>
            <w:tcW w:w="12442" w:type="dxa"/>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Što se tiče sustava javne rasvjete, u Hrvatskoj je 2012. godine potrošeno otprilike 432,2 GWh za potrebe javne rasvjete (što predstavlja 3 % ukupne potrošnje struje), ali s rastučim brojem potrošača, čime se nadoknađuju rezultati mjera energetske učinkovitosti financiranih nacionalnim sredstvima tj. potrošnja je na stabilnoj razini. Na temelju iskustva iz nacionalno financiranih programa, mjerama u sklopu sustava javne rasvjete bi se, prema očekivanjima, uspjela ostvariti ušteda od 150 GWh godišnje. Svrha ovog specifičnog cilja je doprinos ostvarenju cilja definiranog u okviru drugog Nacionalnog akcijskog plana energetske učinkovitosti, koji je ostvarenje uštede od 60 GWh (2016.) u sustavu javne rasvjete i obuhvaćanje 3/4 ukupne </w:t>
            </w:r>
            <w:r w:rsidRPr="00576C1D">
              <w:rPr>
                <w:rFonts w:ascii="Times New Roman" w:eastAsia="Times New Roman" w:hAnsi="Times New Roman" w:cs="Times New Roman"/>
                <w:color w:val="000000"/>
                <w:sz w:val="24"/>
                <w:szCs w:val="24"/>
                <w:lang w:eastAsia="hr-HR"/>
              </w:rPr>
              <w:lastRenderedPageBreak/>
              <w:t>potrošnje struje za potrebe javne rasvjete odgovarajućim mjerama modernizacije sustava javne rasvjete.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169"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69" w:right="541" w:bottom="360" w:left="540" w:header="720" w:footer="720" w:gutter="0"/>
          <w:cols w:num="3" w:space="720" w:equalWidth="0">
            <w:col w:w="720" w:space="6946"/>
            <w:col w:w="720" w:space="6648"/>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Tablica 3: Pokazatelji rezultata specifični za program, po specifičnom cilju</w:t>
      </w:r>
      <w:r w:rsidRPr="00576C1D">
        <w:rPr>
          <w:rFonts w:ascii="Times New Roman" w:eastAsia="Times New Roman" w:hAnsi="Times New Roman" w:cs="Times New Roman"/>
          <w:bCs/>
          <w:color w:val="000000"/>
          <w:spacing w:val="-1"/>
          <w:sz w:val="24"/>
          <w:szCs w:val="24"/>
          <w:lang w:eastAsia="hr-HR"/>
        </w:rPr>
        <w:t xml:space="preserve"> (za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3"/>
                <w:sz w:val="18"/>
                <w:szCs w:val="18"/>
                <w:lang w:eastAsia="hr-HR"/>
              </w:rPr>
              <w:t>4c1 - Smanjenje energetske potrošnje u zgradama javnog sektora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val="186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4c11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9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Smanjenje prosječne potrebne energije za grijanje/hlađenje u javnim zgradama u kwh/m</w:t>
            </w:r>
            <w:r w:rsidRPr="00576C1D">
              <w:rPr>
                <w:rFonts w:ascii="Times New Roman" w:eastAsia="Times New Roman" w:hAnsi="Times New Roman" w:cs="Times New Roman"/>
                <w:color w:val="000000"/>
                <w:spacing w:val="-1"/>
                <w:sz w:val="16"/>
                <w:szCs w:val="16"/>
                <w:vertAlign w:val="superscript"/>
                <w:lang w:eastAsia="hr-HR"/>
              </w:rPr>
              <w:t>2</w:t>
            </w:r>
            <w:r w:rsidRPr="00576C1D">
              <w:rPr>
                <w:rFonts w:ascii="Times New Roman" w:eastAsia="Times New Roman" w:hAnsi="Times New Roman" w:cs="Times New Roman"/>
                <w:color w:val="000000"/>
                <w:spacing w:val="-1"/>
                <w:sz w:val="16"/>
                <w:szCs w:val="16"/>
                <w:lang w:eastAsia="hr-HR"/>
              </w:rPr>
              <w:t>/godina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kWh/m</w:t>
            </w:r>
            <w:r w:rsidRPr="00576C1D">
              <w:rPr>
                <w:rFonts w:ascii="Times New Roman" w:eastAsia="Times New Roman" w:hAnsi="Times New Roman" w:cs="Times New Roman"/>
                <w:color w:val="000000"/>
                <w:spacing w:val="-2"/>
                <w:sz w:val="16"/>
                <w:szCs w:val="16"/>
                <w:vertAlign w:val="superscript"/>
                <w:lang w:eastAsia="hr-HR"/>
              </w:rPr>
              <w:t>2</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250,00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Sustav za praćenje i verifikaciju ostvarenih ušteda energije; izvješća povezana s Nacionalnim akcijskim planom energetske učinkovitosti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3"/>
                <w:sz w:val="18"/>
                <w:szCs w:val="18"/>
                <w:lang w:eastAsia="hr-HR"/>
              </w:rPr>
              <w:t>4c2 - Smanjenje energetske potrošnje u stambenim zgradama (u višestambenim zgradama i obiteljskim kućama)</w:t>
            </w:r>
          </w:p>
        </w:tc>
      </w:tr>
      <w:tr w:rsidR="00FC3F35" w:rsidRPr="00576C1D" w:rsidTr="00FC3F35">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val="136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4c21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Smanjenje prosječne  potrebe energije za grijanje/hlađenje u stambenim zgradama u kwh/m</w:t>
            </w:r>
            <w:r w:rsidRPr="00576C1D">
              <w:rPr>
                <w:rFonts w:ascii="Times New Roman" w:eastAsia="Times New Roman" w:hAnsi="Times New Roman" w:cs="Times New Roman"/>
                <w:color w:val="000000"/>
                <w:spacing w:val="-1"/>
                <w:sz w:val="16"/>
                <w:szCs w:val="16"/>
                <w:vertAlign w:val="superscript"/>
                <w:lang w:eastAsia="hr-HR"/>
              </w:rPr>
              <w:t>2</w:t>
            </w:r>
            <w:r w:rsidRPr="00576C1D">
              <w:rPr>
                <w:rFonts w:ascii="Times New Roman" w:eastAsia="Times New Roman" w:hAnsi="Times New Roman" w:cs="Times New Roman"/>
                <w:color w:val="000000"/>
                <w:spacing w:val="-1"/>
                <w:sz w:val="16"/>
                <w:szCs w:val="16"/>
                <w:lang w:eastAsia="hr-HR"/>
              </w:rPr>
              <w:t>/godina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kWh/m</w:t>
            </w:r>
            <w:r w:rsidRPr="00576C1D">
              <w:rPr>
                <w:rFonts w:ascii="Times New Roman" w:eastAsia="Times New Roman" w:hAnsi="Times New Roman" w:cs="Times New Roman"/>
                <w:color w:val="000000"/>
                <w:spacing w:val="-2"/>
                <w:sz w:val="16"/>
                <w:szCs w:val="16"/>
                <w:vertAlign w:val="superscript"/>
                <w:lang w:eastAsia="hr-HR"/>
              </w:rPr>
              <w:t>2</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250,00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Sustav za praćenje i verifikaciju ostvarenih ušteda energije; izvješća povezana s Nacionalnim akcijskim planom energetske učinkovitosti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2"/>
                <w:sz w:val="18"/>
                <w:szCs w:val="18"/>
                <w:lang w:eastAsia="hr-HR"/>
              </w:rPr>
              <w:t>4c3 - Povećanje učinkovitosti sustava toplinarstva</w:t>
            </w:r>
          </w:p>
        </w:tc>
      </w:tr>
      <w:tr w:rsidR="00FC3F35" w:rsidRPr="00576C1D" w:rsidTr="00FC3F35">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499"/>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4c31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Smanjenje gubitaka topline proizvedene u sustavima toplinarstva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12,00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8,00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98"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gospodarstva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4c4 - Povećanje učinkovitosti javne rasvjete</w:t>
            </w:r>
          </w:p>
        </w:tc>
      </w:tr>
      <w:tr w:rsidR="00FC3F35" w:rsidRPr="00576C1D" w:rsidTr="00FC3F35">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509"/>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4c41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Ušteda energije u javnoj rasvjeti</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PJ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0,90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98"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gospodarstva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4" w:right="541" w:bottom="360" w:left="540" w:header="720" w:footer="720" w:gutter="0"/>
          <w:cols w:num="3" w:space="720" w:equalWidth="0">
            <w:col w:w="720" w:space="6946"/>
            <w:col w:w="720" w:space="6648"/>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će biti podržane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b/>
          <w:i/>
          <w:iCs/>
          <w:color w:val="000000"/>
          <w:sz w:val="24"/>
          <w:szCs w:val="24"/>
          <w:lang w:eastAsia="hr-HR"/>
        </w:rPr>
      </w:pPr>
      <w:r w:rsidRPr="00576C1D">
        <w:rPr>
          <w:rFonts w:ascii="Times New Roman" w:eastAsia="Times New Roman" w:hAnsi="Times New Roman" w:cs="Times New Roman"/>
          <w:i/>
          <w:iCs/>
          <w:color w:val="000000"/>
          <w:sz w:val="24"/>
          <w:szCs w:val="24"/>
          <w:lang w:eastAsia="hr-HR"/>
        </w:rPr>
        <w:t xml:space="preserve">2. A. 6.1 </w:t>
      </w:r>
      <w:r w:rsidRPr="00576C1D">
        <w:rPr>
          <w:rFonts w:ascii="Times New Roman" w:eastAsia="Times New Roman" w:hAnsi="Times New Roman" w:cs="Times New Roman"/>
          <w:b/>
          <w:i/>
          <w:iCs/>
          <w:color w:val="000000"/>
          <w:sz w:val="24"/>
          <w:szCs w:val="24"/>
          <w:lang w:eastAsia="hr-HR"/>
        </w:rPr>
        <w:t>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1"/>
        <w:gridCol w:w="10603"/>
      </w:tblGrid>
      <w:tr w:rsidR="000C5259" w:rsidRPr="005E763C" w:rsidTr="000C5259">
        <w:tc>
          <w:tcPr>
            <w:tcW w:w="4531" w:type="dxa"/>
            <w:vAlign w:val="center"/>
          </w:tcPr>
          <w:p w:rsidR="000C5259" w:rsidRPr="00593567" w:rsidRDefault="000C5259" w:rsidP="001A0292">
            <w:pPr>
              <w:rPr>
                <w:rFonts w:ascii="Times New Roman" w:hAnsi="Times New Roman"/>
                <w:sz w:val="24"/>
                <w:szCs w:val="24"/>
              </w:rPr>
            </w:pPr>
            <w:r w:rsidRPr="00576C1D">
              <w:rPr>
                <w:rFonts w:ascii="Times New Roman" w:hAnsi="Times New Roman"/>
                <w:b/>
                <w:sz w:val="18"/>
                <w:szCs w:val="18"/>
              </w:rPr>
              <w:t>Investicijski prioritet</w:t>
            </w:r>
          </w:p>
        </w:tc>
        <w:tc>
          <w:tcPr>
            <w:tcW w:w="10603" w:type="dxa"/>
            <w:vAlign w:val="center"/>
          </w:tcPr>
          <w:p w:rsidR="000C5259" w:rsidRPr="00593567" w:rsidRDefault="000C5259"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4c - Podupiranje energetske učinkovitosti, pametnog upravljanja energijom i korištenja OIE u javnoj infrastrukturi, uključujući javne zgrade, i u stambenom sektoru</w:t>
            </w:r>
          </w:p>
        </w:tc>
      </w:tr>
      <w:tr w:rsidR="000C5259" w:rsidRPr="004C117D" w:rsidTr="000C5259">
        <w:tc>
          <w:tcPr>
            <w:tcW w:w="15134" w:type="dxa"/>
            <w:gridSpan w:val="2"/>
            <w:vAlign w:val="center"/>
          </w:tcPr>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Glavne ciljne skupine i korisnici:</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 xml:space="preserve">4c 1 javna tijela (vlasnici zgrada javnog sektora); </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4c2 fizičke osobe (vlasnici stambenih zgrada/kuća);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4c3 i 4c4 tijela regionalne i lokalne samouprave, tvrtke koje se bave javnim uslugama.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Primjer aktivnosti koje će biti financirane u svrhu ostvarenja specifičnih ciljeva:</w:t>
            </w: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4c1 i 4c2</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Provedba programa energetske obnove zgrada (javne i stambene), promicanje cjelovite obnove, uključujući povođenje energetskih pregleda, energetsko certificiranje, izradu projektne dokumentacije, poticanje sklapanja ugovora o energetskom učinku i provođenja mjera obnove poput zamjene starih prozora novima (U-vrijednosti niže od propisanog), zadovoljavanje minimalnih zahtjeva u pogledu toplinske izolacije, rekonstrukcija/ugradnja sustava za grijanje/hlađenje, uvođenje razdjelnika topline, ugradnje dizalica topline itd.;</w:t>
            </w: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ugradnja pametnih brojila, pružanje točnih povratnih informacija u vezi s neposrednom potrošnjom energije, uvođenje sustava upravljanja energijom u domaćinstvu, uključujući razne mogućnost bežične komunikacije (za pametno mjerenje) koji pridonose posebnom cilju dopuštajući korisnicima pažljivije, učinkovitije i ekonomičnije korištenje i upravljanje izvorima energije;-</w:t>
            </w:r>
            <w:r w:rsidRPr="00A851A0">
              <w:rPr>
                <w:rFonts w:ascii="Times New Roman" w:hAnsi="Times New Roman"/>
              </w:rPr>
              <w:tab/>
              <w:t>mjere kojima se promiče gradnja zgrada gotovo nulte energije, čime bi se postupno  postigla  radikalna promjena u načinu na koji se energija koristi u građevinskom sektoru;</w:t>
            </w: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promicanje korištenja obnovljivih izvora energije u svim  kategorijama zgrada (zgradama javnog sektora i stambenom sektoru) primjerice ugradnjom sustava za solarno grijanje, toplana na biomasu itd., visokoučinkovita kogeneracija na bazi obnovljivih izvora energije, time zamjenjujući konvencionalno korištena goriva i pružajući stabilne i sigurne neovisne izvore energije, što je od izrazite važnosti u slučaju zabačenijih područja;</w:t>
            </w: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aktivnosti povezane s upravljanjem, edukacijom i komunikacijom: pomoć u uspostavi kapaciteta za  provođenje mjera energetske učinkovitosti u općinama/županijama, priprema planova energetske učinkovitosti na regionalnoj/lokalnoj razini, uvođenje IT-programa za kontinuirano praćenje i analizu potrošnje energije, radionice za širu javnost, edukacija energetskih savjetnika, promotivne aktivnosti (materijali za informiranje, brošure, reklame, spotovi).</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4c3</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Ulaganja u mrežu toplinarstva – renovacija i modernizacija, uključujući mjere usmjerene smanjivanju gubitka topline, vode i pare;</w:t>
            </w: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renovacija kotlova i ulaganja u čišće i efikasnije tehnologije, uključujući potencijalni prelazak na korištenje obnovljivih izvora energije (primarno na biomasu) i integraciju bioplina u javni sustav grijanja;</w:t>
            </w: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kampanje za podizanje svijesti javnosti i informiranje o korištenju sustava toplinarstva.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4c4</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 xml:space="preserve">Mjere povećavanja učinkovitosti sustava javne rasvjete, tj. zamjena trenutnih svjetala učinkovitijima, uključujući uvođenje LED-tehnologije u široj mjeri.Specifični ciljevi 4c 1 i </w:t>
            </w:r>
            <w:r w:rsidRPr="00A851A0">
              <w:rPr>
                <w:rFonts w:ascii="Times New Roman" w:hAnsi="Times New Roman"/>
              </w:rPr>
              <w:lastRenderedPageBreak/>
              <w:t>4c2</w:t>
            </w: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 xml:space="preserve">Energetski pregledi su obvezni preduvjet za ulaganje u energetsku obnovu zgrada, tj. neće se započeti s ulaganjem prije dovršetka energetskog pregleda; važno je napomenuti da su energetski pregledi prihvatljivi za sufinanciranje temeljem ovoga specifičnog cilja. </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Glavni kriteriji za prioritete pri odabiru ulaganja će se odnositi na razinu planirane uštede, pri čemu će prioritet biti cjelovita obnova koje dovodi do značajnih  energetskih ušteda (obično od oko 30 % do 60 %). Uz to, prioritet će biti smanjenje potrošnje energije u zgradama energetskog razreda D ili nižeg, izgrađenih prije 1987.</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Osim koristi strogo povezanih s energijom, tijekom odabira će također biti uzet u obzir doprinos razvoju lokalnih gospodarstava putem tehnološkog razvoja i kreiranja novih poslova unutar aktivnosti obnove i korištenja lokalno dostupnih OIE-ova (biomasa, solarna energija).Pozornost se treba posvetiti primjeni (ako je moguće, u skladu s preporukom nakon izvršenog energetskog pregleda) integriranog pristupa, tj. uključivanju i udruživanju mjera povezanih s energetskom učinkovitosti i OIE-ovima u zgradama koje će biti predmet obnove. Važno je napomenuti da ulaganja u OIE-ove koja spadaju u sustav zajamčenih tarifa neće biti podržana unutar specifičnih ciljeva.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Specifični cilj 4c3</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Što se tiče sustava toplinarstva, ulaganja će biti usmjerena na postojeći sustav, odnosno odabir će se ograničiti na trenutnih 18 urbanih područja sa ugrađenim sustavom toplinarstva, pri čemu će se prednost dati područjima na kojima se toplinarstvo više koristi. Imajući u vidu činjenicu da je sustav toplinarstva zasad u većoj mjeri razvijen samo u nekoliko većih gradova, ovaj specifični cilj se namjerava provesti u sklopu integriranog teritorijalnog pristupa. Istovremeno, u tijeku odabira operacija, posebno će se paziti da su ulaganja u toplinarstvo usklađena s ulaganjima u sklopu specifičnih ciljeva 4c1 i 4c2, zato što je glavni korisnik sustava toplinarstva sektor zgradarstva (kućanstva i javna infrastruktura), a u cilju razvijanja integralnog koncepta (za sustav toplinarstva i zgrade spojene na njega).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Specifični cilj 4c4</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Što se tiče sustava javne rasvjete, sva ulaganja će morati biti dio akcijskih planova za energetski učinkovitu javnu rasvjetu koje moraju razviti lokalna/regionalna tijela.</w:t>
            </w:r>
          </w:p>
          <w:p w:rsidR="000C5259" w:rsidRPr="004C117D" w:rsidRDefault="000C5259" w:rsidP="001A0292">
            <w:pPr>
              <w:widowControl w:val="0"/>
              <w:shd w:val="clear" w:color="auto" w:fill="FFFFFF"/>
              <w:autoSpaceDE w:val="0"/>
              <w:autoSpaceDN w:val="0"/>
              <w:adjustRightInd w:val="0"/>
              <w:rPr>
                <w:rFonts w:ascii="Times New Roman" w:hAnsi="Times New Roman"/>
              </w:rPr>
            </w:pPr>
          </w:p>
        </w:tc>
      </w:tr>
    </w:tbl>
    <w:p w:rsidR="000C5259" w:rsidRDefault="000C5259" w:rsidP="000C5259">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b/>
          <w:i/>
          <w:iCs/>
          <w:color w:val="000000"/>
          <w:spacing w:val="1"/>
          <w:sz w:val="24"/>
          <w:szCs w:val="24"/>
          <w:lang w:eastAsia="hr-HR"/>
        </w:rPr>
      </w:pPr>
    </w:p>
    <w:p w:rsidR="000C5259" w:rsidRDefault="000C5259" w:rsidP="000C5259">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b/>
          <w:i/>
          <w:iCs/>
          <w:color w:val="000000"/>
          <w:spacing w:val="1"/>
          <w:sz w:val="24"/>
          <w:szCs w:val="24"/>
          <w:lang w:eastAsia="hr-HR"/>
        </w:rPr>
      </w:pPr>
    </w:p>
    <w:p w:rsidR="00FC3F35" w:rsidRDefault="00FC3F35" w:rsidP="000C5259">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b/>
          <w:i/>
          <w:iCs/>
          <w:color w:val="000000"/>
          <w:spacing w:val="1"/>
          <w:sz w:val="24"/>
          <w:szCs w:val="24"/>
          <w:lang w:eastAsia="hr-HR"/>
        </w:rPr>
      </w:pPr>
      <w:r w:rsidRPr="00576C1D">
        <w:rPr>
          <w:rFonts w:ascii="Times New Roman" w:eastAsia="Times New Roman" w:hAnsi="Times New Roman" w:cs="Times New Roman"/>
          <w:b/>
          <w:i/>
          <w:iCs/>
          <w:color w:val="000000"/>
          <w:spacing w:val="1"/>
          <w:sz w:val="24"/>
          <w:szCs w:val="24"/>
          <w:lang w:eastAsia="hr-HR"/>
        </w:rPr>
        <w:t>2.A.6.2 Vodeća načela za odabir operacija</w:t>
      </w:r>
    </w:p>
    <w:tbl>
      <w:tblPr>
        <w:tblStyle w:val="TableGrid"/>
        <w:tblW w:w="0" w:type="auto"/>
        <w:tblLook w:val="04A0" w:firstRow="1" w:lastRow="0" w:firstColumn="1" w:lastColumn="0" w:noHBand="0" w:noVBand="1"/>
      </w:tblPr>
      <w:tblGrid>
        <w:gridCol w:w="2802"/>
        <w:gridCol w:w="12332"/>
      </w:tblGrid>
      <w:tr w:rsidR="000C5259" w:rsidRPr="005E763C" w:rsidTr="000C5259">
        <w:tc>
          <w:tcPr>
            <w:tcW w:w="2802" w:type="dxa"/>
            <w:vAlign w:val="center"/>
          </w:tcPr>
          <w:p w:rsidR="000C5259" w:rsidRPr="00593567" w:rsidRDefault="000C5259" w:rsidP="001A0292">
            <w:pPr>
              <w:rPr>
                <w:rFonts w:ascii="Times New Roman" w:hAnsi="Times New Roman"/>
                <w:sz w:val="24"/>
                <w:szCs w:val="24"/>
              </w:rPr>
            </w:pPr>
            <w:r w:rsidRPr="00576C1D">
              <w:rPr>
                <w:rFonts w:ascii="Times New Roman" w:hAnsi="Times New Roman"/>
                <w:b/>
                <w:sz w:val="18"/>
                <w:szCs w:val="18"/>
              </w:rPr>
              <w:t>Investicijski prioritet</w:t>
            </w:r>
          </w:p>
        </w:tc>
        <w:tc>
          <w:tcPr>
            <w:tcW w:w="12332" w:type="dxa"/>
            <w:vAlign w:val="center"/>
          </w:tcPr>
          <w:p w:rsidR="000C5259" w:rsidRPr="00593567" w:rsidRDefault="000C5259"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4c - Podupiranje energetske učinkovitosti, pametnog upravljanja energijom i korištenja OIE u javnoj infrastrukturi, uključujući javne zgrade, i u stambenom sektoru</w:t>
            </w:r>
          </w:p>
        </w:tc>
      </w:tr>
      <w:tr w:rsidR="000C5259" w:rsidRPr="004C117D" w:rsidTr="000C5259">
        <w:tc>
          <w:tcPr>
            <w:tcW w:w="15134" w:type="dxa"/>
            <w:gridSpan w:val="2"/>
            <w:vAlign w:val="center"/>
          </w:tcPr>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Specifični ciljevi 4c 1 i 4c2</w:t>
            </w:r>
          </w:p>
          <w:p w:rsidR="000C5259" w:rsidRPr="00A851A0" w:rsidRDefault="000C5259" w:rsidP="001A0292">
            <w:pPr>
              <w:widowControl w:val="0"/>
              <w:shd w:val="clear" w:color="auto" w:fill="FFFFFF"/>
              <w:autoSpaceDE w:val="0"/>
              <w:autoSpaceDN w:val="0"/>
              <w:adjustRightInd w:val="0"/>
              <w:rPr>
                <w:rFonts w:ascii="Times New Roman" w:hAnsi="Times New Roman"/>
              </w:rPr>
            </w:pP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 xml:space="preserve">Energetski pregledi su obvezni preduvjet za ulaganje u energetsku obnovu zgrada, tj. neće se započeti s ulaganjem prije dovršetka energetskog pregleda; važno je napomenuti da su energetski pregledi prihvatljivi za sufinanciranje temeljem ovoga specifičnog cilja. </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Glavni kriteriji za prioritete pri odabiru ulaganja će se odnositi na razinu planirane uštede, pri čemu će prioritet biti cjelovita obnova koje dovodi do značajnih  energetskih ušteda (obično od oko 30 % do 60 %). Uz to, prioritet će biti smanjenje potrošnje energije u zgradama energetskog razreda D ili nižeg, izgrađenih prije 1987.</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Osim koristi strogo povezanih s energijom, tijekom odabira će također biti uzet u obzir doprinos razvoju lokalnih gospodarstava putem tehnološkog razvoja i kreiranja novih poslova unutar aktivnosti obnove i korištenja lokalno dostupnih OIE-ova (biomasa, solarna energija).Pozornost se treba posvetiti primjeni (ako je moguće, u skladu s preporukom nakon izvršenog energetskog pregleda) integriranog pristupa, tj. uključivanju i udruživanju mjera povezanih s energetskom učinkovitosti i OIE-ovima u zgradama koje će biti predmet obnove. Važno je napomenuti da ulaganja u OIE-ove koja spadaju u sustav zajamčenih tarifa neće biti podržana unutar specifičnih ciljeva.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Specifični cilj 4c3</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Što se tiče sustava toplinarstva, ulaganja će biti usmjerena na postojeći sustav, odnosno odabir će se ograničiti na trenutnih 18 urbanih područja sa ugrađenim sustavom toplinarstva, pri čemu će se prednost dati područjima na kojima se toplinarstvo više koristi. Imajući u vidu činjenicu da je sustav toplinarstva zasad u većoj mjeri razvijen samo u nekoliko većih gradova, ovaj specifični cilj se namjerava provesti u sklopu integriranog teritorijalnog pristupa. Istovremeno, u tijeku odabira operacija, posebno će se paziti da su ulaganja u toplinarstvo usklađena s ulaganjima u sklopu specifičnih ciljeva 4c1 i 4c2, zato što je glavni korisnik sustava toplinarstva sektor zgradarstva (kućanstva i javna infrastruktura), a u cilju razvijanja integralnog koncepta (za sustav toplinarstva i zgrade spojene na njega).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Specifični cilj 4c4</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lastRenderedPageBreak/>
              <w:t>Što se tiče sustava javne rasvjete, sva ulaganja će morati biti dio akcijskih planova za energetski učinkovitu javnu rasvjetu koje moraju razviti lokalna/regionalna tijela.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Specifični ciljevi 4c1, 4c2, 4c3 i 4c4</w:t>
            </w:r>
          </w:p>
          <w:p w:rsidR="000C5259" w:rsidRPr="004C117D"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Ulaganja planirana u okviru ovoga IP-a imaju, u načelu, značajni izvor prihoda, te će stoga posebna pozornost biti posvećena izbjegavanju prekomjernog (javnog) financiranja i omogućavanju dostatne financijske poluge privatnih sredstava.Razminiranje će se provoditi kao pripremna aktivnost gdje god je potrebno, tj. ako je ono preduvjet za provedbu projekta, bit će uključeno u ukupne projektne aktivnosti/troškove.</w:t>
            </w:r>
          </w:p>
        </w:tc>
      </w:tr>
    </w:tbl>
    <w:p w:rsidR="00FC3F35" w:rsidRDefault="00FC3F35" w:rsidP="00FC3F35">
      <w:pPr>
        <w:widowControl w:val="0"/>
        <w:shd w:val="clear" w:color="auto" w:fill="FFFFFF"/>
        <w:autoSpaceDE w:val="0"/>
        <w:autoSpaceDN w:val="0"/>
        <w:adjustRightInd w:val="0"/>
        <w:spacing w:before="1008" w:after="182" w:line="240" w:lineRule="auto"/>
        <w:ind w:left="533"/>
        <w:rPr>
          <w:rFonts w:ascii="Times New Roman" w:eastAsia="Times New Roman" w:hAnsi="Times New Roman" w:cs="Times New Roman"/>
          <w:bCs/>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lastRenderedPageBreak/>
        <w:t xml:space="preserve">2.A.6.3 Planirano korištenje financijskih instrumenata </w:t>
      </w:r>
      <w:r w:rsidRPr="00576C1D">
        <w:rPr>
          <w:rFonts w:ascii="Times New Roman" w:eastAsia="Times New Roman" w:hAnsi="Times New Roman" w:cs="Times New Roman"/>
          <w:bCs/>
          <w:iCs/>
          <w:color w:val="000000"/>
          <w:spacing w:val="-1"/>
          <w:sz w:val="24"/>
          <w:szCs w:val="24"/>
          <w:lang w:eastAsia="hr-HR"/>
        </w:rPr>
        <w:t>(po potrebi)</w:t>
      </w:r>
    </w:p>
    <w:tbl>
      <w:tblPr>
        <w:tblStyle w:val="TableGrid"/>
        <w:tblW w:w="0" w:type="auto"/>
        <w:tblLayout w:type="fixed"/>
        <w:tblLook w:val="04A0" w:firstRow="1" w:lastRow="0" w:firstColumn="1" w:lastColumn="0" w:noHBand="0" w:noVBand="1"/>
      </w:tblPr>
      <w:tblGrid>
        <w:gridCol w:w="2802"/>
        <w:gridCol w:w="13167"/>
      </w:tblGrid>
      <w:tr w:rsidR="000C5259" w:rsidRPr="005E763C" w:rsidTr="000C5259">
        <w:tc>
          <w:tcPr>
            <w:tcW w:w="2802" w:type="dxa"/>
            <w:vAlign w:val="center"/>
          </w:tcPr>
          <w:p w:rsidR="000C5259" w:rsidRPr="00593567" w:rsidRDefault="000C5259" w:rsidP="001A0292">
            <w:pPr>
              <w:rPr>
                <w:rFonts w:ascii="Times New Roman" w:hAnsi="Times New Roman"/>
                <w:sz w:val="24"/>
                <w:szCs w:val="24"/>
              </w:rPr>
            </w:pPr>
            <w:r w:rsidRPr="00576C1D">
              <w:rPr>
                <w:rFonts w:ascii="Times New Roman" w:hAnsi="Times New Roman"/>
                <w:b/>
                <w:sz w:val="18"/>
                <w:szCs w:val="18"/>
              </w:rPr>
              <w:t>Investicijski prioritet</w:t>
            </w:r>
          </w:p>
        </w:tc>
        <w:tc>
          <w:tcPr>
            <w:tcW w:w="13167" w:type="dxa"/>
            <w:vAlign w:val="center"/>
          </w:tcPr>
          <w:p w:rsidR="000C5259" w:rsidRPr="00593567" w:rsidRDefault="000C5259"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4c - Podupiranje energetske učinkovitosti, pametnog upravljanja energijom i korištenja OIE u javnoj infrastrukturi, uključujući javne zgrade, i u stambenom sektoru</w:t>
            </w:r>
          </w:p>
        </w:tc>
      </w:tr>
      <w:tr w:rsidR="000C5259" w:rsidRPr="004C117D" w:rsidTr="000C5259">
        <w:tc>
          <w:tcPr>
            <w:tcW w:w="15969" w:type="dxa"/>
            <w:gridSpan w:val="2"/>
            <w:vAlign w:val="center"/>
          </w:tcPr>
          <w:p w:rsidR="000C5259" w:rsidRPr="004C117D" w:rsidRDefault="000C5259" w:rsidP="001A0292">
            <w:pPr>
              <w:widowControl w:val="0"/>
              <w:shd w:val="clear" w:color="auto" w:fill="FFFFFF"/>
              <w:autoSpaceDE w:val="0"/>
              <w:autoSpaceDN w:val="0"/>
              <w:adjustRightInd w:val="0"/>
              <w:rPr>
                <w:rFonts w:ascii="Times New Roman" w:hAnsi="Times New Roman"/>
              </w:rPr>
            </w:pPr>
            <w:r w:rsidRPr="000C5259">
              <w:rPr>
                <w:rFonts w:ascii="Times New Roman" w:hAnsi="Times New Roman"/>
              </w:rPr>
              <w:t>Zbog naravi planiranih ulaganja, namjera je koristiti financijske instrumente za specifične ciljeve 4c1 i 4c2. Očekuje se da će Europska investicijska banka izvršiti ex-ante evaluaciju i pružiti pomoć u uspostavi financijskih instrumenata u nekoliko sektora, uključujući energetsku učinkovitost i obnovljive izvore energije. Međutim, budući da su financijski instrumenti složen mehanizam, očekuje se da će za njegovu uspostavu trebati značajna količina vremena. Stoga, kako bi se osigurala provedba programa s ciljem postizanja ciljeva/svrha postavljenih u pogledu energetske učinkovitosti i obnovljivih izvora energije, u međuvremenu je predviđeno korištenje klasičnih oblika financiranja tj. sheme za dodjelu bespovratnih sredstava. Takav sustav financiranja je razvijen u suradnji i pod vodstvom Jaspersa a oslanja se (u najvećoj mogućoj mjeri) na postojeće i provedbene programe energetske obnove zgrada, kao i na rad/savjete u sklopu Studije Svjetske banke o provedbi i financiranju radi povećanja energetske učinkovitosti u sektoru zgradarstva. Ovaj sustav financiranja će služiti kao alat provedbe u fazama, s ciljem premošćivanja razdoblja do stavljanja financijskog instrumenta u upotrebu.</w:t>
            </w:r>
          </w:p>
        </w:tc>
      </w:tr>
    </w:tbl>
    <w:p w:rsidR="003A2C49" w:rsidRDefault="003A2C49" w:rsidP="003A2C49">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z w:val="24"/>
          <w:szCs w:val="24"/>
          <w:lang w:eastAsia="hr-HR"/>
        </w:rPr>
      </w:pPr>
    </w:p>
    <w:p w:rsidR="003A2C49" w:rsidRDefault="003A2C49" w:rsidP="003A2C49">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z w:val="24"/>
          <w:szCs w:val="24"/>
          <w:lang w:eastAsia="hr-HR"/>
        </w:rPr>
      </w:pPr>
    </w:p>
    <w:p w:rsidR="00FC3F35" w:rsidRDefault="00FC3F35" w:rsidP="003A2C49">
      <w:pPr>
        <w:widowControl w:val="0"/>
        <w:shd w:val="clear" w:color="auto" w:fill="FFFFFF"/>
        <w:autoSpaceDE w:val="0"/>
        <w:autoSpaceDN w:val="0"/>
        <w:adjustRightInd w:val="0"/>
        <w:spacing w:after="0" w:line="240" w:lineRule="auto"/>
        <w:rPr>
          <w:rFonts w:ascii="Times New Roman" w:eastAsia="Times New Roman" w:hAnsi="Times New Roman" w:cs="Times New Roman"/>
          <w:bCs/>
          <w:iCs/>
          <w:color w:val="000000"/>
          <w:sz w:val="24"/>
          <w:szCs w:val="24"/>
          <w:lang w:eastAsia="hr-HR"/>
        </w:rPr>
      </w:pPr>
      <w:r w:rsidRPr="00576C1D">
        <w:rPr>
          <w:rFonts w:ascii="Times New Roman" w:eastAsia="Times New Roman" w:hAnsi="Times New Roman" w:cs="Times New Roman"/>
          <w:b/>
          <w:bCs/>
          <w:i/>
          <w:iCs/>
          <w:color w:val="000000"/>
          <w:sz w:val="24"/>
          <w:szCs w:val="24"/>
          <w:lang w:eastAsia="hr-HR"/>
        </w:rPr>
        <w:t xml:space="preserve">2.A.6.4 Planirano korištenje velikih projekata </w:t>
      </w:r>
      <w:r w:rsidRPr="00576C1D">
        <w:rPr>
          <w:rFonts w:ascii="Times New Roman" w:eastAsia="Times New Roman" w:hAnsi="Times New Roman" w:cs="Times New Roman"/>
          <w:bCs/>
          <w:iCs/>
          <w:color w:val="000000"/>
          <w:sz w:val="24"/>
          <w:szCs w:val="24"/>
          <w:lang w:eastAsia="hr-HR"/>
        </w:rPr>
        <w:t>(po potrebi)</w:t>
      </w:r>
    </w:p>
    <w:tbl>
      <w:tblPr>
        <w:tblStyle w:val="TableGrid"/>
        <w:tblW w:w="15984" w:type="dxa"/>
        <w:tblLook w:val="04A0" w:firstRow="1" w:lastRow="0" w:firstColumn="1" w:lastColumn="0" w:noHBand="0" w:noVBand="1"/>
      </w:tblPr>
      <w:tblGrid>
        <w:gridCol w:w="4531"/>
        <w:gridCol w:w="11453"/>
      </w:tblGrid>
      <w:tr w:rsidR="000C5259" w:rsidRPr="005E763C" w:rsidTr="00082CF4">
        <w:tc>
          <w:tcPr>
            <w:tcW w:w="4531" w:type="dxa"/>
            <w:vAlign w:val="center"/>
          </w:tcPr>
          <w:p w:rsidR="000C5259" w:rsidRPr="00593567" w:rsidRDefault="000C5259" w:rsidP="001A0292">
            <w:pPr>
              <w:rPr>
                <w:rFonts w:ascii="Times New Roman" w:hAnsi="Times New Roman"/>
                <w:sz w:val="24"/>
                <w:szCs w:val="24"/>
              </w:rPr>
            </w:pPr>
            <w:r w:rsidRPr="00576C1D">
              <w:rPr>
                <w:rFonts w:ascii="Times New Roman" w:hAnsi="Times New Roman"/>
                <w:b/>
                <w:sz w:val="18"/>
                <w:szCs w:val="18"/>
              </w:rPr>
              <w:t>Investicijski prioritet</w:t>
            </w:r>
          </w:p>
        </w:tc>
        <w:tc>
          <w:tcPr>
            <w:tcW w:w="11453" w:type="dxa"/>
            <w:vAlign w:val="center"/>
          </w:tcPr>
          <w:p w:rsidR="000C5259" w:rsidRPr="00593567" w:rsidRDefault="000C5259"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4c - Podupiranje energetske učinkovitosti, pametnog upravljanja energijom i korištenja OIE u javnoj infrastrukturi, uključujući javne zgrade, i u stambenom sektoru</w:t>
            </w:r>
          </w:p>
        </w:tc>
      </w:tr>
      <w:tr w:rsidR="000C5259" w:rsidRPr="004C117D" w:rsidTr="00082CF4">
        <w:tc>
          <w:tcPr>
            <w:tcW w:w="15984" w:type="dxa"/>
            <w:gridSpan w:val="2"/>
            <w:vAlign w:val="center"/>
          </w:tcPr>
          <w:p w:rsidR="000C5259" w:rsidRPr="004C117D"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Nije predviđeno</w:t>
            </w:r>
          </w:p>
        </w:tc>
      </w:tr>
    </w:tbl>
    <w:p w:rsidR="003A2C49" w:rsidRDefault="003A2C49"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i/>
          <w:iCs/>
          <w:color w:val="000000"/>
          <w:sz w:val="24"/>
          <w:szCs w:val="24"/>
          <w:lang w:eastAsia="hr-HR"/>
        </w:rPr>
      </w:pPr>
    </w:p>
    <w:p w:rsidR="003A2C49" w:rsidRDefault="003A2C49"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i/>
          <w:iCs/>
          <w:color w:val="000000"/>
          <w:sz w:val="24"/>
          <w:szCs w:val="24"/>
          <w:lang w:eastAsia="hr-HR"/>
        </w:rPr>
      </w:pPr>
    </w:p>
    <w:p w:rsidR="00FC3F35" w:rsidRPr="00576C1D" w:rsidRDefault="00FC3F35" w:rsidP="003A2C49">
      <w:pPr>
        <w:widowControl w:val="0"/>
        <w:shd w:val="clear" w:color="auto" w:fill="FFFFFF"/>
        <w:autoSpaceDE w:val="0"/>
        <w:autoSpaceDN w:val="0"/>
        <w:adjustRightInd w:val="0"/>
        <w:spacing w:after="0" w:line="240" w:lineRule="auto"/>
        <w:ind w:left="533" w:hanging="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2.A.6.5 Pokazatelji neposrednih rezultata po investicijskom prioritetu i, po potrebi, po kategoriji regije</w:t>
      </w:r>
    </w:p>
    <w:p w:rsidR="00FC3F35" w:rsidRPr="00576C1D" w:rsidRDefault="00FC3F35" w:rsidP="003A2C49">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15876" w:type="dxa"/>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965"/>
      </w:tblGrid>
      <w:tr w:rsidR="00FC3F35" w:rsidRPr="00576C1D" w:rsidTr="00082CF4">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3591"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4c - Podupiranje energetske učinkovitosti, pametnog upravljanja energijom i korištenja OIE u javnoj infrastrukturi, uključujući javne zgrade, i u stambenom sektoru)</w:t>
            </w:r>
          </w:p>
        </w:tc>
      </w:tr>
      <w:tr w:rsidR="00FC3F35" w:rsidRPr="00576C1D" w:rsidTr="00082CF4">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w w:val="99"/>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Izvor podataka</w:t>
            </w:r>
          </w:p>
        </w:tc>
        <w:tc>
          <w:tcPr>
            <w:tcW w:w="19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w w:val="99"/>
                <w:sz w:val="16"/>
                <w:szCs w:val="16"/>
                <w:lang w:eastAsia="hr-HR"/>
              </w:rPr>
              <w:t>Učestalost izvješćivanja</w:t>
            </w:r>
          </w:p>
        </w:tc>
      </w:tr>
      <w:tr w:rsidR="00FC3F35" w:rsidRPr="00576C1D" w:rsidTr="00082CF4">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b/>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9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082CF4">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CO31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Energetska učinkovitost: broj kućanstava s poboljšanom energetskom učinkovitošću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Kućanstva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60.669,00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9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082CF4">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lastRenderedPageBreak/>
              <w:t>CO32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2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Energetska učinkovitost: Smanjenje primarne potrošnje energije na godišnjoj razini u javnim zgradama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kWh/godina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231,000.000,00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9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082CF4">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4c22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Smanjenje primarne potrošnje energije u zgradama stambenog sektora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GWh/godina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943,00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9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082CF4">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4c32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Ukupna ušteda s obzirom na energetsku učinkovitost u sustavu toplinarstva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PJ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7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2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Ministarstvo gospodarstva</w:t>
            </w:r>
          </w:p>
        </w:tc>
        <w:tc>
          <w:tcPr>
            <w:tcW w:w="19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082CF4">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4c42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37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Smanjenje potrošnje električne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godišnje</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2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Ministarstvo gospodarstva i</w:t>
            </w:r>
          </w:p>
        </w:tc>
        <w:tc>
          <w:tcPr>
            <w:tcW w:w="19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082CF4">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3591"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4c - Podupiranje energetske učinkovitosti, pametnog upravljanja energijom i korištenje OIE u javnoj infrastrukturi, uključujući javne zgrade i u stambenom sektoru)</w:t>
            </w:r>
          </w:p>
        </w:tc>
      </w:tr>
      <w:tr w:rsidR="00FC3F35" w:rsidRPr="00576C1D" w:rsidTr="00082CF4">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w w:val="99"/>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w w:val="99"/>
                <w:sz w:val="16"/>
                <w:szCs w:val="16"/>
                <w:lang w:eastAsia="hr-HR"/>
              </w:rPr>
              <w:t>Izvor podataka</w:t>
            </w:r>
          </w:p>
        </w:tc>
        <w:tc>
          <w:tcPr>
            <w:tcW w:w="19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w w:val="99"/>
                <w:sz w:val="16"/>
                <w:szCs w:val="16"/>
                <w:lang w:eastAsia="hr-HR"/>
              </w:rPr>
              <w:t>Učestalost izvješćivanja</w:t>
            </w:r>
          </w:p>
        </w:tc>
      </w:tr>
      <w:tr w:rsidR="00FC3F35" w:rsidRPr="00576C1D" w:rsidTr="00082CF4">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9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082CF4">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9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0"/>
                <w:sz w:val="18"/>
                <w:szCs w:val="18"/>
                <w:lang w:eastAsia="hr-HR"/>
              </w:rPr>
              <w:t>energije za javnu rasvjetu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48" w:hanging="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1"/>
                <w:sz w:val="18"/>
                <w:szCs w:val="18"/>
                <w:lang w:eastAsia="hr-HR"/>
              </w:rPr>
              <w:t>Fond za energetsku učinkovitost</w:t>
            </w:r>
          </w:p>
        </w:tc>
        <w:tc>
          <w:tcPr>
            <w:tcW w:w="19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557" w:line="1" w:lineRule="exact"/>
        <w:rPr>
          <w:rFonts w:ascii="Times New Roman" w:eastAsia="Times New Roman" w:hAnsi="Times New Roman" w:cs="Times New Roman"/>
          <w:sz w:val="2"/>
          <w:szCs w:val="2"/>
          <w:lang w:eastAsia="hr-HR"/>
        </w:rPr>
      </w:pPr>
    </w:p>
    <w:tbl>
      <w:tblPr>
        <w:tblW w:w="15876" w:type="dxa"/>
        <w:tblInd w:w="40" w:type="dxa"/>
        <w:tblLayout w:type="fixed"/>
        <w:tblCellMar>
          <w:left w:w="40" w:type="dxa"/>
          <w:right w:w="40" w:type="dxa"/>
        </w:tblCellMar>
        <w:tblLook w:val="0000" w:firstRow="0" w:lastRow="0" w:firstColumn="0" w:lastColumn="0" w:noHBand="0" w:noVBand="0"/>
      </w:tblPr>
      <w:tblGrid>
        <w:gridCol w:w="3261"/>
        <w:gridCol w:w="922"/>
        <w:gridCol w:w="355"/>
        <w:gridCol w:w="1046"/>
        <w:gridCol w:w="2822"/>
        <w:gridCol w:w="480"/>
        <w:gridCol w:w="950"/>
        <w:gridCol w:w="576"/>
        <w:gridCol w:w="5464"/>
      </w:tblGrid>
      <w:tr w:rsidR="00FC3F35" w:rsidRPr="00576C1D" w:rsidTr="00082CF4">
        <w:trPr>
          <w:trHeight w:hRule="exact" w:val="346"/>
        </w:trPr>
        <w:tc>
          <w:tcPr>
            <w:tcW w:w="326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92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55"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4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82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80"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50"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7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6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082CF4">
        <w:trPr>
          <w:trHeight w:hRule="exact" w:val="336"/>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922"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4d</w:t>
            </w:r>
          </w:p>
        </w:tc>
        <w:tc>
          <w:tcPr>
            <w:tcW w:w="35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4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82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8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5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7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6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082CF4">
        <w:trPr>
          <w:trHeight w:hRule="exact" w:val="35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2615"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4"/>
                <w:sz w:val="18"/>
                <w:szCs w:val="18"/>
                <w:lang w:eastAsia="hr-HR"/>
              </w:rPr>
              <w:t>Razvoj i provedba pametnih sustava distribucije koji djeluju pri niskim i srednjim razinama napona</w:t>
            </w:r>
          </w:p>
        </w:tc>
      </w:tr>
    </w:tbl>
    <w:p w:rsidR="00FC3F35" w:rsidRPr="00576C1D" w:rsidRDefault="00FC3F35" w:rsidP="00FC3F35">
      <w:pPr>
        <w:widowControl w:val="0"/>
        <w:shd w:val="clear" w:color="auto" w:fill="FFFFFF"/>
        <w:autoSpaceDE w:val="0"/>
        <w:autoSpaceDN w:val="0"/>
        <w:adjustRightInd w:val="0"/>
        <w:spacing w:before="490"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15876" w:type="dxa"/>
        <w:tblInd w:w="40" w:type="dxa"/>
        <w:tblLayout w:type="fixed"/>
        <w:tblCellMar>
          <w:left w:w="40" w:type="dxa"/>
          <w:right w:w="40" w:type="dxa"/>
        </w:tblCellMar>
        <w:tblLook w:val="0000" w:firstRow="0" w:lastRow="0" w:firstColumn="0" w:lastColumn="0" w:noHBand="0" w:noVBand="0"/>
      </w:tblPr>
      <w:tblGrid>
        <w:gridCol w:w="2707"/>
        <w:gridCol w:w="13169"/>
      </w:tblGrid>
      <w:tr w:rsidR="00FC3F35" w:rsidRPr="00576C1D" w:rsidTr="00082CF4">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Oznaka specifičnog cilja</w:t>
            </w:r>
          </w:p>
        </w:tc>
        <w:tc>
          <w:tcPr>
            <w:tcW w:w="1316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4d1</w:t>
            </w:r>
          </w:p>
        </w:tc>
      </w:tr>
      <w:tr w:rsidR="00FC3F35" w:rsidRPr="00576C1D" w:rsidTr="00082CF4">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w w:val="95"/>
                <w:sz w:val="18"/>
                <w:szCs w:val="18"/>
                <w:lang w:eastAsia="hr-HR"/>
              </w:rPr>
              <w:t>Naziv specifičnog cilja</w:t>
            </w:r>
          </w:p>
        </w:tc>
        <w:tc>
          <w:tcPr>
            <w:tcW w:w="1316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Uvođenje pametnih mreža na pilot područjima</w:t>
            </w:r>
          </w:p>
        </w:tc>
      </w:tr>
      <w:tr w:rsidR="00FC3F35" w:rsidRPr="00576C1D" w:rsidTr="00082CF4">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w w:val="95"/>
                <w:sz w:val="18"/>
                <w:szCs w:val="18"/>
                <w:lang w:eastAsia="hr-HR"/>
              </w:rPr>
              <w:t>Rezultati koje države članice žele postići uz potporu Unije</w:t>
            </w:r>
          </w:p>
        </w:tc>
        <w:tc>
          <w:tcPr>
            <w:tcW w:w="1316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Hrvatska elektroenergetska mreža je sastavljena od:</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lastRenderedPageBreak/>
              <w:t>• 7300 km prijenosnog sustava, od čega se većina nalazi na razini 110 kV, te</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135 000 km mreže distribucijskog sustava (uključujući veze između kućanstava), s velikom većinom na razinama od 10 kV i 0,4 kV.</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Distribucijski sustav niskog i srednjeg napona (do 100kV) obilježava njegova relativna starost (izgrađen 60-ih i 70-ih godina 20. stoljeća), zbog čega dolazi do značajnih problema s učinkovitosti i pouzdanosti. U smislu učinkovitosti, gubici u distribucijskoj mreži iznose 9 % (od ukupne potrošnje struje na distribucijskoj razini).</w:t>
            </w:r>
          </w:p>
          <w:p w:rsidR="00FC3F35" w:rsidRPr="00576C1D" w:rsidRDefault="00FC3F35" w:rsidP="00FC3F35">
            <w:pPr>
              <w:widowControl w:val="0"/>
              <w:shd w:val="clear" w:color="auto" w:fill="FFFFFF"/>
              <w:autoSpaceDE w:val="0"/>
              <w:autoSpaceDN w:val="0"/>
              <w:adjustRightInd w:val="0"/>
              <w:spacing w:after="0" w:line="278" w:lineRule="exact"/>
              <w:ind w:right="77"/>
              <w:rPr>
                <w:rFonts w:ascii="Times New Roman" w:eastAsia="Times New Roman" w:hAnsi="Times New Roman" w:cs="Times New Roman"/>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78" w:lineRule="exact"/>
              <w:ind w:right="7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Što se tiče uvođenja novih tehnologija (uglavnom na temelju IT-a) u distribucijske sustave, korištenje je praktički tek započelo. To se odnosi na razvoj pametnog mjernog sustava (za rješavanje primarno u sklopu specifičnih ciljeva 4.3.1 i 4.3.2) i pametne mreže. Prema tome, ovim bi se specifičnim ciljem trebalo usmjeriti na pružanje pomoći u inicijalno (pilot) uvođenje pametnih mreža u hrvatsku distribucijsku mrežu. Dotičnim će se mjerama postići sigurnost opskrbe i smanjenje tehničkih gubitaka kao i emisija C0</w:t>
            </w:r>
            <w:r w:rsidRPr="00576C1D">
              <w:rPr>
                <w:rFonts w:ascii="Times New Roman" w:eastAsia="Times New Roman" w:hAnsi="Times New Roman" w:cs="Times New Roman"/>
                <w:color w:val="000000"/>
                <w:spacing w:val="-1"/>
                <w:sz w:val="24"/>
                <w:szCs w:val="24"/>
                <w:vertAlign w:val="subscript"/>
                <w:lang w:eastAsia="hr-HR"/>
              </w:rPr>
              <w:t>2</w:t>
            </w:r>
            <w:r w:rsidRPr="00576C1D">
              <w:rPr>
                <w:rFonts w:ascii="Times New Roman" w:eastAsia="Times New Roman" w:hAnsi="Times New Roman" w:cs="Times New Roman"/>
                <w:color w:val="000000"/>
                <w:spacing w:val="-1"/>
                <w:sz w:val="24"/>
                <w:szCs w:val="24"/>
                <w:lang w:eastAsia="hr-HR"/>
              </w:rPr>
              <w:t>.</w:t>
            </w:r>
          </w:p>
        </w:tc>
      </w:tr>
    </w:tbl>
    <w:p w:rsidR="00943A84" w:rsidRDefault="00FC3F35" w:rsidP="00943A84">
      <w:pPr>
        <w:widowControl w:val="0"/>
        <w:shd w:val="clear" w:color="auto" w:fill="FFFFFF"/>
        <w:autoSpaceDE w:val="0"/>
        <w:autoSpaceDN w:val="0"/>
        <w:adjustRightInd w:val="0"/>
        <w:spacing w:after="8323" w:line="274" w:lineRule="exact"/>
        <w:ind w:left="3346"/>
        <w:rPr>
          <w:rFonts w:ascii="Times New Roman" w:eastAsia="Times New Roman" w:hAnsi="Times New Roman" w:cs="Times New Roman"/>
          <w:color w:val="000000"/>
          <w:spacing w:val="4"/>
          <w:sz w:val="24"/>
          <w:szCs w:val="24"/>
          <w:lang w:eastAsia="hr-HR"/>
        </w:rPr>
      </w:pPr>
      <w:r w:rsidRPr="00576C1D">
        <w:rPr>
          <w:rFonts w:ascii="Times New Roman" w:eastAsia="Times New Roman" w:hAnsi="Times New Roman" w:cs="Times New Roman"/>
          <w:color w:val="000000"/>
          <w:spacing w:val="4"/>
          <w:sz w:val="24"/>
          <w:szCs w:val="24"/>
          <w:lang w:eastAsia="hr-HR"/>
        </w:rPr>
        <w:lastRenderedPageBreak/>
        <w:t>.</w:t>
      </w:r>
    </w:p>
    <w:p w:rsidR="00FC3F35" w:rsidRPr="00576C1D" w:rsidRDefault="00FC3F35" w:rsidP="00943A84">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3"/>
                <w:sz w:val="20"/>
                <w:szCs w:val="20"/>
                <w:lang w:eastAsia="hr-HR"/>
              </w:rPr>
              <w:t>4d1 - Uvođenje pametnih mreža na pilot područjima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066"/>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4d11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Smanjenje gubitaka u distribucijskoj mreži u kojoj je primijenjen koncept "pametnih mreža" (od ukupne potrošnje struje na distribucijskoj razini</w:t>
            </w:r>
            <w:r w:rsidRPr="00576C1D">
              <w:rPr>
                <w:rFonts w:ascii="Times New Roman" w:eastAsia="Times New Roman" w:hAnsi="Times New Roman" w:cs="Times New Roman"/>
                <w:color w:val="000000"/>
                <w:spacing w:val="-2"/>
                <w:sz w:val="16"/>
                <w:szCs w:val="16"/>
                <w:lang w:eastAsia="hr-HR"/>
              </w:rPr>
              <w:t>)</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9,00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7,50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9"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Ministarstvo gospodarstva Operator distribucijskog sustava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 xml:space="preserve">2.A.6 Aktivnosti koje će biti podržane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3652"/>
        <w:gridCol w:w="11624"/>
      </w:tblGrid>
      <w:tr w:rsidR="000C5259" w:rsidRPr="005E763C" w:rsidTr="000C5259">
        <w:tc>
          <w:tcPr>
            <w:tcW w:w="3652" w:type="dxa"/>
            <w:vAlign w:val="center"/>
          </w:tcPr>
          <w:p w:rsidR="000C5259" w:rsidRPr="00593567" w:rsidRDefault="000C5259" w:rsidP="001A0292">
            <w:pPr>
              <w:rPr>
                <w:rFonts w:ascii="Times New Roman" w:hAnsi="Times New Roman"/>
                <w:sz w:val="24"/>
                <w:szCs w:val="24"/>
              </w:rPr>
            </w:pPr>
            <w:r w:rsidRPr="00576C1D">
              <w:rPr>
                <w:rFonts w:ascii="Times New Roman" w:hAnsi="Times New Roman"/>
                <w:b/>
                <w:sz w:val="18"/>
                <w:szCs w:val="18"/>
              </w:rPr>
              <w:t>Investicijski prioritet</w:t>
            </w:r>
          </w:p>
        </w:tc>
        <w:tc>
          <w:tcPr>
            <w:tcW w:w="11624" w:type="dxa"/>
            <w:vAlign w:val="center"/>
          </w:tcPr>
          <w:p w:rsidR="000C5259" w:rsidRPr="00593567"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color w:val="000000"/>
                <w:spacing w:val="-1"/>
                <w:sz w:val="18"/>
                <w:szCs w:val="18"/>
              </w:rPr>
              <w:t>4d - Razvoj i provedba pametnih sustava distribucije koji djeluju pri niskim i srednjim razinama napona</w:t>
            </w:r>
          </w:p>
        </w:tc>
      </w:tr>
      <w:tr w:rsidR="000C5259" w:rsidRPr="004C117D" w:rsidTr="000C5259">
        <w:tc>
          <w:tcPr>
            <w:tcW w:w="15276" w:type="dxa"/>
            <w:gridSpan w:val="2"/>
            <w:vAlign w:val="center"/>
          </w:tcPr>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Glavne ciljne skupine i korisnici</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(Javne) tvrtke nadležne za distribucijsku mrežu (operatori distribucijskog sustava), tijela lokalne vlasti</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Primjer aktivnosti koje će biti financirane u svrhu ostvarenja specifičnih ciljeva:</w:t>
            </w:r>
          </w:p>
          <w:p w:rsidR="000C5259" w:rsidRPr="00A851A0"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promicanje i uvođenje tehnologija pametnih mreža u odabranim područjima, kao i drugih mjera gospodarenja energijom povezanih s informatičkim tehnologijama (poput automatizacije i daljinskog upravljanja) kojima se jača i usklađuje potrošnja s proizvodnjom;</w:t>
            </w:r>
          </w:p>
          <w:p w:rsidR="000C5259" w:rsidRPr="004C117D" w:rsidRDefault="000C5259"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aktivnosti pripreme projekta.</w:t>
            </w:r>
          </w:p>
        </w:tc>
      </w:tr>
    </w:tbl>
    <w:p w:rsidR="000C5259" w:rsidRPr="00576C1D" w:rsidRDefault="000C5259"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0C5259" w:rsidRPr="00576C1D">
          <w:pgSz w:w="16834" w:h="11909" w:orient="landscape"/>
          <w:pgMar w:top="1430" w:right="541" w:bottom="360" w:left="540" w:header="720" w:footer="720" w:gutter="0"/>
          <w:cols w:space="60"/>
          <w:noEndnote/>
        </w:sectPr>
      </w:pPr>
    </w:p>
    <w:p w:rsidR="00FC3F35" w:rsidRPr="00576C1D" w:rsidRDefault="00FC3F35"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1"/>
          <w:sz w:val="24"/>
          <w:szCs w:val="24"/>
          <w:lang w:eastAsia="hr-HR"/>
        </w:rPr>
        <w:lastRenderedPageBreak/>
        <w:t>2.A.6.2 Vodeća načela pri odabiru operacija</w:t>
      </w:r>
    </w:p>
    <w:tbl>
      <w:tblPr>
        <w:tblStyle w:val="TableGrid"/>
        <w:tblW w:w="0" w:type="auto"/>
        <w:tblLook w:val="04A0" w:firstRow="1" w:lastRow="0" w:firstColumn="1" w:lastColumn="0" w:noHBand="0" w:noVBand="1"/>
      </w:tblPr>
      <w:tblGrid>
        <w:gridCol w:w="4531"/>
        <w:gridCol w:w="10745"/>
      </w:tblGrid>
      <w:tr w:rsidR="003E0BE0" w:rsidRPr="005E763C" w:rsidTr="003E0BE0">
        <w:tc>
          <w:tcPr>
            <w:tcW w:w="4531" w:type="dxa"/>
            <w:vAlign w:val="center"/>
          </w:tcPr>
          <w:p w:rsidR="003E0BE0" w:rsidRPr="00593567" w:rsidRDefault="003E0BE0" w:rsidP="001A0292">
            <w:pPr>
              <w:rPr>
                <w:rFonts w:ascii="Times New Roman" w:hAnsi="Times New Roman"/>
                <w:sz w:val="24"/>
                <w:szCs w:val="24"/>
              </w:rPr>
            </w:pPr>
            <w:r w:rsidRPr="00576C1D">
              <w:rPr>
                <w:rFonts w:ascii="Times New Roman" w:hAnsi="Times New Roman"/>
                <w:b/>
                <w:sz w:val="18"/>
                <w:szCs w:val="18"/>
              </w:rPr>
              <w:t>Investicijski prioritet</w:t>
            </w:r>
          </w:p>
        </w:tc>
        <w:tc>
          <w:tcPr>
            <w:tcW w:w="10745" w:type="dxa"/>
            <w:vAlign w:val="center"/>
          </w:tcPr>
          <w:p w:rsidR="003E0BE0" w:rsidRPr="00593567"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color w:val="000000"/>
                <w:spacing w:val="-1"/>
                <w:sz w:val="18"/>
                <w:szCs w:val="18"/>
              </w:rPr>
              <w:t>4d - Razvoj i provedba pametnih sustava distribucije koji djeluju pri niskim i srednjim razinama napona</w:t>
            </w:r>
          </w:p>
        </w:tc>
      </w:tr>
      <w:tr w:rsidR="003E0BE0" w:rsidRPr="004C117D" w:rsidTr="003E0BE0">
        <w:tc>
          <w:tcPr>
            <w:tcW w:w="15276" w:type="dxa"/>
            <w:gridSpan w:val="2"/>
            <w:vAlign w:val="center"/>
          </w:tcPr>
          <w:p w:rsidR="003E0BE0" w:rsidRPr="00A851A0"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Pilot-područja obuhvaćena ovim specifičnim ciljem će odabrati Ministarstvo gospodarstva i operatori sustava, imajući u vidu tehničke kriterije (kao što su podzemna kablovska mreža ili zračni, izolirani ili neizolirani kablovi), stanje mreže (tj. stupanj dotrajalosti mrežnog sustava) i ekonomske kriterije (isplativost). S obzirom na prirodu ulaganja i dostupnost resursa, procjena je da bi samo 3-5 lokacija (pilot-područja) bilo podložno financiranju.</w:t>
            </w:r>
          </w:p>
          <w:p w:rsidR="003E0BE0" w:rsidRPr="00A851A0"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Ti pilot-projekti/područja će biti odabrana s ciljem predstavljanja dvije vrste područja:</w:t>
            </w:r>
          </w:p>
          <w:p w:rsidR="003E0BE0" w:rsidRPr="00A851A0"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veći gradovi (tj. Zagreb i Split) gdje je koncentracija potrošača najveća te su stoga najveći gubici i potencijalna ušteda;</w:t>
            </w:r>
          </w:p>
          <w:p w:rsidR="003E0BE0" w:rsidRPr="004C117D"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gradovi srednje veličine (tj. Varaždin i Dubrovnik), budući da predstavljaju najčešću vrstu naselja u Hrvatskoj.</w:t>
            </w:r>
          </w:p>
        </w:tc>
      </w:tr>
    </w:tbl>
    <w:p w:rsidR="00D4618F" w:rsidRDefault="00D4618F"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pacing w:val="-1"/>
          <w:sz w:val="24"/>
          <w:szCs w:val="24"/>
          <w:lang w:eastAsia="hr-HR"/>
        </w:rPr>
      </w:pPr>
    </w:p>
    <w:p w:rsidR="00FC3F35" w:rsidRDefault="00FC3F35"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2.A.6.3 Planirano korištenje financijskih instrumenata </w:t>
      </w:r>
      <w:r w:rsidRPr="00576C1D">
        <w:rPr>
          <w:rFonts w:ascii="Times New Roman" w:eastAsia="Times New Roman" w:hAnsi="Times New Roman" w:cs="Times New Roman"/>
          <w:color w:val="000000"/>
          <w:spacing w:val="-1"/>
          <w:sz w:val="24"/>
          <w:szCs w:val="24"/>
          <w:lang w:eastAsia="hr-HR"/>
        </w:rPr>
        <w:t>(po potrebi)</w:t>
      </w:r>
    </w:p>
    <w:tbl>
      <w:tblPr>
        <w:tblStyle w:val="TableGrid"/>
        <w:tblW w:w="0" w:type="auto"/>
        <w:tblLook w:val="04A0" w:firstRow="1" w:lastRow="0" w:firstColumn="1" w:lastColumn="0" w:noHBand="0" w:noVBand="1"/>
      </w:tblPr>
      <w:tblGrid>
        <w:gridCol w:w="4531"/>
        <w:gridCol w:w="10745"/>
      </w:tblGrid>
      <w:tr w:rsidR="003E0BE0" w:rsidRPr="005E763C" w:rsidTr="003E0BE0">
        <w:tc>
          <w:tcPr>
            <w:tcW w:w="4531" w:type="dxa"/>
            <w:vAlign w:val="center"/>
          </w:tcPr>
          <w:p w:rsidR="003E0BE0" w:rsidRPr="00593567" w:rsidRDefault="003E0BE0" w:rsidP="001A0292">
            <w:pPr>
              <w:rPr>
                <w:rFonts w:ascii="Times New Roman" w:hAnsi="Times New Roman"/>
                <w:sz w:val="24"/>
                <w:szCs w:val="24"/>
              </w:rPr>
            </w:pPr>
            <w:r w:rsidRPr="00576C1D">
              <w:rPr>
                <w:rFonts w:ascii="Times New Roman" w:hAnsi="Times New Roman"/>
                <w:b/>
                <w:sz w:val="18"/>
                <w:szCs w:val="18"/>
              </w:rPr>
              <w:t>Investicijski prioritet</w:t>
            </w:r>
          </w:p>
        </w:tc>
        <w:tc>
          <w:tcPr>
            <w:tcW w:w="10745" w:type="dxa"/>
            <w:vAlign w:val="center"/>
          </w:tcPr>
          <w:p w:rsidR="003E0BE0" w:rsidRPr="00593567"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color w:val="000000"/>
                <w:spacing w:val="-1"/>
                <w:sz w:val="18"/>
                <w:szCs w:val="18"/>
              </w:rPr>
              <w:t>4d - Razvoj i provedba pametnih sustava distribucije koji djeluju pri niskim i srednjim razinama napona</w:t>
            </w:r>
          </w:p>
        </w:tc>
      </w:tr>
      <w:tr w:rsidR="003E0BE0" w:rsidRPr="004C117D" w:rsidTr="003E0BE0">
        <w:tc>
          <w:tcPr>
            <w:tcW w:w="15276" w:type="dxa"/>
            <w:gridSpan w:val="2"/>
            <w:vAlign w:val="center"/>
          </w:tcPr>
          <w:p w:rsidR="003E0BE0" w:rsidRPr="004C117D" w:rsidRDefault="003E0BE0"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2"/>
                <w:sz w:val="24"/>
                <w:szCs w:val="24"/>
              </w:rPr>
              <w:t>Nije predviđeno</w:t>
            </w:r>
          </w:p>
        </w:tc>
      </w:tr>
    </w:tbl>
    <w:p w:rsidR="00FC3F35" w:rsidRPr="00576C1D" w:rsidRDefault="00FC3F35"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1"/>
          <w:sz w:val="24"/>
          <w:szCs w:val="24"/>
          <w:lang w:eastAsia="hr-HR"/>
        </w:rPr>
        <w:t xml:space="preserve">2.A.6.4 Planirano korištenje velikih projekata </w:t>
      </w:r>
      <w:r w:rsidRPr="00576C1D">
        <w:rPr>
          <w:rFonts w:ascii="Times New Roman" w:eastAsia="Times New Roman" w:hAnsi="Times New Roman" w:cs="Times New Roman"/>
          <w:bCs/>
          <w:iCs/>
          <w:color w:val="000000"/>
          <w:spacing w:val="-1"/>
          <w:sz w:val="24"/>
          <w:szCs w:val="24"/>
          <w:lang w:eastAsia="hr-HR"/>
        </w:rPr>
        <w:t>(po potrebi)</w:t>
      </w:r>
    </w:p>
    <w:tbl>
      <w:tblPr>
        <w:tblStyle w:val="TableGrid"/>
        <w:tblW w:w="0" w:type="auto"/>
        <w:tblLook w:val="04A0" w:firstRow="1" w:lastRow="0" w:firstColumn="1" w:lastColumn="0" w:noHBand="0" w:noVBand="1"/>
      </w:tblPr>
      <w:tblGrid>
        <w:gridCol w:w="4531"/>
        <w:gridCol w:w="10745"/>
      </w:tblGrid>
      <w:tr w:rsidR="003E0BE0" w:rsidRPr="005E763C" w:rsidTr="003E0BE0">
        <w:tc>
          <w:tcPr>
            <w:tcW w:w="4531" w:type="dxa"/>
            <w:vAlign w:val="center"/>
          </w:tcPr>
          <w:p w:rsidR="003E0BE0" w:rsidRPr="00593567" w:rsidRDefault="003E0BE0" w:rsidP="001A0292">
            <w:pPr>
              <w:rPr>
                <w:rFonts w:ascii="Times New Roman" w:hAnsi="Times New Roman"/>
                <w:sz w:val="24"/>
                <w:szCs w:val="24"/>
              </w:rPr>
            </w:pPr>
            <w:r w:rsidRPr="00576C1D">
              <w:rPr>
                <w:rFonts w:ascii="Times New Roman" w:hAnsi="Times New Roman"/>
                <w:b/>
                <w:sz w:val="18"/>
                <w:szCs w:val="18"/>
              </w:rPr>
              <w:t>Investicijski prioritet</w:t>
            </w:r>
          </w:p>
        </w:tc>
        <w:tc>
          <w:tcPr>
            <w:tcW w:w="10745" w:type="dxa"/>
            <w:vAlign w:val="center"/>
          </w:tcPr>
          <w:p w:rsidR="003E0BE0" w:rsidRPr="00593567"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color w:val="000000"/>
                <w:spacing w:val="-1"/>
                <w:sz w:val="18"/>
                <w:szCs w:val="18"/>
              </w:rPr>
              <w:t>4d - Razvoj i provedba pametnih sustava distribucije koji djeluju pri niskim i srednjim razinama napona</w:t>
            </w:r>
          </w:p>
        </w:tc>
      </w:tr>
      <w:tr w:rsidR="003E0BE0" w:rsidRPr="004C117D" w:rsidTr="003E0BE0">
        <w:tc>
          <w:tcPr>
            <w:tcW w:w="15276" w:type="dxa"/>
            <w:gridSpan w:val="2"/>
            <w:vAlign w:val="center"/>
          </w:tcPr>
          <w:p w:rsidR="003E0BE0" w:rsidRPr="004C117D" w:rsidRDefault="003E0BE0"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2"/>
                <w:sz w:val="24"/>
                <w:szCs w:val="24"/>
              </w:rPr>
              <w:t>Nije predviđeno</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i/>
          <w:iCs/>
          <w:color w:val="000000"/>
          <w:spacing w:val="1"/>
          <w:sz w:val="24"/>
          <w:szCs w:val="24"/>
          <w:lang w:eastAsia="hr-HR"/>
        </w:rPr>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4" w:after="0" w:line="278"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4d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Razvoj i provedba pametnih sustava distribucije koji djeluju pri niskim i srednjim razinama napona</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1373"/>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CO33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8"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Broj dodatnih korisnika povezanih s pametnim mrežama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Trošila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8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5.800,00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D4618F" w:rsidRDefault="00D4618F" w:rsidP="00FC3F35">
      <w:pPr>
        <w:widowControl w:val="0"/>
        <w:shd w:val="clear" w:color="auto" w:fill="FFFFFF"/>
        <w:autoSpaceDE w:val="0"/>
        <w:autoSpaceDN w:val="0"/>
        <w:adjustRightInd w:val="0"/>
        <w:spacing w:before="418" w:after="178" w:line="240" w:lineRule="auto"/>
        <w:ind w:left="538"/>
        <w:rPr>
          <w:rFonts w:ascii="Times New Roman" w:eastAsia="Times New Roman" w:hAnsi="Times New Roman" w:cs="Times New Roman"/>
          <w:b/>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before="418"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pacing w:val="-1"/>
          <w:sz w:val="24"/>
          <w:szCs w:val="24"/>
          <w:lang w:eastAsia="hr-HR"/>
        </w:rPr>
        <w:t>2.A.7</w:t>
      </w:r>
      <w:r w:rsidRPr="00576C1D">
        <w:rPr>
          <w:rFonts w:ascii="Times New Roman" w:eastAsia="Times New Roman" w:hAnsi="Times New Roman" w:cs="Times New Roman"/>
          <w:b/>
          <w:bCs/>
          <w:color w:val="000000"/>
          <w:spacing w:val="-1"/>
          <w:sz w:val="24"/>
          <w:szCs w:val="24"/>
          <w:lang w:eastAsia="hr-HR"/>
        </w:rPr>
        <w:t>Socijalne inovacije, međudržavna suradnja i doprinos tematskim ciljevima 1-7</w:t>
      </w:r>
    </w:p>
    <w:tbl>
      <w:tblPr>
        <w:tblStyle w:val="TableGrid"/>
        <w:tblW w:w="0" w:type="auto"/>
        <w:tblLook w:val="04A0" w:firstRow="1" w:lastRow="0" w:firstColumn="1" w:lastColumn="0" w:noHBand="0" w:noVBand="1"/>
      </w:tblPr>
      <w:tblGrid>
        <w:gridCol w:w="4531"/>
        <w:gridCol w:w="10745"/>
      </w:tblGrid>
      <w:tr w:rsidR="003E0BE0" w:rsidRPr="005E763C" w:rsidTr="003E0BE0">
        <w:tc>
          <w:tcPr>
            <w:tcW w:w="4531" w:type="dxa"/>
            <w:vAlign w:val="center"/>
          </w:tcPr>
          <w:p w:rsidR="003E0BE0" w:rsidRPr="00593567" w:rsidRDefault="003E0BE0" w:rsidP="001A0292">
            <w:pPr>
              <w:rPr>
                <w:rFonts w:ascii="Times New Roman" w:hAnsi="Times New Roman"/>
                <w:sz w:val="24"/>
                <w:szCs w:val="24"/>
              </w:rPr>
            </w:pPr>
            <w:r w:rsidRPr="00576C1D">
              <w:rPr>
                <w:rFonts w:ascii="Times New Roman" w:hAnsi="Times New Roman"/>
                <w:b/>
                <w:bCs/>
                <w:color w:val="000000"/>
                <w:spacing w:val="-2"/>
                <w:sz w:val="16"/>
                <w:szCs w:val="16"/>
              </w:rPr>
              <w:t>Prioritetna os</w:t>
            </w:r>
          </w:p>
        </w:tc>
        <w:tc>
          <w:tcPr>
            <w:tcW w:w="10745" w:type="dxa"/>
            <w:vAlign w:val="center"/>
          </w:tcPr>
          <w:p w:rsidR="003E0BE0" w:rsidRPr="00576C1D" w:rsidRDefault="003E0BE0"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z w:val="16"/>
                <w:szCs w:val="16"/>
              </w:rPr>
              <w:t>4 - Promicanje energetske učinkovitosti i obnovljivih izvora energije</w:t>
            </w:r>
          </w:p>
          <w:p w:rsidR="003E0BE0" w:rsidRPr="00593567" w:rsidRDefault="003E0BE0" w:rsidP="001A0292">
            <w:pPr>
              <w:widowControl w:val="0"/>
              <w:shd w:val="clear" w:color="auto" w:fill="FFFFFF"/>
              <w:autoSpaceDE w:val="0"/>
              <w:autoSpaceDN w:val="0"/>
              <w:adjustRightInd w:val="0"/>
              <w:rPr>
                <w:rFonts w:ascii="Times New Roman" w:hAnsi="Times New Roman"/>
              </w:rPr>
            </w:pPr>
          </w:p>
        </w:tc>
      </w:tr>
      <w:tr w:rsidR="003E0BE0" w:rsidRPr="004C117D" w:rsidTr="003E0BE0">
        <w:tc>
          <w:tcPr>
            <w:tcW w:w="15276" w:type="dxa"/>
            <w:gridSpan w:val="2"/>
            <w:vAlign w:val="center"/>
          </w:tcPr>
          <w:p w:rsidR="003E0BE0" w:rsidRPr="004C117D" w:rsidRDefault="003E0BE0" w:rsidP="001A0292">
            <w:pPr>
              <w:widowControl w:val="0"/>
              <w:shd w:val="clear" w:color="auto" w:fill="FFFFFF"/>
              <w:autoSpaceDE w:val="0"/>
              <w:autoSpaceDN w:val="0"/>
              <w:adjustRightInd w:val="0"/>
              <w:rPr>
                <w:rFonts w:ascii="Times New Roman" w:hAnsi="Times New Roman"/>
              </w:rPr>
            </w:pPr>
          </w:p>
        </w:tc>
      </w:tr>
    </w:tbl>
    <w:p w:rsidR="00D4618F" w:rsidRDefault="00D4618F"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eastAsia="hr-HR"/>
        </w:rPr>
      </w:pPr>
    </w:p>
    <w:p w:rsidR="00FC3F35" w:rsidRDefault="00FC3F35"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eastAsia="hr-HR"/>
        </w:rPr>
      </w:pPr>
      <w:r w:rsidRPr="00576C1D">
        <w:rPr>
          <w:rFonts w:ascii="Times New Roman" w:eastAsia="Times New Roman" w:hAnsi="Times New Roman" w:cs="Times New Roman"/>
          <w:b/>
          <w:bCs/>
          <w:color w:val="000000"/>
          <w:spacing w:val="-2"/>
          <w:sz w:val="24"/>
          <w:szCs w:val="24"/>
          <w:lang w:eastAsia="hr-HR"/>
        </w:rPr>
        <w:t>2.A.8 Okvir uspješnosti</w:t>
      </w:r>
    </w:p>
    <w:p w:rsidR="00D4618F" w:rsidRPr="00576C1D" w:rsidRDefault="00D4618F"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6: Okvir uspješnosti prioritetne osi </w:t>
      </w:r>
      <w:r w:rsidRPr="00576C1D">
        <w:rPr>
          <w:rFonts w:ascii="Times New Roman" w:eastAsia="Times New Roman" w:hAnsi="Times New Roman" w:cs="Times New Roman"/>
          <w:bCs/>
          <w:color w:val="000000"/>
          <w:spacing w:val="-1"/>
          <w:sz w:val="24"/>
          <w:szCs w:val="24"/>
          <w:lang w:eastAsia="hr-HR"/>
        </w:rPr>
        <w:t>(po fondu i, za EFRR i ESF, kategoriji regije)</w:t>
      </w:r>
    </w:p>
    <w:tbl>
      <w:tblPr>
        <w:tblStyle w:val="TableGrid"/>
        <w:tblW w:w="0" w:type="auto"/>
        <w:tblLook w:val="04A0" w:firstRow="1" w:lastRow="0" w:firstColumn="1" w:lastColumn="0" w:noHBand="0" w:noVBand="1"/>
      </w:tblPr>
      <w:tblGrid>
        <w:gridCol w:w="4531"/>
        <w:gridCol w:w="10745"/>
      </w:tblGrid>
      <w:tr w:rsidR="003E0BE0" w:rsidRPr="005E763C" w:rsidTr="001A0292">
        <w:tc>
          <w:tcPr>
            <w:tcW w:w="4531" w:type="dxa"/>
            <w:vAlign w:val="center"/>
          </w:tcPr>
          <w:p w:rsidR="003E0BE0" w:rsidRPr="00593567" w:rsidRDefault="003E0BE0" w:rsidP="001A0292">
            <w:pPr>
              <w:rPr>
                <w:rFonts w:ascii="Times New Roman" w:hAnsi="Times New Roman"/>
                <w:sz w:val="24"/>
                <w:szCs w:val="24"/>
              </w:rPr>
            </w:pPr>
            <w:r w:rsidRPr="00576C1D">
              <w:rPr>
                <w:rFonts w:ascii="Times New Roman" w:hAnsi="Times New Roman"/>
                <w:b/>
                <w:bCs/>
                <w:color w:val="000000"/>
                <w:spacing w:val="-2"/>
                <w:sz w:val="16"/>
                <w:szCs w:val="16"/>
              </w:rPr>
              <w:t>Prioritetna os</w:t>
            </w:r>
          </w:p>
        </w:tc>
        <w:tc>
          <w:tcPr>
            <w:tcW w:w="10745" w:type="dxa"/>
            <w:vAlign w:val="center"/>
          </w:tcPr>
          <w:p w:rsidR="003E0BE0" w:rsidRPr="00576C1D" w:rsidRDefault="003E0BE0"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z w:val="16"/>
                <w:szCs w:val="16"/>
              </w:rPr>
              <w:t>4 - Promicanje energetske učinkovitosti i obnovljivih izvora energije</w:t>
            </w:r>
          </w:p>
          <w:p w:rsidR="003E0BE0" w:rsidRPr="00593567" w:rsidRDefault="003E0BE0" w:rsidP="001A0292">
            <w:pPr>
              <w:widowControl w:val="0"/>
              <w:shd w:val="clear" w:color="auto" w:fill="FFFFFF"/>
              <w:autoSpaceDE w:val="0"/>
              <w:autoSpaceDN w:val="0"/>
              <w:adjustRightInd w:val="0"/>
              <w:rPr>
                <w:rFonts w:ascii="Times New Roman" w:hAnsi="Times New Roman"/>
              </w:rPr>
            </w:pPr>
          </w:p>
        </w:tc>
      </w:tr>
      <w:tr w:rsidR="003E0BE0" w:rsidRPr="004C117D" w:rsidTr="001A0292">
        <w:tc>
          <w:tcPr>
            <w:tcW w:w="15276" w:type="dxa"/>
            <w:gridSpan w:val="2"/>
            <w:vAlign w:val="center"/>
          </w:tcPr>
          <w:p w:rsidR="003E0BE0" w:rsidRPr="004C117D" w:rsidRDefault="003E0BE0" w:rsidP="001A0292">
            <w:pPr>
              <w:widowControl w:val="0"/>
              <w:shd w:val="clear" w:color="auto" w:fill="FFFFFF"/>
              <w:autoSpaceDE w:val="0"/>
              <w:autoSpaceDN w:val="0"/>
              <w:adjustRightInd w:val="0"/>
              <w:rPr>
                <w:rFonts w:ascii="Times New Roman" w:hAnsi="Times New Roman"/>
              </w:rPr>
            </w:pPr>
          </w:p>
        </w:tc>
      </w:tr>
    </w:tbl>
    <w:p w:rsidR="00FC3F35" w:rsidRDefault="00FC3F35" w:rsidP="00FC3F35">
      <w:pPr>
        <w:widowControl w:val="0"/>
        <w:shd w:val="clear" w:color="auto" w:fill="FFFFFF"/>
        <w:autoSpaceDE w:val="0"/>
        <w:autoSpaceDN w:val="0"/>
        <w:adjustRightInd w:val="0"/>
        <w:spacing w:before="240" w:after="1022" w:line="240" w:lineRule="auto"/>
        <w:ind w:left="2914"/>
        <w:rPr>
          <w:rFonts w:ascii="Times New Roman" w:eastAsia="Times New Roman" w:hAnsi="Times New Roman" w:cs="Times New Roman"/>
          <w:sz w:val="20"/>
          <w:szCs w:val="20"/>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662"/>
        <w:gridCol w:w="1565"/>
        <w:gridCol w:w="1680"/>
        <w:gridCol w:w="1200"/>
        <w:gridCol w:w="960"/>
        <w:gridCol w:w="1008"/>
        <w:gridCol w:w="1018"/>
        <w:gridCol w:w="1018"/>
        <w:gridCol w:w="1018"/>
        <w:gridCol w:w="1008"/>
        <w:gridCol w:w="1018"/>
        <w:gridCol w:w="902"/>
        <w:gridCol w:w="1181"/>
      </w:tblGrid>
      <w:tr w:rsidR="00FC3F35" w:rsidRPr="00576C1D" w:rsidTr="00FC3F35">
        <w:trPr>
          <w:trHeight w:hRule="exact" w:val="374"/>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glavni provedbeni korak</w:t>
            </w:r>
          </w:p>
        </w:tc>
        <w:tc>
          <w:tcPr>
            <w:tcW w:w="168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značaja pokazatelja, po potrebi</w:t>
            </w:r>
          </w:p>
        </w:tc>
      </w:tr>
      <w:tr w:rsidR="00FC3F35" w:rsidRPr="00576C1D" w:rsidTr="00FC3F35">
        <w:trPr>
          <w:trHeight w:hRule="exact" w:val="365"/>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tc>
        <w:tc>
          <w:tcPr>
            <w:tcW w:w="1181"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tc>
      </w:tr>
      <w:tr w:rsidR="00FC3F35" w:rsidRPr="00576C1D" w:rsidTr="00FC3F35">
        <w:trPr>
          <w:trHeight w:hRule="exact" w:val="710"/>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C031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O</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Energetska učinkovitost: broj kućanstava s poboljšanom potrošnjom energije</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Kućanstva</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6.000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60.669,00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595"/>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CO32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O</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Energetska učinkovitost: smanjenje primarne potrošnje energije na godišnjoj razini u javnim zgradama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kWh/godina</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135,000.000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213,000.000,00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82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F</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Ukupni iznos potvrđenih/prihvatljivih izdataka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milijun EUR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123,475.833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531,810.805,00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Ministarstvo financija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7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U kontrolnoj je točki prisutno pravilo N+3 za PO bez 6 % PR (tj.  alociranih sredstava za 2014. i 2015., neto 6 %).</w:t>
            </w:r>
          </w:p>
        </w:tc>
      </w:tr>
      <w:tr w:rsidR="00FC3F35" w:rsidRPr="00576C1D" w:rsidTr="00FC3F35">
        <w:trPr>
          <w:trHeight w:hRule="exact" w:val="720"/>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4.4</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I</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39"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Br. zgrada (javnih i stambenih) za koje je potpisan ugovor o radovima za energetsku obnovu</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6.000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12.000,00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Dodatne kvalitativne informacije o uspostavi okvira uspješnosti</w:t>
      </w:r>
    </w:p>
    <w:p w:rsidR="00FC3F35" w:rsidRPr="00576C1D" w:rsidRDefault="00FC3F35" w:rsidP="00D4618F">
      <w:pPr>
        <w:widowControl w:val="0"/>
        <w:shd w:val="clear" w:color="auto" w:fill="FFFFFF"/>
        <w:autoSpaceDE w:val="0"/>
        <w:autoSpaceDN w:val="0"/>
        <w:adjustRightInd w:val="0"/>
        <w:spacing w:after="0" w:line="274" w:lineRule="exact"/>
        <w:jc w:val="both"/>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Odabrana su dva pokazatelja neposrednih rezultata (koji su zajednički), budući da se odnose na glavnu prioritetnu aktivnost (ulaganje u energetsku obnovu zgrada i kućanstava) i većinu resursa u okviru Prioritetne osi 4. Posebice, specifični cilj PO-a namijenjen zgradama pokriva približno 60 % ukupnih alociranih sredstava u </w:t>
      </w:r>
      <w:r w:rsidRPr="00576C1D">
        <w:rPr>
          <w:rFonts w:ascii="Times New Roman" w:eastAsia="Times New Roman" w:hAnsi="Times New Roman" w:cs="Times New Roman"/>
          <w:color w:val="000000"/>
          <w:spacing w:val="-1"/>
          <w:sz w:val="24"/>
          <w:szCs w:val="24"/>
          <w:lang w:eastAsia="hr-HR"/>
        </w:rPr>
        <w:lastRenderedPageBreak/>
        <w:t>sklopu PO-a.</w:t>
      </w:r>
    </w:p>
    <w:p w:rsidR="00FC3F35" w:rsidRPr="00576C1D" w:rsidRDefault="00FC3F35" w:rsidP="00D4618F">
      <w:pPr>
        <w:widowControl w:val="0"/>
        <w:shd w:val="clear" w:color="auto" w:fill="FFFFFF"/>
        <w:autoSpaceDE w:val="0"/>
        <w:autoSpaceDN w:val="0"/>
        <w:adjustRightInd w:val="0"/>
        <w:spacing w:after="0" w:line="274" w:lineRule="exact"/>
        <w:jc w:val="both"/>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Budući da se očekuje se da će kontrolne točke za 2018. biti relativno niske, (imajući u vidu da su mjere energetske učinkovitosti (čak i u zgradama javnog sektora) iznimno kompleksne i da je potrebno vremena da cijeli sustav bude uspostavljen i potpuno djelotvoran; osim toga, u Hrvatskoj se po prvi put provodi ova vrsta mjera pomoću sredstava iz strukturnih fondova), dodan je pokazatelj "</w:t>
      </w:r>
      <w:r w:rsidRPr="00576C1D">
        <w:rPr>
          <w:rFonts w:ascii="Times New Roman" w:eastAsia="Times New Roman" w:hAnsi="Times New Roman" w:cs="Times New Roman"/>
          <w:i/>
          <w:color w:val="000000"/>
          <w:spacing w:val="-1"/>
          <w:sz w:val="24"/>
          <w:szCs w:val="24"/>
          <w:lang w:eastAsia="hr-HR"/>
        </w:rPr>
        <w:t>Glavni provedbeni korak</w:t>
      </w:r>
      <w:r w:rsidRPr="00576C1D">
        <w:rPr>
          <w:rFonts w:ascii="Times New Roman" w:eastAsia="Times New Roman" w:hAnsi="Times New Roman" w:cs="Times New Roman"/>
          <w:color w:val="000000"/>
          <w:spacing w:val="-1"/>
          <w:sz w:val="24"/>
          <w:szCs w:val="24"/>
          <w:lang w:eastAsia="hr-HR"/>
        </w:rPr>
        <w:t>"</w:t>
      </w:r>
      <w:r w:rsidRPr="00576C1D">
        <w:rPr>
          <w:rFonts w:ascii="Times New Roman" w:eastAsia="Times New Roman" w:hAnsi="Times New Roman" w:cs="Times New Roman"/>
          <w:color w:val="000000"/>
          <w:sz w:val="24"/>
          <w:szCs w:val="24"/>
          <w:lang w:eastAsia="hr-HR"/>
        </w:rPr>
        <w:t>.</w:t>
      </w:r>
    </w:p>
    <w:p w:rsidR="00D4618F" w:rsidRDefault="00D4618F"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hr-HR"/>
        </w:rPr>
      </w:pPr>
    </w:p>
    <w:p w:rsidR="00FC3F35" w:rsidRPr="00576C1D" w:rsidRDefault="00FC3F35" w:rsidP="00D4618F">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2.A.9 Kategorije intervencije</w:t>
      </w:r>
    </w:p>
    <w:p w:rsidR="00D4618F" w:rsidRDefault="00FC3F35" w:rsidP="00D4618F">
      <w:pPr>
        <w:widowControl w:val="0"/>
        <w:shd w:val="clear" w:color="auto" w:fill="FFFFFF"/>
        <w:autoSpaceDE w:val="0"/>
        <w:autoSpaceDN w:val="0"/>
        <w:adjustRightInd w:val="0"/>
        <w:spacing w:after="0" w:line="274" w:lineRule="exact"/>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sz w:val="24"/>
          <w:szCs w:val="24"/>
          <w:lang w:eastAsia="hr-HR"/>
        </w:rPr>
        <w:t>Kategorije intervencije koje odgovaraju sadržaju prioritetne osi na temelju nazivlja koje je usvojila Komisija i indikativna analiza potpore Unije</w:t>
      </w:r>
      <w:r w:rsidRPr="00576C1D">
        <w:rPr>
          <w:rFonts w:ascii="Times New Roman" w:eastAsia="Times New Roman" w:hAnsi="Times New Roman" w:cs="Times New Roman"/>
          <w:color w:val="000000"/>
          <w:spacing w:val="-1"/>
          <w:sz w:val="24"/>
          <w:szCs w:val="24"/>
          <w:lang w:eastAsia="hr-HR"/>
        </w:rPr>
        <w:t>.</w:t>
      </w:r>
    </w:p>
    <w:p w:rsidR="00D4618F" w:rsidRDefault="00FC3F35" w:rsidP="00D4618F">
      <w:pPr>
        <w:widowControl w:val="0"/>
        <w:shd w:val="clear" w:color="auto" w:fill="FFFFFF"/>
        <w:autoSpaceDE w:val="0"/>
        <w:autoSpaceDN w:val="0"/>
        <w:adjustRightInd w:val="0"/>
        <w:spacing w:after="0" w:line="274" w:lineRule="exact"/>
        <w:rPr>
          <w:rFonts w:ascii="Times New Roman" w:eastAsia="Times New Roman" w:hAnsi="Times New Roman" w:cs="Times New Roman"/>
          <w:b/>
          <w:color w:val="000000"/>
          <w:spacing w:val="-5"/>
          <w:sz w:val="26"/>
          <w:szCs w:val="26"/>
          <w:lang w:eastAsia="hr-HR"/>
        </w:rPr>
      </w:pPr>
      <w:r w:rsidRPr="00576C1D">
        <w:rPr>
          <w:rFonts w:ascii="Times New Roman" w:eastAsia="Times New Roman" w:hAnsi="Times New Roman" w:cs="Times New Roman"/>
          <w:b/>
          <w:color w:val="000000"/>
          <w:spacing w:val="-5"/>
          <w:sz w:val="26"/>
          <w:szCs w:val="26"/>
          <w:lang w:eastAsia="hr-HR"/>
        </w:rPr>
        <w:t xml:space="preserve">Tablice 7-11: Kategorije intervencije </w:t>
      </w:r>
    </w:p>
    <w:p w:rsidR="00FC3F35" w:rsidRPr="00576C1D" w:rsidRDefault="00FC3F35" w:rsidP="00D4618F">
      <w:pPr>
        <w:widowControl w:val="0"/>
        <w:shd w:val="clear" w:color="auto" w:fill="FFFFFF"/>
        <w:autoSpaceDE w:val="0"/>
        <w:autoSpaceDN w:val="0"/>
        <w:adjustRightInd w:val="0"/>
        <w:spacing w:after="0" w:line="274" w:lineRule="exact"/>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lang w:eastAsia="hr-HR"/>
        </w:rPr>
        <w:t>Tablica 7: Dimenzija 1 – Polje intervencije</w:t>
      </w: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87"/>
      </w:tblGrid>
      <w:tr w:rsidR="00FC3F35" w:rsidRPr="00576C1D" w:rsidTr="00FC3F35">
        <w:trPr>
          <w:trHeight w:hRule="exact" w:val="44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4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Promicanje energetske učinkovitosti i obnovljivih izvora energije</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010. Obnovljiva energija: solarna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35,000.000,00</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O11. Obnovljiva energija: biomasa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60,000.000,00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013. Obnova energetske učinkovitosti javne infrastrukture, pokazni projekti i pomoćne mjere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181,810.805,00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014. Obnova energetske učinkovitosti  postojećeg stambenog fonda, pokazni projekti i pomoćne mjere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90,000.000,00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015. Sustavi distribucije inteligentne energije na srednjim i niskim stupnjevima napona (uključujući pametne mreže  i IKT sustave)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016. Visoko učinkovita kogeneracija i toplinarstvo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80,000.000,00</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068. Projekti energetske učinkovitosti i pokazni projekti u MSP-ovima te pomoćne mjere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069. Potpora ekološki prihvatljivim postupcima proizvodnje i resursnoj učinkovitosti u MSP-ovima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070. Promicanje energetske učinkovitosti u velikim poduzećima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25,000.000,00</w:t>
            </w:r>
          </w:p>
        </w:tc>
      </w:tr>
      <w:tr w:rsidR="00FC3F35" w:rsidRPr="00576C1D" w:rsidTr="00FC3F35">
        <w:trPr>
          <w:trHeight w:hRule="exact" w:val="720"/>
        </w:trPr>
        <w:tc>
          <w:tcPr>
            <w:tcW w:w="15140" w:type="dxa"/>
            <w:gridSpan w:val="5"/>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6"/>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6"/>
                <w:lang w:eastAsia="hr-HR"/>
              </w:rPr>
              <w:t>Tablica 8: Dimenzija 2 – Oblik financiranja</w:t>
            </w:r>
          </w:p>
        </w:tc>
      </w:tr>
      <w:tr w:rsidR="00FC3F35" w:rsidRPr="00576C1D" w:rsidTr="00FC3F35">
        <w:trPr>
          <w:trHeight w:hRule="exact" w:val="44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4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Promicanje energetske učinkovitosti i obnovljivih izvora energije</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531,810.805,00</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72"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72" w:right="541" w:bottom="360" w:left="540" w:header="720" w:footer="720" w:gutter="0"/>
          <w:cols w:num="3" w:space="720" w:equalWidth="0">
            <w:col w:w="720" w:space="6946"/>
            <w:col w:w="720" w:space="6648"/>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lang w:eastAsia="hr-HR"/>
        </w:rPr>
        <w:lastRenderedPageBreak/>
        <w:t>Tablica 9: Dimenzija 3 – Vrsta teritorija</w:t>
      </w:r>
    </w:p>
    <w:p w:rsidR="00FC3F35" w:rsidRPr="00576C1D" w:rsidRDefault="00FC3F35" w:rsidP="00FC3F35">
      <w:pPr>
        <w:widowControl w:val="0"/>
        <w:autoSpaceDE w:val="0"/>
        <w:autoSpaceDN w:val="0"/>
        <w:adjustRightInd w:val="0"/>
        <w:spacing w:after="48" w:line="1" w:lineRule="exact"/>
        <w:rPr>
          <w:rFonts w:ascii="Times New Roman" w:eastAsia="Times New Roman" w:hAnsi="Times New Roman" w:cs="Times New Roman"/>
          <w:sz w:val="2"/>
          <w:szCs w:val="2"/>
          <w:lang w:eastAsia="hr-HR"/>
        </w:rPr>
      </w:pPr>
    </w:p>
    <w:tbl>
      <w:tblPr>
        <w:tblW w:w="28100" w:type="dxa"/>
        <w:tblInd w:w="40" w:type="dxa"/>
        <w:tblLayout w:type="fixed"/>
        <w:tblCellMar>
          <w:left w:w="40" w:type="dxa"/>
          <w:right w:w="40" w:type="dxa"/>
        </w:tblCellMar>
        <w:tblLook w:val="0000" w:firstRow="0" w:lastRow="0" w:firstColumn="0" w:lastColumn="0" w:noHBand="0" w:noVBand="0"/>
      </w:tblPr>
      <w:tblGrid>
        <w:gridCol w:w="979"/>
        <w:gridCol w:w="2995"/>
        <w:gridCol w:w="9178"/>
        <w:gridCol w:w="1997"/>
        <w:gridCol w:w="12951"/>
      </w:tblGrid>
      <w:tr w:rsidR="00FC3F35" w:rsidRPr="00576C1D" w:rsidTr="00FC3F35">
        <w:trPr>
          <w:trHeight w:hRule="exact" w:val="442"/>
        </w:trPr>
        <w:tc>
          <w:tcPr>
            <w:tcW w:w="1514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Prioritetna os                                     4 - Promicanje energetske učinkovitosti i obnovljivih izvora energije          </w:t>
            </w:r>
          </w:p>
        </w:tc>
        <w:tc>
          <w:tcPr>
            <w:tcW w:w="12951" w:type="dxa"/>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gridAfter w:val="1"/>
          <w:wAfter w:w="12951" w:type="dxa"/>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gridAfter w:val="1"/>
          <w:wAfter w:w="12951" w:type="dxa"/>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Velika urbana područja (gusto naseljena &gt; 50 000 stanovnika)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100,000.000,00</w:t>
            </w:r>
          </w:p>
        </w:tc>
      </w:tr>
      <w:tr w:rsidR="00FC3F35" w:rsidRPr="00576C1D" w:rsidTr="00FC3F35">
        <w:trPr>
          <w:gridAfter w:val="1"/>
          <w:wAfter w:w="12951" w:type="dxa"/>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 Mala urbana područja (srednje gusto naseljena &gt; 5 000 stanovnika)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150,000.000,00</w:t>
            </w:r>
          </w:p>
        </w:tc>
      </w:tr>
      <w:tr w:rsidR="00FC3F35" w:rsidRPr="00576C1D" w:rsidTr="00FC3F35">
        <w:trPr>
          <w:gridAfter w:val="1"/>
          <w:wAfter w:w="12951" w:type="dxa"/>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281,810.805,00</w:t>
            </w:r>
          </w:p>
        </w:tc>
      </w:tr>
    </w:tbl>
    <w:p w:rsidR="00FC3F35" w:rsidRPr="00576C1D" w:rsidRDefault="00FC3F35" w:rsidP="00FC3F35">
      <w:pPr>
        <w:widowControl w:val="0"/>
        <w:shd w:val="clear" w:color="auto" w:fill="FFFFFF"/>
        <w:autoSpaceDE w:val="0"/>
        <w:autoSpaceDN w:val="0"/>
        <w:adjustRightInd w:val="0"/>
        <w:spacing w:before="422" w:after="0" w:line="240" w:lineRule="auto"/>
        <w:ind w:left="542"/>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5"/>
          <w:lang w:eastAsia="hr-HR"/>
        </w:rPr>
        <w:t>Tablica 10: Dimenzija 4 - Mehanizmi teritorijalne provedbe</w:t>
      </w:r>
    </w:p>
    <w:p w:rsidR="00FC3F35" w:rsidRPr="00576C1D" w:rsidRDefault="00FC3F35" w:rsidP="00FC3F35">
      <w:pPr>
        <w:widowControl w:val="0"/>
        <w:autoSpaceDE w:val="0"/>
        <w:autoSpaceDN w:val="0"/>
        <w:adjustRightInd w:val="0"/>
        <w:spacing w:after="43"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1354"/>
        <w:gridCol w:w="1642"/>
        <w:gridCol w:w="9178"/>
        <w:gridCol w:w="1997"/>
      </w:tblGrid>
      <w:tr w:rsidR="00FC3F35" w:rsidRPr="00576C1D" w:rsidTr="00FC3F35">
        <w:trPr>
          <w:trHeight w:hRule="exact" w:val="461"/>
        </w:trPr>
        <w:tc>
          <w:tcPr>
            <w:tcW w:w="2333"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817"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bCs/>
                <w:color w:val="000000"/>
                <w:sz w:val="18"/>
                <w:szCs w:val="16"/>
                <w:lang w:eastAsia="hr-HR"/>
              </w:rPr>
              <w:t xml:space="preserve">4 </w:t>
            </w:r>
            <w:r w:rsidRPr="00576C1D">
              <w:rPr>
                <w:rFonts w:ascii="Times New Roman" w:eastAsia="Times New Roman" w:hAnsi="Times New Roman" w:cs="Times New Roman"/>
                <w:b/>
                <w:color w:val="000000"/>
                <w:sz w:val="18"/>
                <w:szCs w:val="16"/>
                <w:lang w:eastAsia="hr-HR"/>
              </w:rPr>
              <w:t xml:space="preserve">- </w:t>
            </w:r>
            <w:r w:rsidRPr="00576C1D">
              <w:rPr>
                <w:rFonts w:ascii="Times New Roman" w:eastAsia="Times New Roman" w:hAnsi="Times New Roman" w:cs="Times New Roman"/>
                <w:b/>
                <w:bCs/>
                <w:color w:val="000000"/>
                <w:sz w:val="18"/>
                <w:szCs w:val="16"/>
                <w:lang w:eastAsia="hr-HR"/>
              </w:rPr>
              <w:t>Promicanje energetske učinkovitosti i obnovljivih izvora energije</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Integrirano teritorijalno ulaganje - urbana područja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80,000.000,00</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  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451,810.805,00</w:t>
            </w:r>
          </w:p>
        </w:tc>
      </w:tr>
    </w:tbl>
    <w:p w:rsidR="00FC3F35" w:rsidRPr="00576C1D" w:rsidRDefault="00FC3F35" w:rsidP="00FC3F35">
      <w:pPr>
        <w:widowControl w:val="0"/>
        <w:autoSpaceDE w:val="0"/>
        <w:autoSpaceDN w:val="0"/>
        <w:adjustRightInd w:val="0"/>
        <w:spacing w:after="499" w:line="1" w:lineRule="exact"/>
        <w:rPr>
          <w:rFonts w:ascii="Times New Roman" w:eastAsia="Times New Roman" w:hAnsi="Times New Roman" w:cs="Times New Roman"/>
          <w:sz w:val="2"/>
          <w:szCs w:val="2"/>
          <w:lang w:eastAsia="hr-HR"/>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79"/>
        <w:gridCol w:w="1148"/>
        <w:gridCol w:w="384"/>
        <w:gridCol w:w="1786"/>
        <w:gridCol w:w="9178"/>
        <w:gridCol w:w="1693"/>
      </w:tblGrid>
      <w:tr w:rsidR="00FC3F35" w:rsidRPr="00576C1D" w:rsidTr="00082CF4">
        <w:trPr>
          <w:trHeight w:hRule="exact" w:val="250"/>
        </w:trPr>
        <w:tc>
          <w:tcPr>
            <w:tcW w:w="2127" w:type="dxa"/>
            <w:gridSpan w:val="2"/>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0"/>
                <w:szCs w:val="20"/>
                <w:lang w:eastAsia="hr-HR"/>
              </w:rPr>
              <w:t>Tablica 11: Dimenzija</w:t>
            </w:r>
          </w:p>
        </w:tc>
        <w:tc>
          <w:tcPr>
            <w:tcW w:w="11348" w:type="dxa"/>
            <w:gridSpan w:val="3"/>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5"/>
                <w:lang w:eastAsia="hr-HR"/>
              </w:rPr>
              <w:t xml:space="preserve">6 - Sporedna tema Europskog socijalnog fonda </w:t>
            </w:r>
            <w:r w:rsidRPr="00576C1D">
              <w:rPr>
                <w:rFonts w:ascii="Times New Roman" w:eastAsia="Times New Roman" w:hAnsi="Times New Roman" w:cs="Times New Roman"/>
                <w:color w:val="000000"/>
                <w:spacing w:val="-5"/>
                <w:lang w:eastAsia="hr-HR"/>
              </w:rPr>
              <w:t>(samo Europski socijalni fond i Inicijativa za zapošljavanje mladih)</w:t>
            </w:r>
          </w:p>
        </w:tc>
        <w:tc>
          <w:tcPr>
            <w:tcW w:w="1693"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082CF4">
        <w:trPr>
          <w:trHeight w:hRule="exact" w:val="432"/>
        </w:trPr>
        <w:tc>
          <w:tcPr>
            <w:tcW w:w="2511" w:type="dxa"/>
            <w:gridSpan w:val="3"/>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657" w:type="dxa"/>
            <w:gridSpan w:val="3"/>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bCs/>
                <w:color w:val="000000"/>
                <w:sz w:val="16"/>
                <w:szCs w:val="16"/>
                <w:lang w:eastAsia="hr-HR"/>
              </w:rPr>
              <w:t xml:space="preserve">4 </w:t>
            </w:r>
            <w:r w:rsidRPr="00576C1D">
              <w:rPr>
                <w:rFonts w:ascii="Times New Roman" w:eastAsia="Times New Roman" w:hAnsi="Times New Roman" w:cs="Times New Roman"/>
                <w:b/>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Promicanje energetske učinkovitosti i obnovljivih izvora energije</w:t>
            </w:r>
          </w:p>
        </w:tc>
      </w:tr>
      <w:tr w:rsidR="00FC3F35" w:rsidRPr="00576C1D" w:rsidTr="00082CF4">
        <w:trPr>
          <w:trHeight w:hRule="exact" w:val="451"/>
        </w:trPr>
        <w:tc>
          <w:tcPr>
            <w:tcW w:w="979"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3318" w:type="dxa"/>
            <w:gridSpan w:val="3"/>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693"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bl>
    <w:p w:rsidR="00FC3F35" w:rsidRPr="00576C1D" w:rsidRDefault="00FC3F35" w:rsidP="00FC3F35">
      <w:pPr>
        <w:widowControl w:val="0"/>
        <w:shd w:val="clear" w:color="auto" w:fill="FFFFFF"/>
        <w:autoSpaceDE w:val="0"/>
        <w:autoSpaceDN w:val="0"/>
        <w:adjustRightInd w:val="0"/>
        <w:spacing w:before="509" w:after="240" w:line="278" w:lineRule="exact"/>
        <w:ind w:left="1392" w:hanging="8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pacing w:val="11"/>
          <w:sz w:val="24"/>
          <w:szCs w:val="24"/>
          <w:lang w:eastAsia="hr-HR"/>
        </w:rPr>
        <w:t xml:space="preserve">2.A.10 Sažetak planiranog korištenja tehničke pomoći uključujući, po potrebi, aktivnosti kojima se jača administrativni kapacitet nadležnih tijela uključenih u kontrolu i upravljanje programima i korisnicima </w:t>
      </w:r>
      <w:r w:rsidRPr="00576C1D">
        <w:rPr>
          <w:rFonts w:ascii="Times New Roman" w:eastAsia="Times New Roman" w:hAnsi="Times New Roman" w:cs="Times New Roman"/>
          <w:color w:val="000000"/>
          <w:spacing w:val="11"/>
          <w:sz w:val="24"/>
          <w:szCs w:val="24"/>
          <w:lang w:eastAsia="hr-HR"/>
        </w:rPr>
        <w:t>(po potrebi) (po prioritetnoj osi)</w:t>
      </w:r>
    </w:p>
    <w:tbl>
      <w:tblPr>
        <w:tblStyle w:val="TableGrid"/>
        <w:tblW w:w="0" w:type="auto"/>
        <w:tblLook w:val="04A0" w:firstRow="1" w:lastRow="0" w:firstColumn="1" w:lastColumn="0" w:noHBand="0" w:noVBand="1"/>
      </w:tblPr>
      <w:tblGrid>
        <w:gridCol w:w="4531"/>
        <w:gridCol w:w="10745"/>
      </w:tblGrid>
      <w:tr w:rsidR="003E0BE0" w:rsidRPr="005E763C" w:rsidTr="001A0292">
        <w:tc>
          <w:tcPr>
            <w:tcW w:w="4531" w:type="dxa"/>
            <w:vAlign w:val="center"/>
          </w:tcPr>
          <w:p w:rsidR="003E0BE0" w:rsidRPr="00593567" w:rsidRDefault="003E0BE0" w:rsidP="001A0292">
            <w:pPr>
              <w:rPr>
                <w:rFonts w:ascii="Times New Roman" w:hAnsi="Times New Roman"/>
                <w:sz w:val="24"/>
                <w:szCs w:val="24"/>
              </w:rPr>
            </w:pPr>
            <w:r w:rsidRPr="00576C1D">
              <w:rPr>
                <w:rFonts w:ascii="Times New Roman" w:hAnsi="Times New Roman"/>
                <w:b/>
                <w:bCs/>
                <w:color w:val="000000"/>
                <w:spacing w:val="-2"/>
                <w:sz w:val="16"/>
                <w:szCs w:val="16"/>
              </w:rPr>
              <w:t>Prioritetna os</w:t>
            </w:r>
          </w:p>
        </w:tc>
        <w:tc>
          <w:tcPr>
            <w:tcW w:w="10745" w:type="dxa"/>
            <w:vAlign w:val="center"/>
          </w:tcPr>
          <w:p w:rsidR="003E0BE0" w:rsidRPr="00576C1D" w:rsidRDefault="003E0BE0"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z w:val="16"/>
                <w:szCs w:val="16"/>
              </w:rPr>
              <w:t>4 - Promicanje energetske učinkovitosti i obnovljivih izvora energije</w:t>
            </w:r>
          </w:p>
          <w:p w:rsidR="003E0BE0" w:rsidRPr="00593567" w:rsidRDefault="003E0BE0" w:rsidP="001A0292">
            <w:pPr>
              <w:widowControl w:val="0"/>
              <w:shd w:val="clear" w:color="auto" w:fill="FFFFFF"/>
              <w:autoSpaceDE w:val="0"/>
              <w:autoSpaceDN w:val="0"/>
              <w:adjustRightInd w:val="0"/>
              <w:rPr>
                <w:rFonts w:ascii="Times New Roman" w:hAnsi="Times New Roman"/>
              </w:rPr>
            </w:pPr>
          </w:p>
        </w:tc>
      </w:tr>
      <w:tr w:rsidR="003E0BE0" w:rsidRPr="004C117D" w:rsidTr="001A0292">
        <w:tc>
          <w:tcPr>
            <w:tcW w:w="15276" w:type="dxa"/>
            <w:gridSpan w:val="2"/>
            <w:vAlign w:val="center"/>
          </w:tcPr>
          <w:p w:rsidR="003E0BE0" w:rsidRPr="003E0BE0" w:rsidRDefault="003E0BE0" w:rsidP="003E0BE0">
            <w:pPr>
              <w:widowControl w:val="0"/>
              <w:shd w:val="clear" w:color="auto" w:fill="FFFFFF"/>
              <w:autoSpaceDE w:val="0"/>
              <w:autoSpaceDN w:val="0"/>
              <w:adjustRightInd w:val="0"/>
              <w:rPr>
                <w:rFonts w:ascii="Times New Roman" w:hAnsi="Times New Roman"/>
              </w:rPr>
            </w:pPr>
            <w:r w:rsidRPr="003E0BE0">
              <w:rPr>
                <w:rFonts w:ascii="Times New Roman" w:hAnsi="Times New Roman"/>
              </w:rPr>
              <w:t>Glavne vrste mjera tehničke pomoći predviđene u sklopu PO 4 su sljedeće:</w:t>
            </w:r>
          </w:p>
          <w:p w:rsidR="003E0BE0" w:rsidRPr="003E0BE0" w:rsidRDefault="003E0BE0" w:rsidP="003E0BE0">
            <w:pPr>
              <w:widowControl w:val="0"/>
              <w:shd w:val="clear" w:color="auto" w:fill="FFFFFF"/>
              <w:autoSpaceDE w:val="0"/>
              <w:autoSpaceDN w:val="0"/>
              <w:adjustRightInd w:val="0"/>
              <w:rPr>
                <w:rFonts w:ascii="Times New Roman" w:hAnsi="Times New Roman"/>
              </w:rPr>
            </w:pPr>
            <w:r w:rsidRPr="003E0BE0">
              <w:rPr>
                <w:rFonts w:ascii="Times New Roman" w:hAnsi="Times New Roman"/>
              </w:rPr>
              <w:t>•</w:t>
            </w:r>
            <w:r w:rsidRPr="003E0BE0">
              <w:rPr>
                <w:rFonts w:ascii="Times New Roman" w:hAnsi="Times New Roman"/>
              </w:rPr>
              <w:tab/>
              <w:t>promotivne aktivnosti kojima se želi potaknuti razne dionike (građane, privatni sektor, itd.) na provedbu mjera energetske učinkovitosti i OIE-ova, kao i bolje gospodarenje energijom;</w:t>
            </w:r>
          </w:p>
          <w:p w:rsidR="003E0BE0" w:rsidRPr="003E0BE0" w:rsidRDefault="003E0BE0" w:rsidP="003E0BE0">
            <w:pPr>
              <w:widowControl w:val="0"/>
              <w:shd w:val="clear" w:color="auto" w:fill="FFFFFF"/>
              <w:autoSpaceDE w:val="0"/>
              <w:autoSpaceDN w:val="0"/>
              <w:adjustRightInd w:val="0"/>
              <w:rPr>
                <w:rFonts w:ascii="Times New Roman" w:hAnsi="Times New Roman"/>
              </w:rPr>
            </w:pPr>
            <w:r w:rsidRPr="003E0BE0">
              <w:rPr>
                <w:rFonts w:ascii="Times New Roman" w:hAnsi="Times New Roman"/>
              </w:rPr>
              <w:t>•</w:t>
            </w:r>
            <w:r w:rsidRPr="003E0BE0">
              <w:rPr>
                <w:rFonts w:ascii="Times New Roman" w:hAnsi="Times New Roman"/>
              </w:rPr>
              <w:tab/>
              <w:t xml:space="preserve">pomoć relevantnim nadležnim tijelima i korisnicima u pripremi i provedbi mjera povezanih s energetskom učinkovitošću i obnovljivih izvorima energije, s obzirom da su vrlo </w:t>
            </w:r>
            <w:r w:rsidRPr="003E0BE0">
              <w:rPr>
                <w:rFonts w:ascii="Times New Roman" w:hAnsi="Times New Roman"/>
              </w:rPr>
              <w:lastRenderedPageBreak/>
              <w:t>kompleksne i zahtijevaju posebno znanje.</w:t>
            </w:r>
          </w:p>
          <w:p w:rsidR="003E0BE0" w:rsidRPr="004C117D" w:rsidRDefault="003E0BE0" w:rsidP="003E0BE0">
            <w:pPr>
              <w:widowControl w:val="0"/>
              <w:shd w:val="clear" w:color="auto" w:fill="FFFFFF"/>
              <w:autoSpaceDE w:val="0"/>
              <w:autoSpaceDN w:val="0"/>
              <w:adjustRightInd w:val="0"/>
              <w:rPr>
                <w:rFonts w:ascii="Times New Roman" w:hAnsi="Times New Roman"/>
              </w:rPr>
            </w:pPr>
            <w:r w:rsidRPr="003E0BE0">
              <w:rPr>
                <w:rFonts w:ascii="Times New Roman" w:hAnsi="Times New Roman"/>
              </w:rPr>
              <w:t>Aktivnost pripreme projekta je horizontalna aktivnost unutar prioritetne osi (primjenjiva na sve specifične ciljeve).</w:t>
            </w:r>
          </w:p>
        </w:tc>
      </w:tr>
    </w:tbl>
    <w:p w:rsidR="00D4618F" w:rsidRDefault="00D4618F"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sz w:val="20"/>
          <w:szCs w:val="20"/>
          <w:lang w:eastAsia="hr-HR"/>
        </w:rPr>
      </w:pPr>
    </w:p>
    <w:p w:rsidR="00D4618F" w:rsidRDefault="00D4618F"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sz w:val="20"/>
          <w:szCs w:val="20"/>
          <w:lang w:eastAsia="hr-HR"/>
        </w:rPr>
      </w:pPr>
    </w:p>
    <w:p w:rsidR="00D4618F" w:rsidRDefault="00D4618F"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sz w:val="20"/>
          <w:szCs w:val="20"/>
          <w:lang w:eastAsia="hr-HR"/>
        </w:rPr>
      </w:pPr>
    </w:p>
    <w:p w:rsidR="00D4618F" w:rsidRDefault="00D4618F"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sz w:val="20"/>
          <w:szCs w:val="20"/>
          <w:lang w:eastAsia="hr-HR"/>
        </w:rPr>
      </w:pPr>
    </w:p>
    <w:p w:rsidR="00D4618F" w:rsidRDefault="00D4618F"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sz w:val="20"/>
          <w:szCs w:val="20"/>
          <w:lang w:eastAsia="hr-HR"/>
        </w:rPr>
      </w:pPr>
    </w:p>
    <w:p w:rsidR="00D4618F" w:rsidRDefault="00D4618F"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sz w:val="20"/>
          <w:szCs w:val="20"/>
          <w:lang w:eastAsia="hr-HR"/>
        </w:rPr>
      </w:pPr>
    </w:p>
    <w:p w:rsidR="00D4618F" w:rsidRDefault="00D4618F"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sz w:val="20"/>
          <w:szCs w:val="20"/>
          <w:lang w:eastAsia="hr-HR"/>
        </w:rPr>
      </w:pPr>
    </w:p>
    <w:p w:rsidR="00D4618F" w:rsidRDefault="00D4618F"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sz w:val="20"/>
          <w:szCs w:val="20"/>
          <w:lang w:eastAsia="hr-HR"/>
        </w:rPr>
      </w:pPr>
    </w:p>
    <w:p w:rsidR="00FC3F35" w:rsidRDefault="00FC3F35" w:rsidP="00D4618F">
      <w:pPr>
        <w:widowControl w:val="0"/>
        <w:shd w:val="clear" w:color="auto" w:fill="FFFFFF"/>
        <w:autoSpaceDE w:val="0"/>
        <w:autoSpaceDN w:val="0"/>
        <w:adjustRightInd w:val="0"/>
        <w:spacing w:after="0" w:line="240" w:lineRule="auto"/>
        <w:ind w:left="6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2.A.I Prioritetna os</w:t>
      </w:r>
    </w:p>
    <w:tbl>
      <w:tblPr>
        <w:tblStyle w:val="TableGrid"/>
        <w:tblW w:w="0" w:type="auto"/>
        <w:tblLook w:val="04A0" w:firstRow="1" w:lastRow="0" w:firstColumn="1" w:lastColumn="0" w:noHBand="0" w:noVBand="1"/>
      </w:tblPr>
      <w:tblGrid>
        <w:gridCol w:w="4531"/>
        <w:gridCol w:w="10745"/>
      </w:tblGrid>
      <w:tr w:rsidR="003E0BE0" w:rsidRPr="005E763C" w:rsidTr="003E0BE0">
        <w:tc>
          <w:tcPr>
            <w:tcW w:w="4531" w:type="dxa"/>
            <w:vAlign w:val="center"/>
          </w:tcPr>
          <w:p w:rsidR="003E0BE0" w:rsidRPr="00593567" w:rsidRDefault="003E0BE0" w:rsidP="001A0292">
            <w:pPr>
              <w:rPr>
                <w:rFonts w:ascii="Times New Roman" w:hAnsi="Times New Roman"/>
                <w:sz w:val="24"/>
                <w:szCs w:val="24"/>
              </w:rPr>
            </w:pPr>
            <w:r w:rsidRPr="00A851A0">
              <w:rPr>
                <w:rFonts w:ascii="Times New Roman" w:hAnsi="Times New Roman"/>
                <w:b/>
                <w:bCs/>
                <w:color w:val="000000"/>
                <w:spacing w:val="-2"/>
                <w:sz w:val="16"/>
                <w:szCs w:val="16"/>
              </w:rPr>
              <w:t>Oznaka prioritetne osi</w:t>
            </w:r>
          </w:p>
        </w:tc>
        <w:tc>
          <w:tcPr>
            <w:tcW w:w="10745" w:type="dxa"/>
            <w:vAlign w:val="center"/>
          </w:tcPr>
          <w:p w:rsidR="003E0BE0" w:rsidRPr="00593567" w:rsidRDefault="003E0BE0" w:rsidP="001A0292">
            <w:pPr>
              <w:widowControl w:val="0"/>
              <w:shd w:val="clear" w:color="auto" w:fill="FFFFFF"/>
              <w:autoSpaceDE w:val="0"/>
              <w:autoSpaceDN w:val="0"/>
              <w:adjustRightInd w:val="0"/>
              <w:rPr>
                <w:rFonts w:ascii="Times New Roman" w:hAnsi="Times New Roman"/>
              </w:rPr>
            </w:pPr>
            <w:r>
              <w:rPr>
                <w:rFonts w:ascii="Times New Roman" w:hAnsi="Times New Roman"/>
                <w:b/>
                <w:bCs/>
                <w:color w:val="000000"/>
                <w:sz w:val="16"/>
                <w:szCs w:val="16"/>
              </w:rPr>
              <w:t>5</w:t>
            </w:r>
          </w:p>
        </w:tc>
      </w:tr>
      <w:tr w:rsidR="003E0BE0" w:rsidRPr="005E763C" w:rsidTr="003E0BE0">
        <w:tc>
          <w:tcPr>
            <w:tcW w:w="4531" w:type="dxa"/>
            <w:vAlign w:val="center"/>
          </w:tcPr>
          <w:p w:rsidR="003E0BE0" w:rsidRPr="00576C1D" w:rsidRDefault="003E0BE0" w:rsidP="001A0292">
            <w:pPr>
              <w:widowControl w:val="0"/>
              <w:shd w:val="clear" w:color="auto" w:fill="FFFFFF"/>
              <w:autoSpaceDE w:val="0"/>
              <w:autoSpaceDN w:val="0"/>
              <w:adjustRightInd w:val="0"/>
              <w:rPr>
                <w:rFonts w:ascii="Times New Roman" w:hAnsi="Times New Roman"/>
                <w:b/>
                <w:sz w:val="18"/>
                <w:szCs w:val="18"/>
              </w:rPr>
            </w:pPr>
            <w:r w:rsidRPr="00576C1D">
              <w:rPr>
                <w:rFonts w:ascii="Times New Roman" w:hAnsi="Times New Roman"/>
                <w:b/>
                <w:sz w:val="18"/>
                <w:szCs w:val="18"/>
              </w:rPr>
              <w:t>Naziv prioritetne osi</w:t>
            </w:r>
          </w:p>
          <w:p w:rsidR="003E0BE0" w:rsidRPr="00A851A0" w:rsidRDefault="003E0BE0" w:rsidP="001A0292">
            <w:pPr>
              <w:rPr>
                <w:rFonts w:ascii="Times New Roman" w:hAnsi="Times New Roman"/>
                <w:b/>
                <w:bCs/>
                <w:color w:val="000000"/>
                <w:spacing w:val="-2"/>
                <w:sz w:val="16"/>
                <w:szCs w:val="16"/>
              </w:rPr>
            </w:pPr>
          </w:p>
        </w:tc>
        <w:tc>
          <w:tcPr>
            <w:tcW w:w="10745" w:type="dxa"/>
            <w:vAlign w:val="center"/>
          </w:tcPr>
          <w:p w:rsidR="003E0BE0" w:rsidRDefault="003E0BE0" w:rsidP="001A0292">
            <w:pPr>
              <w:widowControl w:val="0"/>
              <w:shd w:val="clear" w:color="auto" w:fill="FFFFFF"/>
              <w:autoSpaceDE w:val="0"/>
              <w:autoSpaceDN w:val="0"/>
              <w:adjustRightInd w:val="0"/>
              <w:rPr>
                <w:rFonts w:ascii="Times New Roman" w:hAnsi="Times New Roman"/>
                <w:b/>
                <w:bCs/>
                <w:color w:val="000000"/>
                <w:sz w:val="16"/>
                <w:szCs w:val="16"/>
              </w:rPr>
            </w:pPr>
            <w:r w:rsidRPr="00576C1D">
              <w:rPr>
                <w:rFonts w:ascii="Times New Roman" w:hAnsi="Times New Roman"/>
                <w:color w:val="000000"/>
                <w:spacing w:val="-1"/>
                <w:sz w:val="18"/>
                <w:szCs w:val="18"/>
              </w:rPr>
              <w:t>Klimatske promjene i upravljanje rizicima</w:t>
            </w:r>
          </w:p>
        </w:tc>
      </w:tr>
      <w:tr w:rsidR="003E0BE0" w:rsidRPr="004C117D" w:rsidTr="003E0BE0">
        <w:tc>
          <w:tcPr>
            <w:tcW w:w="15276" w:type="dxa"/>
            <w:gridSpan w:val="2"/>
            <w:vAlign w:val="center"/>
          </w:tcPr>
          <w:p w:rsidR="003E0BE0" w:rsidRPr="00A851A0"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Cjelokupna prioritetna os  provodit će se isključivo kroz financijske instrumente</w:t>
            </w:r>
          </w:p>
          <w:p w:rsidR="003E0BE0" w:rsidRPr="00A851A0"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Cjelokupna prioritetna os provodit će se isključivo kroz financijske instrumente uspostavljene na razini Unije</w:t>
            </w:r>
          </w:p>
          <w:p w:rsidR="003E0BE0" w:rsidRPr="00A851A0"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Cjelokupna prioritetna os provodit će se putem lokalnog razvoja koji predvodi zajednica</w:t>
            </w:r>
          </w:p>
          <w:p w:rsidR="003E0BE0" w:rsidRPr="004C117D" w:rsidRDefault="003E0BE0" w:rsidP="001A0292">
            <w:pPr>
              <w:widowControl w:val="0"/>
              <w:shd w:val="clear" w:color="auto" w:fill="FFFFFF"/>
              <w:autoSpaceDE w:val="0"/>
              <w:autoSpaceDN w:val="0"/>
              <w:adjustRightInd w:val="0"/>
              <w:rPr>
                <w:rFonts w:ascii="Times New Roman" w:hAnsi="Times New Roman"/>
              </w:rPr>
            </w:pPr>
            <w:r w:rsidRPr="00A851A0">
              <w:rPr>
                <w:rFonts w:ascii="Times New Roman" w:hAnsi="Times New Roman"/>
              </w:rPr>
              <w:t>□</w:t>
            </w:r>
            <w:r w:rsidRPr="00A851A0">
              <w:rPr>
                <w:rFonts w:ascii="Times New Roman" w:hAnsi="Times New Roman"/>
              </w:rPr>
              <w:tab/>
              <w:t>Za ESF: Cjelokupna prioritetna os posvećena je socijalnim inovacijama ili međudržavnoj suradnji, ili i jednom i drugom</w:t>
            </w:r>
          </w:p>
        </w:tc>
      </w:tr>
    </w:tbl>
    <w:p w:rsidR="003E0BE0" w:rsidRPr="00576C1D" w:rsidRDefault="003E0BE0"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518" w:after="0" w:line="274" w:lineRule="exact"/>
        <w:ind w:left="542" w:right="13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2.A.2 Opravdanje za uspostavu prioritetne osi koja obuhvaća više od jedne kategorije regije, tematskog cilja ili fonda </w:t>
      </w:r>
      <w:r w:rsidRPr="00576C1D">
        <w:rPr>
          <w:rFonts w:ascii="Times New Roman" w:eastAsia="Times New Roman" w:hAnsi="Times New Roman" w:cs="Times New Roman"/>
          <w:bCs/>
          <w:color w:val="000000"/>
          <w:spacing w:val="-1"/>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2.A.3 Fond, kategorija regije i obračunska osnovica za potporu Unije</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Obračunska osnovica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Kategorija regije za najudaljenije regije i sjeverne rijetko naseljene regije (po potrebi)</w:t>
            </w:r>
          </w:p>
        </w:tc>
      </w:tr>
      <w:tr w:rsidR="00FC3F35" w:rsidRPr="00576C1D" w:rsidTr="00FC3F35">
        <w:trPr>
          <w:trHeight w:hRule="exact" w:val="47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EFRR</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Manje razvijena</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Ukupni iznos</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566" w:line="1" w:lineRule="exact"/>
        <w:rPr>
          <w:rFonts w:ascii="Times New Roman" w:eastAsia="Times New Roman" w:hAnsi="Times New Roman" w:cs="Times New Roman"/>
          <w:sz w:val="2"/>
          <w:szCs w:val="2"/>
          <w:lang w:eastAsia="hr-HR"/>
        </w:rPr>
      </w:pPr>
    </w:p>
    <w:tbl>
      <w:tblPr>
        <w:tblW w:w="15985" w:type="dxa"/>
        <w:tblInd w:w="40" w:type="dxa"/>
        <w:tblLayout w:type="fixed"/>
        <w:tblCellMar>
          <w:left w:w="40" w:type="dxa"/>
          <w:right w:w="40" w:type="dxa"/>
        </w:tblCellMar>
        <w:tblLook w:val="0000" w:firstRow="0" w:lastRow="0" w:firstColumn="0" w:lastColumn="0" w:noHBand="0" w:noVBand="0"/>
      </w:tblPr>
      <w:tblGrid>
        <w:gridCol w:w="3544"/>
        <w:gridCol w:w="883"/>
        <w:gridCol w:w="3293"/>
        <w:gridCol w:w="672"/>
        <w:gridCol w:w="1315"/>
        <w:gridCol w:w="6278"/>
      </w:tblGrid>
      <w:tr w:rsidR="00FC3F35" w:rsidRPr="00576C1D" w:rsidTr="00FC3F35">
        <w:trPr>
          <w:trHeight w:hRule="exact" w:val="346"/>
        </w:trPr>
        <w:tc>
          <w:tcPr>
            <w:tcW w:w="354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88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29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7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15"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27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3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883"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5a</w:t>
            </w:r>
          </w:p>
        </w:tc>
        <w:tc>
          <w:tcPr>
            <w:tcW w:w="3293"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7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1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278"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55"/>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2441"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Podupiranje ulaganja za prilagodbu klimatskim promjenama, uključujući pristupe temeljene na ekosustavu</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430"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0" w:right="541" w:bottom="360" w:left="540" w:header="720" w:footer="720" w:gutter="0"/>
          <w:cols w:num="3" w:space="720" w:equalWidth="0">
            <w:col w:w="720" w:space="6946"/>
            <w:col w:w="720" w:space="6648"/>
            <w:col w:w="720"/>
          </w:cols>
          <w:noEndnote/>
        </w:sectPr>
      </w:pPr>
    </w:p>
    <w:p w:rsidR="00FC3F35" w:rsidRPr="00576C1D" w:rsidRDefault="00FC3F35" w:rsidP="00FC3F35">
      <w:pPr>
        <w:widowControl w:val="0"/>
        <w:shd w:val="clear" w:color="auto" w:fill="FFFFFF"/>
        <w:autoSpaceDE w:val="0"/>
        <w:autoSpaceDN w:val="0"/>
        <w:adjustRightInd w:val="0"/>
        <w:spacing w:after="178" w:line="240" w:lineRule="auto"/>
        <w:ind w:left="538"/>
        <w:rPr>
          <w:rFonts w:ascii="Times New Roman" w:eastAsia="Times New Roman" w:hAnsi="Times New Roman" w:cs="Times New Roman"/>
          <w:b/>
          <w:sz w:val="24"/>
          <w:szCs w:val="24"/>
          <w:lang w:eastAsia="hr-HR"/>
        </w:rPr>
      </w:pPr>
      <w:r w:rsidRPr="00576C1D">
        <w:rPr>
          <w:rFonts w:ascii="Times New Roman" w:eastAsia="Times New Roman" w:hAnsi="Times New Roman" w:cs="Times New Roman"/>
          <w:b/>
          <w:bCs/>
          <w:color w:val="000000"/>
          <w:spacing w:val="-1"/>
          <w:sz w:val="24"/>
          <w:szCs w:val="24"/>
          <w:lang w:eastAsia="hr-HR"/>
        </w:rPr>
        <w:lastRenderedPageBreak/>
        <w:t xml:space="preserve">2.A.5 </w:t>
      </w:r>
      <w:r w:rsidRPr="00576C1D">
        <w:rPr>
          <w:rFonts w:ascii="Times New Roman" w:eastAsia="SimSun" w:hAnsi="Times New Roman" w:cs="Times New Roman"/>
          <w:b/>
          <w:sz w:val="24"/>
          <w:szCs w:val="24"/>
        </w:rPr>
        <w:t>Specifični ciljevi koji odgovaraju investicijskom prioritetu i očekivani rezultati</w:t>
      </w:r>
    </w:p>
    <w:tbl>
      <w:tblPr>
        <w:tblStyle w:val="TableGrid"/>
        <w:tblW w:w="16126" w:type="dxa"/>
        <w:tblLook w:val="04A0" w:firstRow="1" w:lastRow="0" w:firstColumn="1" w:lastColumn="0" w:noHBand="0" w:noVBand="1"/>
      </w:tblPr>
      <w:tblGrid>
        <w:gridCol w:w="4531"/>
        <w:gridCol w:w="11595"/>
      </w:tblGrid>
      <w:tr w:rsidR="003E0BE0" w:rsidRPr="005E763C" w:rsidTr="003E0BE0">
        <w:tc>
          <w:tcPr>
            <w:tcW w:w="4531" w:type="dxa"/>
            <w:vAlign w:val="center"/>
          </w:tcPr>
          <w:p w:rsidR="003E0BE0" w:rsidRPr="00593567" w:rsidRDefault="003E0BE0" w:rsidP="001A0292">
            <w:pPr>
              <w:rPr>
                <w:rFonts w:ascii="Times New Roman" w:hAnsi="Times New Roman"/>
                <w:sz w:val="24"/>
                <w:szCs w:val="24"/>
              </w:rPr>
            </w:pPr>
            <w:r w:rsidRPr="00576C1D">
              <w:rPr>
                <w:rFonts w:ascii="Times New Roman" w:hAnsi="Times New Roman"/>
                <w:b/>
                <w:bCs/>
                <w:sz w:val="18"/>
                <w:szCs w:val="18"/>
              </w:rPr>
              <w:t>Oznaka specifičnog cilja</w:t>
            </w:r>
          </w:p>
        </w:tc>
        <w:tc>
          <w:tcPr>
            <w:tcW w:w="11595" w:type="dxa"/>
            <w:vAlign w:val="center"/>
          </w:tcPr>
          <w:p w:rsidR="003E0BE0" w:rsidRPr="00593567" w:rsidRDefault="003E0BE0" w:rsidP="001A0292">
            <w:pPr>
              <w:widowControl w:val="0"/>
              <w:shd w:val="clear" w:color="auto" w:fill="FFFFFF"/>
              <w:autoSpaceDE w:val="0"/>
              <w:autoSpaceDN w:val="0"/>
              <w:adjustRightInd w:val="0"/>
              <w:rPr>
                <w:rFonts w:ascii="Times New Roman" w:hAnsi="Times New Roman"/>
              </w:rPr>
            </w:pPr>
            <w:r>
              <w:rPr>
                <w:rFonts w:ascii="Times New Roman" w:hAnsi="Times New Roman"/>
              </w:rPr>
              <w:t>5a 1</w:t>
            </w:r>
          </w:p>
        </w:tc>
      </w:tr>
      <w:tr w:rsidR="003E0BE0" w:rsidRPr="005E763C" w:rsidTr="003E0BE0">
        <w:tc>
          <w:tcPr>
            <w:tcW w:w="4531" w:type="dxa"/>
            <w:vAlign w:val="center"/>
          </w:tcPr>
          <w:p w:rsidR="003E0BE0" w:rsidRPr="00A851A0" w:rsidRDefault="003E0BE0" w:rsidP="001A0292">
            <w:pPr>
              <w:rPr>
                <w:rFonts w:ascii="Times New Roman" w:hAnsi="Times New Roman"/>
                <w:b/>
                <w:bCs/>
                <w:color w:val="000000"/>
                <w:spacing w:val="-2"/>
                <w:sz w:val="16"/>
                <w:szCs w:val="16"/>
              </w:rPr>
            </w:pPr>
            <w:r w:rsidRPr="00576C1D">
              <w:rPr>
                <w:rFonts w:ascii="Times New Roman" w:hAnsi="Times New Roman"/>
                <w:b/>
                <w:bCs/>
                <w:sz w:val="18"/>
                <w:szCs w:val="18"/>
              </w:rPr>
              <w:t>Naziv specifičnog cilja</w:t>
            </w:r>
          </w:p>
        </w:tc>
        <w:tc>
          <w:tcPr>
            <w:tcW w:w="11595" w:type="dxa"/>
            <w:vAlign w:val="center"/>
          </w:tcPr>
          <w:p w:rsidR="003E0BE0" w:rsidRPr="00576C1D" w:rsidRDefault="003E0BE0" w:rsidP="001A0292">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color w:val="000000"/>
                <w:spacing w:val="-1"/>
                <w:sz w:val="18"/>
                <w:szCs w:val="18"/>
              </w:rPr>
              <w:t>Uspostavljen sustav za praćenje, predviđanje i planiranje mjera prilagodbe klimatskim promjenama</w:t>
            </w:r>
          </w:p>
          <w:p w:rsidR="003E0BE0" w:rsidRDefault="003E0BE0" w:rsidP="001A0292">
            <w:pPr>
              <w:widowControl w:val="0"/>
              <w:shd w:val="clear" w:color="auto" w:fill="FFFFFF"/>
              <w:autoSpaceDE w:val="0"/>
              <w:autoSpaceDN w:val="0"/>
              <w:adjustRightInd w:val="0"/>
              <w:rPr>
                <w:rFonts w:ascii="Times New Roman" w:hAnsi="Times New Roman"/>
                <w:b/>
                <w:bCs/>
                <w:color w:val="000000"/>
                <w:sz w:val="16"/>
                <w:szCs w:val="16"/>
              </w:rPr>
            </w:pPr>
          </w:p>
        </w:tc>
      </w:tr>
      <w:tr w:rsidR="003E0BE0" w:rsidRPr="005E763C" w:rsidTr="003E0BE0">
        <w:tc>
          <w:tcPr>
            <w:tcW w:w="4531" w:type="dxa"/>
            <w:vAlign w:val="center"/>
          </w:tcPr>
          <w:p w:rsidR="003E0BE0" w:rsidRPr="00576C1D" w:rsidRDefault="003E0BE0" w:rsidP="001A0292">
            <w:pPr>
              <w:rPr>
                <w:rFonts w:ascii="Times New Roman" w:hAnsi="Times New Roman"/>
                <w:b/>
                <w:bCs/>
                <w:sz w:val="18"/>
                <w:szCs w:val="18"/>
              </w:rPr>
            </w:pPr>
            <w:r w:rsidRPr="00576C1D">
              <w:rPr>
                <w:rFonts w:ascii="Times New Roman" w:hAnsi="Times New Roman"/>
                <w:b/>
                <w:bCs/>
                <w:sz w:val="18"/>
                <w:szCs w:val="18"/>
              </w:rPr>
              <w:t>Rezultati koje države članice žele postići uz potporu Unije</w:t>
            </w:r>
          </w:p>
        </w:tc>
        <w:tc>
          <w:tcPr>
            <w:tcW w:w="11595" w:type="dxa"/>
            <w:vAlign w:val="center"/>
          </w:tcPr>
          <w:p w:rsidR="003E0BE0" w:rsidRPr="00A851A0" w:rsidRDefault="003E0BE0" w:rsidP="001A0292">
            <w:pPr>
              <w:widowControl w:val="0"/>
              <w:shd w:val="clear" w:color="auto" w:fill="FFFFFF"/>
              <w:autoSpaceDE w:val="0"/>
              <w:autoSpaceDN w:val="0"/>
              <w:adjustRightInd w:val="0"/>
              <w:rPr>
                <w:rFonts w:ascii="Times New Roman" w:hAnsi="Times New Roman"/>
                <w:color w:val="000000"/>
                <w:spacing w:val="-1"/>
                <w:sz w:val="18"/>
                <w:szCs w:val="18"/>
              </w:rPr>
            </w:pPr>
            <w:r w:rsidRPr="00A851A0">
              <w:rPr>
                <w:rFonts w:ascii="Times New Roman" w:hAnsi="Times New Roman"/>
                <w:color w:val="000000"/>
                <w:spacing w:val="-1"/>
                <w:sz w:val="18"/>
                <w:szCs w:val="18"/>
              </w:rPr>
              <w:t>Hrvatska mora postići prelazak s reaktivnog na proaktivni pristup klimatskim promjenama. U praktičnom smislu, to znači prelazak s reaktivnih mjera saniranja šteta na proaktivne aktivnosti tj. prilagodbu životnih uvjeta i gospodarskog okruženja trendu klimatskih promjena. U tom smislu smatra se da će cjelovita Nacionalna strategija prilagodbe klimatskim promjenama biti razvijena do kraja 2016., a potom i akcijski plan uključivanja prilagodbe klimatskim promjenama u sektorske strategije. Ovi strateški dokumenti definiraju buduće aktivnosti prilagodbe koje će biti financirane unutar ovog investicijskog prioriteta u kasnijoj fazi.</w:t>
            </w:r>
          </w:p>
          <w:p w:rsidR="003E0BE0" w:rsidRPr="00A851A0" w:rsidRDefault="003E0BE0" w:rsidP="001A0292">
            <w:pPr>
              <w:widowControl w:val="0"/>
              <w:shd w:val="clear" w:color="auto" w:fill="FFFFFF"/>
              <w:autoSpaceDE w:val="0"/>
              <w:autoSpaceDN w:val="0"/>
              <w:adjustRightInd w:val="0"/>
              <w:rPr>
                <w:rFonts w:ascii="Times New Roman" w:hAnsi="Times New Roman"/>
                <w:color w:val="000000"/>
                <w:spacing w:val="-1"/>
                <w:sz w:val="18"/>
                <w:szCs w:val="18"/>
              </w:rPr>
            </w:pPr>
            <w:r w:rsidRPr="00A851A0">
              <w:rPr>
                <w:rFonts w:ascii="Times New Roman" w:hAnsi="Times New Roman"/>
                <w:color w:val="000000"/>
                <w:spacing w:val="-1"/>
                <w:sz w:val="18"/>
                <w:szCs w:val="18"/>
              </w:rPr>
              <w:t>U međuvremenu, 6. Nacionalno izvješće o klimatskim promjenama prema Okvirnoj konvenciji Ujedinjenih naroda o promjeni klime koje je usvojila hrvatska Vlada u siječnju 2014. će se koristiti kao strateški okvir jer identificira nekoliko područja ili vrsta aktivnosti koje su od ključnog značaja za otpornost i prilagodbu klimatskim promjenama. To je primarno povezano s osuvremenjivanjem i finalizacijom sustava za praćenje klimatskih promjena i predviđanja tj. poboljšanje kvalitete i raspoloživosti meteoroloških (uključujući klimatoloških i hidroloških) podataka i povezane infrastrukture, koji će omogućiti bolje razumijevanje klimatskih promjena i stoga pomoći pri formuliranju prikladnijih politika i mjera. Uz to, 6. Nacionalno izvješće preporučuje mjere u ranjivim sektorima, kao što je jačanje primijenjenih istraživanja za mjere prilagodbe u Hrvatskoj (vezanih uz utjecaje klimatskih promjena i potrebe prilagodbe u relevantnim sektorima) te izgrađivanje svijesti i kapaciteta na nacionalnoj i lokalnoj razini. Potpora za primijenjena istraživanja bit će fokusirana na istraživanje poboljšanih podataka o klimatskim promjenama s obzirom na utjecaje na ranjive sektore u Hrvatskoj i načina na koje razne mjere prilagodbe mogu povećati otpornost ranjivih sektora i područja.</w:t>
            </w:r>
          </w:p>
          <w:p w:rsidR="003E0BE0" w:rsidRPr="00576C1D" w:rsidRDefault="003E0BE0" w:rsidP="001A0292">
            <w:pPr>
              <w:widowControl w:val="0"/>
              <w:shd w:val="clear" w:color="auto" w:fill="FFFFFF"/>
              <w:autoSpaceDE w:val="0"/>
              <w:autoSpaceDN w:val="0"/>
              <w:adjustRightInd w:val="0"/>
              <w:rPr>
                <w:rFonts w:ascii="Times New Roman" w:hAnsi="Times New Roman"/>
                <w:color w:val="000000"/>
                <w:spacing w:val="-1"/>
                <w:sz w:val="18"/>
                <w:szCs w:val="18"/>
              </w:rPr>
            </w:pPr>
            <w:r w:rsidRPr="00A851A0">
              <w:rPr>
                <w:rFonts w:ascii="Times New Roman" w:hAnsi="Times New Roman"/>
                <w:color w:val="000000"/>
                <w:spacing w:val="-1"/>
                <w:sz w:val="18"/>
                <w:szCs w:val="18"/>
              </w:rPr>
              <w:t>Ovaj investicijski prioritet postavlja sveobuhvatni okvir i preduvjete za aktivnosti koje imaju u cilju prilagodbu na učinke klimatskih promjena. U tom smislu, glavni rezultati koji se moraju postići na temelju ovog investicijskog prioriteta odnose se na relevantne mjere, znanstveno istraživanje, prikupljanje podataka i alata za modeliranje koji će pridonijeti boljem planiranju mjera prilagodbe. Rezultati će osigurati da 100 % teritorija Hrvatske bude pokriveno redovitim nadzorom i evaluacijama utjecaja klimatskih promjena, kao i alatima za procjene utjecaja i učinaka potencijalnih mjera prilagodbe. Drugi važni rezultati odnose se na povećanje kapaciteta i znanja, uključujući podizanje javne svijesti o otpornosti i prilagodbi. U okviru ovog investicijskog prioriteta koristit će se fazni pristup. Jednom kad se postavi sustav nadzora i predviđanja te okvir politike i planiranja i jednom kad se usvoji Nacionalna strategija prilagodbe, ključne mjere određene unutar strategije mogu biti dodane OP-u i provedene kroz ovaj investicijski prioritet.</w:t>
            </w:r>
          </w:p>
        </w:tc>
      </w:tr>
    </w:tbl>
    <w:p w:rsidR="00EB452D" w:rsidRDefault="00EB452D" w:rsidP="00EB452D">
      <w:pPr>
        <w:widowControl w:val="0"/>
        <w:shd w:val="clear" w:color="auto" w:fill="FFFFFF"/>
        <w:autoSpaceDE w:val="0"/>
        <w:autoSpaceDN w:val="0"/>
        <w:adjustRightInd w:val="0"/>
        <w:spacing w:after="0" w:line="346" w:lineRule="exact"/>
        <w:rPr>
          <w:rFonts w:ascii="Times New Roman" w:eastAsia="Times New Roman" w:hAnsi="Times New Roman" w:cs="Times New Roman"/>
          <w:b/>
          <w:bCs/>
          <w:color w:val="000000"/>
          <w:spacing w:val="-1"/>
          <w:sz w:val="24"/>
          <w:szCs w:val="24"/>
          <w:lang w:eastAsia="hr-HR"/>
        </w:rPr>
      </w:pPr>
    </w:p>
    <w:p w:rsidR="00EB452D" w:rsidRDefault="00EB452D" w:rsidP="00EB452D">
      <w:pPr>
        <w:widowControl w:val="0"/>
        <w:shd w:val="clear" w:color="auto" w:fill="FFFFFF"/>
        <w:autoSpaceDE w:val="0"/>
        <w:autoSpaceDN w:val="0"/>
        <w:adjustRightInd w:val="0"/>
        <w:spacing w:after="0" w:line="346" w:lineRule="exact"/>
        <w:rPr>
          <w:rFonts w:ascii="Times New Roman" w:eastAsia="Times New Roman" w:hAnsi="Times New Roman" w:cs="Times New Roman"/>
          <w:b/>
          <w:bCs/>
          <w:color w:val="000000"/>
          <w:spacing w:val="-1"/>
          <w:sz w:val="24"/>
          <w:szCs w:val="24"/>
          <w:lang w:eastAsia="hr-HR"/>
        </w:rPr>
      </w:pPr>
    </w:p>
    <w:p w:rsidR="00FC3F35" w:rsidRPr="00576C1D" w:rsidRDefault="00FC3F35" w:rsidP="00EB452D">
      <w:pPr>
        <w:widowControl w:val="0"/>
        <w:shd w:val="clear" w:color="auto" w:fill="FFFFFF"/>
        <w:autoSpaceDE w:val="0"/>
        <w:autoSpaceDN w:val="0"/>
        <w:adjustRightInd w:val="0"/>
        <w:spacing w:after="0" w:line="346" w:lineRule="exact"/>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tbl>
      <w:tblPr>
        <w:tblW w:w="16096" w:type="dxa"/>
        <w:tblInd w:w="-38"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2223"/>
      </w:tblGrid>
      <w:tr w:rsidR="00FC3F35" w:rsidRPr="00576C1D" w:rsidTr="00082CF4">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b/>
                <w:sz w:val="16"/>
                <w:szCs w:val="16"/>
                <w:lang w:eastAsia="hr-HR"/>
              </w:rPr>
            </w:pPr>
            <w:r w:rsidRPr="00576C1D">
              <w:rPr>
                <w:rFonts w:ascii="Times New Roman" w:eastAsia="Times New Roman" w:hAnsi="Times New Roman" w:cs="Times New Roman"/>
                <w:b/>
                <w:sz w:val="16"/>
                <w:szCs w:val="16"/>
                <w:lang w:eastAsia="hr-HR"/>
              </w:rPr>
              <w:t>Specifični cilj</w:t>
            </w:r>
          </w:p>
        </w:tc>
        <w:tc>
          <w:tcPr>
            <w:tcW w:w="12534"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b/>
                <w:sz w:val="16"/>
                <w:szCs w:val="16"/>
                <w:lang w:eastAsia="hr-HR"/>
              </w:rPr>
            </w:pPr>
            <w:r w:rsidRPr="00576C1D">
              <w:rPr>
                <w:rFonts w:ascii="Times New Roman" w:eastAsia="Times New Roman" w:hAnsi="Times New Roman" w:cs="Times New Roman"/>
                <w:b/>
                <w:sz w:val="16"/>
                <w:szCs w:val="16"/>
                <w:lang w:eastAsia="hr-HR"/>
              </w:rPr>
              <w:t xml:space="preserve"> 5a1 - Uspostavljen sustav za praćenje, predviđanje i planiranje mjera prilagodbe klimatskim promjenama</w:t>
            </w:r>
          </w:p>
        </w:tc>
      </w:tr>
      <w:tr w:rsidR="00FC3F35" w:rsidRPr="00576C1D" w:rsidTr="00082CF4">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082CF4">
        <w:trPr>
          <w:trHeight w:hRule="exact" w:val="8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9"/>
                <w:sz w:val="16"/>
                <w:szCs w:val="16"/>
                <w:lang w:eastAsia="hr-HR"/>
              </w:rPr>
              <w:t>5all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1"/>
              <w:rPr>
                <w:rFonts w:ascii="Times New Roman" w:eastAsia="Times New Roman" w:hAnsi="Times New Roman" w:cs="Times New Roman"/>
                <w:sz w:val="16"/>
                <w:szCs w:val="16"/>
                <w:lang w:eastAsia="hr-HR"/>
              </w:rPr>
            </w:pPr>
            <w:r w:rsidRPr="00576C1D">
              <w:rPr>
                <w:rFonts w:ascii="Times New Roman" w:eastAsia="SimSun" w:hAnsi="Times New Roman" w:cs="Times New Roman"/>
                <w:sz w:val="16"/>
                <w:szCs w:val="16"/>
              </w:rPr>
              <w:t>Dio teritorija na kojem se provodi stalno praćenje i evaluacija učinaka klimatskih promjena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100,00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Državni hidrometeorološki zavod</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EB452D" w:rsidRDefault="00EB452D" w:rsidP="00EB452D">
      <w:pPr>
        <w:widowControl w:val="0"/>
        <w:shd w:val="clear" w:color="auto" w:fill="FFFFFF"/>
        <w:autoSpaceDE w:val="0"/>
        <w:autoSpaceDN w:val="0"/>
        <w:adjustRightInd w:val="0"/>
        <w:spacing w:after="0" w:line="346" w:lineRule="exact"/>
        <w:rPr>
          <w:rFonts w:ascii="Times New Roman" w:eastAsia="Times New Roman" w:hAnsi="Times New Roman" w:cs="Times New Roman"/>
          <w:b/>
          <w:bCs/>
          <w:color w:val="000000"/>
          <w:sz w:val="24"/>
          <w:szCs w:val="24"/>
          <w:lang w:eastAsia="hr-HR"/>
        </w:rPr>
      </w:pPr>
    </w:p>
    <w:p w:rsidR="00EB452D" w:rsidRDefault="00EB452D" w:rsidP="00EB452D">
      <w:pPr>
        <w:widowControl w:val="0"/>
        <w:shd w:val="clear" w:color="auto" w:fill="FFFFFF"/>
        <w:autoSpaceDE w:val="0"/>
        <w:autoSpaceDN w:val="0"/>
        <w:adjustRightInd w:val="0"/>
        <w:spacing w:after="0" w:line="346" w:lineRule="exact"/>
        <w:rPr>
          <w:rFonts w:ascii="Times New Roman" w:eastAsia="Times New Roman" w:hAnsi="Times New Roman" w:cs="Times New Roman"/>
          <w:b/>
          <w:bCs/>
          <w:color w:val="000000"/>
          <w:sz w:val="24"/>
          <w:szCs w:val="24"/>
          <w:lang w:eastAsia="hr-HR"/>
        </w:rPr>
      </w:pPr>
    </w:p>
    <w:p w:rsidR="00082CF4" w:rsidRDefault="00082CF4">
      <w:pP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br w:type="page"/>
      </w:r>
    </w:p>
    <w:p w:rsidR="00FC3F35" w:rsidRPr="00576C1D" w:rsidRDefault="00FC3F35" w:rsidP="00EB452D">
      <w:pPr>
        <w:widowControl w:val="0"/>
        <w:shd w:val="clear" w:color="auto" w:fill="FFFFFF"/>
        <w:autoSpaceDE w:val="0"/>
        <w:autoSpaceDN w:val="0"/>
        <w:adjustRightInd w:val="0"/>
        <w:spacing w:after="0" w:line="346" w:lineRule="exact"/>
        <w:rPr>
          <w:rFonts w:ascii="Times New Roman" w:eastAsia="Times New Roman" w:hAnsi="Times New Roman" w:cs="Times New Roman"/>
          <w:b/>
          <w:bCs/>
          <w:color w:val="000000"/>
          <w:sz w:val="24"/>
          <w:szCs w:val="24"/>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će biti podržane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z w:val="24"/>
          <w:szCs w:val="24"/>
          <w:lang w:eastAsia="hr-HR"/>
        </w:rPr>
      </w:pPr>
    </w:p>
    <w:p w:rsidR="00FC3F35"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i/>
          <w:iCs/>
          <w:color w:val="000000"/>
          <w:spacing w:val="-2"/>
          <w:sz w:val="24"/>
          <w:szCs w:val="24"/>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1"/>
        <w:gridCol w:w="11312"/>
      </w:tblGrid>
      <w:tr w:rsidR="00EB452D" w:rsidRPr="005E763C" w:rsidTr="00EB452D">
        <w:tc>
          <w:tcPr>
            <w:tcW w:w="4531" w:type="dxa"/>
            <w:vAlign w:val="center"/>
          </w:tcPr>
          <w:p w:rsidR="00EB452D" w:rsidRPr="00593567" w:rsidRDefault="00EB452D" w:rsidP="001A0292">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1312" w:type="dxa"/>
            <w:vAlign w:val="center"/>
          </w:tcPr>
          <w:p w:rsidR="00EB452D" w:rsidRPr="00593567" w:rsidRDefault="00EB452D"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5a - Podupiranje ulaganja za prilagodbu klimatskim promjenama, uključujući pristupe temeljene na ekosustavu</w:t>
            </w:r>
          </w:p>
        </w:tc>
      </w:tr>
      <w:tr w:rsidR="00EB452D" w:rsidRPr="005E763C" w:rsidTr="00EB452D">
        <w:tc>
          <w:tcPr>
            <w:tcW w:w="15843" w:type="dxa"/>
            <w:gridSpan w:val="2"/>
            <w:vAlign w:val="center"/>
          </w:tcPr>
          <w:p w:rsidR="00EB452D" w:rsidRPr="00C832F1" w:rsidRDefault="00EB452D" w:rsidP="001A0292">
            <w:pPr>
              <w:widowControl w:val="0"/>
              <w:shd w:val="clear" w:color="auto" w:fill="FFFFFF"/>
              <w:autoSpaceDE w:val="0"/>
              <w:autoSpaceDN w:val="0"/>
              <w:adjustRightInd w:val="0"/>
              <w:rPr>
                <w:rFonts w:ascii="Times New Roman" w:hAnsi="Times New Roman"/>
                <w:bCs/>
                <w:color w:val="000000"/>
                <w:sz w:val="16"/>
                <w:szCs w:val="16"/>
              </w:rPr>
            </w:pPr>
            <w:r w:rsidRPr="00C832F1">
              <w:rPr>
                <w:rFonts w:ascii="Times New Roman" w:hAnsi="Times New Roman"/>
                <w:bCs/>
                <w:color w:val="000000"/>
                <w:sz w:val="16"/>
                <w:szCs w:val="16"/>
              </w:rPr>
              <w:t xml:space="preserve">Glavne ciljne skupine i korisnici </w:t>
            </w:r>
          </w:p>
          <w:p w:rsidR="00EB452D" w:rsidRPr="00C832F1" w:rsidRDefault="00EB452D" w:rsidP="001A0292">
            <w:pPr>
              <w:widowControl w:val="0"/>
              <w:shd w:val="clear" w:color="auto" w:fill="FFFFFF"/>
              <w:autoSpaceDE w:val="0"/>
              <w:autoSpaceDN w:val="0"/>
              <w:adjustRightInd w:val="0"/>
              <w:rPr>
                <w:rFonts w:ascii="Times New Roman" w:hAnsi="Times New Roman"/>
                <w:bCs/>
                <w:color w:val="000000"/>
                <w:sz w:val="16"/>
                <w:szCs w:val="16"/>
              </w:rPr>
            </w:pPr>
          </w:p>
          <w:p w:rsidR="00EB452D" w:rsidRPr="00C832F1" w:rsidRDefault="00EB452D" w:rsidP="001A0292">
            <w:pPr>
              <w:widowControl w:val="0"/>
              <w:shd w:val="clear" w:color="auto" w:fill="FFFFFF"/>
              <w:autoSpaceDE w:val="0"/>
              <w:autoSpaceDN w:val="0"/>
              <w:adjustRightInd w:val="0"/>
              <w:rPr>
                <w:rFonts w:ascii="Times New Roman" w:hAnsi="Times New Roman"/>
                <w:bCs/>
                <w:color w:val="000000"/>
                <w:sz w:val="16"/>
                <w:szCs w:val="16"/>
              </w:rPr>
            </w:pPr>
            <w:r w:rsidRPr="00C832F1">
              <w:rPr>
                <w:rFonts w:ascii="Times New Roman" w:hAnsi="Times New Roman"/>
                <w:bCs/>
                <w:color w:val="000000"/>
                <w:sz w:val="16"/>
                <w:szCs w:val="16"/>
              </w:rPr>
              <w:t>Javne ustanove koje se bave klimatskim promjenama (Ministarstvo, Državni hidrometeorološki zavod), tijela lokalne vlasti, NVO-ovi, znanstvene i akademske institucije.</w:t>
            </w:r>
          </w:p>
          <w:p w:rsidR="00EB452D" w:rsidRPr="00C832F1" w:rsidRDefault="00EB452D" w:rsidP="001A0292">
            <w:pPr>
              <w:widowControl w:val="0"/>
              <w:shd w:val="clear" w:color="auto" w:fill="FFFFFF"/>
              <w:autoSpaceDE w:val="0"/>
              <w:autoSpaceDN w:val="0"/>
              <w:adjustRightInd w:val="0"/>
              <w:rPr>
                <w:rFonts w:ascii="Times New Roman" w:hAnsi="Times New Roman"/>
                <w:bCs/>
                <w:color w:val="000000"/>
                <w:sz w:val="16"/>
                <w:szCs w:val="16"/>
              </w:rPr>
            </w:pPr>
            <w:r w:rsidRPr="00C832F1">
              <w:rPr>
                <w:rFonts w:ascii="Times New Roman" w:hAnsi="Times New Roman"/>
                <w:bCs/>
                <w:color w:val="000000"/>
                <w:sz w:val="16"/>
                <w:szCs w:val="16"/>
              </w:rPr>
              <w:t>Primjeri aktivnosti koje će biti financirane u svrhu ostvarenja specifičnih ciljeva</w:t>
            </w:r>
          </w:p>
          <w:p w:rsidR="00EB452D" w:rsidRPr="00C832F1" w:rsidRDefault="00EB452D" w:rsidP="001A0292">
            <w:pPr>
              <w:widowControl w:val="0"/>
              <w:shd w:val="clear" w:color="auto" w:fill="FFFFFF"/>
              <w:autoSpaceDE w:val="0"/>
              <w:autoSpaceDN w:val="0"/>
              <w:adjustRightInd w:val="0"/>
              <w:rPr>
                <w:rFonts w:ascii="Times New Roman" w:hAnsi="Times New Roman"/>
                <w:bCs/>
                <w:color w:val="000000"/>
                <w:sz w:val="16"/>
                <w:szCs w:val="16"/>
              </w:rPr>
            </w:pPr>
            <w:r w:rsidRPr="00C832F1">
              <w:rPr>
                <w:rFonts w:ascii="Times New Roman" w:hAnsi="Times New Roman"/>
                <w:bCs/>
                <w:color w:val="000000"/>
                <w:sz w:val="16"/>
                <w:szCs w:val="16"/>
              </w:rPr>
              <w:t>•</w:t>
            </w:r>
            <w:r w:rsidRPr="00C832F1">
              <w:rPr>
                <w:rFonts w:ascii="Times New Roman" w:hAnsi="Times New Roman"/>
                <w:bCs/>
                <w:color w:val="000000"/>
                <w:sz w:val="16"/>
                <w:szCs w:val="16"/>
              </w:rPr>
              <w:tab/>
              <w:t>Mjere za poboljšanje kvalitete i raspoloživosti podataka u svrhu praćenja klime, prikupljanja podataka, modeliranja, analize i predviđanja informacija vezanih uz klimu, uključujući sustav upozoravanja kao ključnog preduvjeta za odgovarajuće planiranje i provedbu adaptacijskih mjera. To uključuje primijenjena istraživanja vezana uz utjecaje klimatskih promjena i potrebe prilagodbe.</w:t>
            </w:r>
          </w:p>
          <w:p w:rsidR="00EB452D" w:rsidRPr="00C832F1" w:rsidRDefault="00EB452D" w:rsidP="001A0292">
            <w:pPr>
              <w:widowControl w:val="0"/>
              <w:shd w:val="clear" w:color="auto" w:fill="FFFFFF"/>
              <w:autoSpaceDE w:val="0"/>
              <w:autoSpaceDN w:val="0"/>
              <w:adjustRightInd w:val="0"/>
              <w:rPr>
                <w:rFonts w:ascii="Times New Roman" w:hAnsi="Times New Roman"/>
                <w:bCs/>
                <w:color w:val="000000"/>
                <w:sz w:val="16"/>
                <w:szCs w:val="16"/>
              </w:rPr>
            </w:pPr>
            <w:r w:rsidRPr="00C832F1">
              <w:rPr>
                <w:rFonts w:ascii="Times New Roman" w:hAnsi="Times New Roman"/>
                <w:bCs/>
                <w:color w:val="000000"/>
                <w:sz w:val="16"/>
                <w:szCs w:val="16"/>
              </w:rPr>
              <w:t>•</w:t>
            </w:r>
            <w:r w:rsidRPr="00C832F1">
              <w:rPr>
                <w:rFonts w:ascii="Times New Roman" w:hAnsi="Times New Roman"/>
                <w:bCs/>
                <w:color w:val="000000"/>
                <w:sz w:val="16"/>
                <w:szCs w:val="16"/>
              </w:rPr>
              <w:tab/>
              <w:t xml:space="preserve">Jačanje administrativnih i tehničkih kapaciteta javnih ustanova koje se bave klimatskim promjenama (primarno osposobljavanje administrativnih službenika s ciljem povećanja stručnosti) </w:t>
            </w:r>
          </w:p>
          <w:p w:rsidR="00EB452D" w:rsidRPr="00C832F1" w:rsidRDefault="00EB452D" w:rsidP="001A0292">
            <w:pPr>
              <w:widowControl w:val="0"/>
              <w:shd w:val="clear" w:color="auto" w:fill="FFFFFF"/>
              <w:autoSpaceDE w:val="0"/>
              <w:autoSpaceDN w:val="0"/>
              <w:adjustRightInd w:val="0"/>
              <w:rPr>
                <w:rFonts w:ascii="Times New Roman" w:hAnsi="Times New Roman"/>
                <w:bCs/>
                <w:color w:val="000000"/>
                <w:sz w:val="16"/>
                <w:szCs w:val="16"/>
              </w:rPr>
            </w:pPr>
            <w:r w:rsidRPr="00C832F1">
              <w:rPr>
                <w:rFonts w:ascii="Times New Roman" w:hAnsi="Times New Roman"/>
                <w:bCs/>
                <w:color w:val="000000"/>
                <w:sz w:val="16"/>
                <w:szCs w:val="16"/>
              </w:rPr>
              <w:t>•</w:t>
            </w:r>
            <w:r w:rsidRPr="00C832F1">
              <w:rPr>
                <w:rFonts w:ascii="Times New Roman" w:hAnsi="Times New Roman"/>
                <w:bCs/>
                <w:color w:val="000000"/>
                <w:sz w:val="16"/>
                <w:szCs w:val="16"/>
              </w:rPr>
              <w:tab/>
              <w:t>Izgrađivanje svijesti o utjecaju klimatskih promjena na nacionalnoj i lokalnoj razini, čime se omogućava efikasnije uvođenje mjera prilagodbe. To će uključivati komunikacijske strategije, radionice i javne događaje, pripremu i dijeljenje edukacijskih materijala, savjetovanje stanovništva, internetske informacijske portale itd.</w:t>
            </w:r>
          </w:p>
          <w:p w:rsidR="00EB452D" w:rsidRDefault="00EB452D" w:rsidP="001A0292">
            <w:pPr>
              <w:widowControl w:val="0"/>
              <w:shd w:val="clear" w:color="auto" w:fill="FFFFFF"/>
              <w:autoSpaceDE w:val="0"/>
              <w:autoSpaceDN w:val="0"/>
              <w:adjustRightInd w:val="0"/>
              <w:rPr>
                <w:rFonts w:ascii="Times New Roman" w:hAnsi="Times New Roman"/>
                <w:b/>
                <w:bCs/>
                <w:color w:val="000000"/>
                <w:sz w:val="16"/>
                <w:szCs w:val="16"/>
              </w:rPr>
            </w:pPr>
            <w:r w:rsidRPr="00C832F1">
              <w:rPr>
                <w:rFonts w:ascii="Times New Roman" w:hAnsi="Times New Roman"/>
                <w:bCs/>
                <w:color w:val="000000"/>
                <w:sz w:val="16"/>
                <w:szCs w:val="16"/>
              </w:rPr>
              <w:t>•</w:t>
            </w:r>
            <w:r w:rsidRPr="00C832F1">
              <w:rPr>
                <w:rFonts w:ascii="Times New Roman" w:hAnsi="Times New Roman"/>
                <w:bCs/>
                <w:color w:val="000000"/>
                <w:sz w:val="16"/>
                <w:szCs w:val="16"/>
              </w:rPr>
              <w:tab/>
              <w:t>Integracija klimatskih promjena u postupak planiranja pripremanjem akcijskih planova za prilagodbu klimatskim promjenama na lokalnim razinama, integracijom mjera prilagodbe u sve strateške i razvojne dokumente, razvoj planova za sprječavanje učinaka klimatskih promjena u sektorima koji su osjetljivi na klimatske promjene i razvoj metoda i normi za provedbu mjera prilagodbe</w:t>
            </w:r>
          </w:p>
        </w:tc>
      </w:tr>
    </w:tbl>
    <w:p w:rsidR="00EB452D" w:rsidRDefault="00EB452D"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i/>
          <w:iCs/>
          <w:color w:val="000000"/>
          <w:spacing w:val="-2"/>
          <w:sz w:val="24"/>
          <w:szCs w:val="24"/>
          <w:lang w:eastAsia="hr-HR"/>
        </w:rPr>
      </w:pPr>
    </w:p>
    <w:p w:rsidR="00EB452D" w:rsidRDefault="00EB452D"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i/>
          <w:iCs/>
          <w:color w:val="000000"/>
          <w:spacing w:val="-2"/>
          <w:sz w:val="24"/>
          <w:szCs w:val="24"/>
          <w:lang w:eastAsia="hr-HR"/>
        </w:rPr>
      </w:pPr>
    </w:p>
    <w:p w:rsidR="00FC3F35" w:rsidRPr="00576C1D" w:rsidRDefault="00FC3F35"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p>
    <w:p w:rsidR="00FC3F35" w:rsidRDefault="00FC3F35" w:rsidP="00EB452D">
      <w:pPr>
        <w:widowControl w:val="0"/>
        <w:shd w:val="clear" w:color="auto" w:fill="FFFFFF"/>
        <w:autoSpaceDE w:val="0"/>
        <w:autoSpaceDN w:val="0"/>
        <w:adjustRightInd w:val="0"/>
        <w:spacing w:after="0" w:line="346" w:lineRule="exact"/>
        <w:rPr>
          <w:rFonts w:ascii="Times New Roman" w:eastAsia="Times New Roman" w:hAnsi="Times New Roman" w:cs="Times New Roman"/>
          <w:b/>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2.A.6.2 Vodeća načela za odabir operacija</w:t>
      </w:r>
    </w:p>
    <w:tbl>
      <w:tblPr>
        <w:tblStyle w:val="TableGrid"/>
        <w:tblW w:w="0" w:type="auto"/>
        <w:tblLook w:val="04A0" w:firstRow="1" w:lastRow="0" w:firstColumn="1" w:lastColumn="0" w:noHBand="0" w:noVBand="1"/>
      </w:tblPr>
      <w:tblGrid>
        <w:gridCol w:w="4531"/>
        <w:gridCol w:w="11312"/>
      </w:tblGrid>
      <w:tr w:rsidR="00EB452D" w:rsidRPr="005E763C" w:rsidTr="00EB452D">
        <w:tc>
          <w:tcPr>
            <w:tcW w:w="4531" w:type="dxa"/>
            <w:vAlign w:val="center"/>
          </w:tcPr>
          <w:p w:rsidR="00EB452D" w:rsidRPr="00593567" w:rsidRDefault="00EB452D" w:rsidP="001A0292">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1312" w:type="dxa"/>
            <w:vAlign w:val="center"/>
          </w:tcPr>
          <w:p w:rsidR="00EB452D" w:rsidRPr="00593567" w:rsidRDefault="00EB452D"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5a - Podupiranje ulaganja za prilagodbu klimatskim promjenama, uključujući pristupe temeljene na ekosustavu</w:t>
            </w:r>
          </w:p>
        </w:tc>
      </w:tr>
      <w:tr w:rsidR="00EB452D" w:rsidRPr="005E763C" w:rsidTr="00EB452D">
        <w:tc>
          <w:tcPr>
            <w:tcW w:w="15843" w:type="dxa"/>
            <w:gridSpan w:val="2"/>
            <w:vAlign w:val="center"/>
          </w:tcPr>
          <w:p w:rsidR="00EB452D" w:rsidRPr="00C832F1" w:rsidRDefault="00EB452D" w:rsidP="001A0292">
            <w:pPr>
              <w:widowControl w:val="0"/>
              <w:shd w:val="clear" w:color="auto" w:fill="FFFFFF"/>
              <w:autoSpaceDE w:val="0"/>
              <w:autoSpaceDN w:val="0"/>
              <w:adjustRightInd w:val="0"/>
              <w:rPr>
                <w:rFonts w:ascii="Times New Roman" w:hAnsi="Times New Roman"/>
                <w:bCs/>
                <w:color w:val="000000"/>
                <w:sz w:val="16"/>
                <w:szCs w:val="16"/>
              </w:rPr>
            </w:pPr>
            <w:r w:rsidRPr="00C832F1">
              <w:rPr>
                <w:rFonts w:ascii="Times New Roman" w:hAnsi="Times New Roman"/>
                <w:bCs/>
                <w:color w:val="000000"/>
                <w:sz w:val="16"/>
                <w:szCs w:val="16"/>
              </w:rPr>
              <w:t xml:space="preserve">Kako je navedeno, SC će se provoditi u fazama. Izbor potencijalnih ulaganja slijedi uspostavljanje sustava za praćenje i predviđanje, kao i okvir planiranja i politike te pripreme Nacionalne strategije prilagodbe, a ulaganja će se bazirati na prioritetima određenim  u NSP-u. </w:t>
            </w:r>
          </w:p>
          <w:p w:rsidR="00EB452D" w:rsidRDefault="00EB452D" w:rsidP="001A0292">
            <w:pPr>
              <w:widowControl w:val="0"/>
              <w:shd w:val="clear" w:color="auto" w:fill="FFFFFF"/>
              <w:autoSpaceDE w:val="0"/>
              <w:autoSpaceDN w:val="0"/>
              <w:adjustRightInd w:val="0"/>
              <w:rPr>
                <w:rFonts w:ascii="Times New Roman" w:hAnsi="Times New Roman"/>
                <w:b/>
                <w:bCs/>
                <w:color w:val="000000"/>
                <w:sz w:val="16"/>
                <w:szCs w:val="16"/>
              </w:rPr>
            </w:pPr>
            <w:r w:rsidRPr="00C832F1">
              <w:rPr>
                <w:rFonts w:ascii="Times New Roman" w:hAnsi="Times New Roman"/>
                <w:bCs/>
                <w:color w:val="000000"/>
                <w:sz w:val="16"/>
                <w:szCs w:val="16"/>
              </w:rPr>
              <w:t>U prvo fazi operacija će biti odabrana prvenstveno u skladu s doprinosom operacije specifičnom cilju. Točnije, za primijenjena istraživanja glavni kriterij će biti doprinos predloženog istraživanja definiranju najboljih potencijalnih mjera prilagodbe u najranjivijim sektorima dok će u smislu nadzora naglasak biti na isplativosti (najbolja vrijednost za novac) u smislu primjene tehnologija za meteorološku mrežu i djelotvornom integriranju iste u postojeći sustav.</w:t>
            </w:r>
          </w:p>
        </w:tc>
      </w:tr>
    </w:tbl>
    <w:p w:rsidR="00082CF4" w:rsidRDefault="00082CF4" w:rsidP="00082CF4">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pacing w:val="-1"/>
          <w:sz w:val="24"/>
          <w:szCs w:val="24"/>
          <w:lang w:eastAsia="hr-HR"/>
        </w:rPr>
      </w:pPr>
    </w:p>
    <w:p w:rsidR="00FC3F35" w:rsidRPr="00576C1D" w:rsidRDefault="00FC3F35" w:rsidP="00082CF4">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2.A.6.3 Planirano korištenje financijskih instrumenata </w:t>
      </w:r>
      <w:r w:rsidRPr="00576C1D">
        <w:rPr>
          <w:rFonts w:ascii="Times New Roman" w:eastAsia="Times New Roman" w:hAnsi="Times New Roman" w:cs="Times New Roman"/>
          <w:bCs/>
          <w:iCs/>
          <w:color w:val="000000"/>
          <w:spacing w:val="-1"/>
          <w:sz w:val="24"/>
          <w:szCs w:val="24"/>
          <w:lang w:eastAsia="hr-HR"/>
        </w:rPr>
        <w:t>(po potrebi)</w:t>
      </w:r>
    </w:p>
    <w:p w:rsidR="00FC3F35" w:rsidRPr="00576C1D" w:rsidRDefault="00FC3F35" w:rsidP="00FC3F35">
      <w:pPr>
        <w:widowControl w:val="0"/>
        <w:autoSpaceDE w:val="0"/>
        <w:autoSpaceDN w:val="0"/>
        <w:adjustRightInd w:val="0"/>
        <w:spacing w:after="115" w:line="1" w:lineRule="exact"/>
        <w:rPr>
          <w:rFonts w:ascii="Times New Roman" w:eastAsia="Times New Roman" w:hAnsi="Times New Roman" w:cs="Times New Roman"/>
          <w:sz w:val="2"/>
          <w:szCs w:val="2"/>
          <w:lang w:eastAsia="hr-HR"/>
        </w:rPr>
      </w:pPr>
    </w:p>
    <w:tbl>
      <w:tblPr>
        <w:tblW w:w="0" w:type="auto"/>
        <w:tblInd w:w="-38" w:type="dxa"/>
        <w:tblLayout w:type="fixed"/>
        <w:tblCellMar>
          <w:left w:w="40" w:type="dxa"/>
          <w:right w:w="40" w:type="dxa"/>
        </w:tblCellMar>
        <w:tblLook w:val="0000" w:firstRow="0" w:lastRow="0" w:firstColumn="0" w:lastColumn="0" w:noHBand="0" w:noVBand="0"/>
      </w:tblPr>
      <w:tblGrid>
        <w:gridCol w:w="2352"/>
        <w:gridCol w:w="298"/>
        <w:gridCol w:w="950"/>
        <w:gridCol w:w="835"/>
        <w:gridCol w:w="259"/>
        <w:gridCol w:w="1958"/>
        <w:gridCol w:w="912"/>
        <w:gridCol w:w="1277"/>
        <w:gridCol w:w="6307"/>
      </w:tblGrid>
      <w:tr w:rsidR="00FC3F35" w:rsidRPr="00576C1D" w:rsidTr="00FC3F35">
        <w:trPr>
          <w:trHeight w:hRule="exact" w:val="536"/>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298"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5a</w:t>
            </w:r>
          </w:p>
        </w:tc>
        <w:tc>
          <w:tcPr>
            <w:tcW w:w="12498" w:type="dxa"/>
            <w:gridSpan w:val="7"/>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Podupiranje ulaganja za prilagodbu klimatskim promjenama, uključujući pristupe temeljene na ekosustavu</w:t>
            </w:r>
          </w:p>
        </w:tc>
      </w:tr>
      <w:tr w:rsidR="00FC3F35" w:rsidRPr="00576C1D" w:rsidTr="00FC3F35">
        <w:trPr>
          <w:trHeight w:hRule="exact" w:val="902"/>
        </w:trPr>
        <w:tc>
          <w:tcPr>
            <w:tcW w:w="2352"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Nije predviđeno.</w:t>
            </w:r>
          </w:p>
        </w:tc>
        <w:tc>
          <w:tcPr>
            <w:tcW w:w="29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5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3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9"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5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30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shd w:val="clear" w:color="auto" w:fill="FFFFFF"/>
        <w:autoSpaceDE w:val="0"/>
        <w:autoSpaceDN w:val="0"/>
        <w:adjustRightInd w:val="0"/>
        <w:spacing w:before="514" w:after="0" w:line="240" w:lineRule="auto"/>
        <w:ind w:left="533"/>
        <w:rPr>
          <w:rFonts w:ascii="Times New Roman" w:eastAsia="Times New Roman" w:hAnsi="Times New Roman" w:cs="Times New Roman"/>
          <w:b/>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2.A.6.4 Planirano korištenje velikih projekata </w:t>
      </w:r>
      <w:r w:rsidRPr="00576C1D">
        <w:rPr>
          <w:rFonts w:ascii="Times New Roman" w:eastAsia="Times New Roman" w:hAnsi="Times New Roman" w:cs="Times New Roman"/>
          <w:bCs/>
          <w:iCs/>
          <w:color w:val="000000"/>
          <w:spacing w:val="-1"/>
          <w:sz w:val="24"/>
          <w:szCs w:val="24"/>
          <w:lang w:eastAsia="hr-HR"/>
        </w:rPr>
        <w:t>(po potrebi)</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38" w:type="dxa"/>
        <w:tblLayout w:type="fixed"/>
        <w:tblCellMar>
          <w:left w:w="40" w:type="dxa"/>
          <w:right w:w="40" w:type="dxa"/>
        </w:tblCellMar>
        <w:tblLook w:val="0000" w:firstRow="0" w:lastRow="0" w:firstColumn="0" w:lastColumn="0" w:noHBand="0" w:noVBand="0"/>
      </w:tblPr>
      <w:tblGrid>
        <w:gridCol w:w="2352"/>
        <w:gridCol w:w="298"/>
        <w:gridCol w:w="950"/>
        <w:gridCol w:w="835"/>
        <w:gridCol w:w="259"/>
        <w:gridCol w:w="1958"/>
        <w:gridCol w:w="912"/>
        <w:gridCol w:w="1277"/>
        <w:gridCol w:w="6307"/>
      </w:tblGrid>
      <w:tr w:rsidR="00FC3F35" w:rsidRPr="00576C1D" w:rsidTr="00FC3F35">
        <w:trPr>
          <w:trHeight w:hRule="exact" w:val="456"/>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298"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5a</w:t>
            </w:r>
          </w:p>
        </w:tc>
        <w:tc>
          <w:tcPr>
            <w:tcW w:w="12498" w:type="dxa"/>
            <w:gridSpan w:val="7"/>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Podupiranje ulaganja za prilagodbu klimatskim promjenama, uključujući pristupe temeljene na ekosustavu</w:t>
            </w:r>
          </w:p>
        </w:tc>
      </w:tr>
      <w:tr w:rsidR="00FC3F35" w:rsidRPr="00576C1D" w:rsidTr="00FC3F35">
        <w:trPr>
          <w:trHeight w:hRule="exact" w:val="912"/>
        </w:trPr>
        <w:tc>
          <w:tcPr>
            <w:tcW w:w="2352"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lastRenderedPageBreak/>
              <w:t>Nije predviđeno.</w:t>
            </w:r>
          </w:p>
        </w:tc>
        <w:tc>
          <w:tcPr>
            <w:tcW w:w="29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5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3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9"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5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30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082CF4" w:rsidRDefault="00082CF4"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i/>
          <w:iCs/>
          <w:color w:val="000000"/>
          <w:spacing w:val="1"/>
          <w:sz w:val="24"/>
          <w:szCs w:val="24"/>
          <w:lang w:eastAsia="hr-HR"/>
        </w:rPr>
      </w:pPr>
    </w:p>
    <w:p w:rsidR="00082CF4" w:rsidRDefault="00082CF4">
      <w:pPr>
        <w:rPr>
          <w:rFonts w:ascii="Times New Roman" w:eastAsia="Times New Roman" w:hAnsi="Times New Roman" w:cs="Times New Roman"/>
          <w:b/>
          <w:i/>
          <w:iCs/>
          <w:color w:val="000000"/>
          <w:spacing w:val="1"/>
          <w:sz w:val="24"/>
          <w:szCs w:val="24"/>
          <w:lang w:eastAsia="hr-HR"/>
        </w:rPr>
      </w:pPr>
      <w:r>
        <w:rPr>
          <w:rFonts w:ascii="Times New Roman" w:eastAsia="Times New Roman" w:hAnsi="Times New Roman" w:cs="Times New Roman"/>
          <w:b/>
          <w:i/>
          <w:iCs/>
          <w:color w:val="000000"/>
          <w:spacing w:val="1"/>
          <w:sz w:val="24"/>
          <w:szCs w:val="24"/>
          <w:lang w:eastAsia="hr-HR"/>
        </w:rPr>
        <w:br w:type="page"/>
      </w: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i/>
          <w:iCs/>
          <w:color w:val="000000"/>
          <w:spacing w:val="1"/>
          <w:sz w:val="24"/>
          <w:szCs w:val="24"/>
          <w:lang w:eastAsia="hr-HR"/>
        </w:rPr>
        <w:lastRenderedPageBreak/>
        <w:t xml:space="preserve">2.A.6.5 </w:t>
      </w:r>
      <w:r w:rsidRPr="00576C1D">
        <w:rPr>
          <w:rFonts w:ascii="Times New Roman" w:eastAsia="SimSun" w:hAnsi="Times New Roman" w:cs="Times New Roman"/>
          <w:b/>
          <w:i/>
          <w:iCs/>
          <w:sz w:val="24"/>
          <w:szCs w:val="24"/>
        </w:rPr>
        <w:t>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38" w:type="dxa"/>
        <w:tblLayout w:type="fixed"/>
        <w:tblCellMar>
          <w:left w:w="40" w:type="dxa"/>
          <w:right w:w="40" w:type="dxa"/>
        </w:tblCellMar>
        <w:tblLook w:val="0000" w:firstRow="0" w:lastRow="0" w:firstColumn="0" w:lastColumn="0" w:noHBand="0" w:noVBand="0"/>
      </w:tblPr>
      <w:tblGrid>
        <w:gridCol w:w="902"/>
        <w:gridCol w:w="1373"/>
        <w:gridCol w:w="1555"/>
        <w:gridCol w:w="1565"/>
        <w:gridCol w:w="2554"/>
        <w:gridCol w:w="1555"/>
        <w:gridCol w:w="1555"/>
        <w:gridCol w:w="1565"/>
        <w:gridCol w:w="1277"/>
        <w:gridCol w:w="1238"/>
      </w:tblGrid>
      <w:tr w:rsidR="00FC3F35" w:rsidRPr="00576C1D" w:rsidTr="00FC3F35">
        <w:trPr>
          <w:trHeight w:hRule="exact" w:val="442"/>
        </w:trPr>
        <w:tc>
          <w:tcPr>
            <w:tcW w:w="227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5a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Podupiranje ulaganja za prilagodbu klimatskim promjenama, uključujući pristupe temeljene na ekosustavu</w:t>
            </w:r>
          </w:p>
        </w:tc>
      </w:tr>
      <w:tr w:rsidR="00FC3F35" w:rsidRPr="00576C1D" w:rsidTr="00FC3F35">
        <w:trPr>
          <w:trHeight w:hRule="exact" w:val="442"/>
        </w:trPr>
        <w:tc>
          <w:tcPr>
            <w:tcW w:w="90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muškarci</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ukupno</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1738"/>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5al2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4" w:hanging="5"/>
              <w:rPr>
                <w:rFonts w:ascii="Times New Roman" w:eastAsia="Times New Roman" w:hAnsi="Times New Roman" w:cs="Times New Roman"/>
                <w:color w:val="000000"/>
                <w:spacing w:val="1"/>
                <w:sz w:val="16"/>
                <w:szCs w:val="16"/>
                <w:lang w:eastAsia="hr-HR"/>
              </w:rPr>
            </w:pPr>
            <w:r w:rsidRPr="00576C1D">
              <w:rPr>
                <w:rFonts w:ascii="Times New Roman" w:eastAsia="Times New Roman" w:hAnsi="Times New Roman" w:cs="Times New Roman"/>
                <w:color w:val="000000"/>
                <w:spacing w:val="1"/>
                <w:sz w:val="16"/>
                <w:szCs w:val="16"/>
                <w:lang w:eastAsia="hr-HR"/>
              </w:rPr>
              <w:t>Broj u potpunosti automatiziranih površinskih meteoroloških postaja (kopnenih i pomorskih), i visinskih meteoroloških postaja na tlu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4"/>
                <w:sz w:val="16"/>
                <w:szCs w:val="16"/>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450,00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86" w:hanging="10"/>
              <w:rPr>
                <w:rFonts w:ascii="Times New Roman" w:eastAsia="Times New Roman" w:hAnsi="Times New Roman" w:cs="Times New Roman"/>
                <w:color w:val="000000"/>
                <w:spacing w:val="-2"/>
                <w:sz w:val="16"/>
                <w:szCs w:val="16"/>
                <w:lang w:eastAsia="hr-HR"/>
              </w:rPr>
            </w:pPr>
            <w:r w:rsidRPr="00576C1D">
              <w:rPr>
                <w:rFonts w:ascii="Times New Roman" w:eastAsia="Times New Roman" w:hAnsi="Times New Roman" w:cs="Times New Roman"/>
                <w:color w:val="000000"/>
                <w:spacing w:val="-2"/>
                <w:sz w:val="16"/>
                <w:szCs w:val="16"/>
                <w:lang w:eastAsia="hr-HR"/>
              </w:rPr>
              <w:t>Državni hidrometeorološki zavod, 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7"/>
                <w:sz w:val="16"/>
                <w:szCs w:val="16"/>
                <w:lang w:eastAsia="hr-HR"/>
              </w:rPr>
              <w:t>Jednom godišnje</w:t>
            </w:r>
          </w:p>
        </w:tc>
      </w:tr>
    </w:tbl>
    <w:p w:rsidR="00FC3F35" w:rsidRPr="00576C1D" w:rsidRDefault="00FC3F35" w:rsidP="00FC3F35">
      <w:pPr>
        <w:widowControl w:val="0"/>
        <w:autoSpaceDE w:val="0"/>
        <w:autoSpaceDN w:val="0"/>
        <w:adjustRightInd w:val="0"/>
        <w:spacing w:after="557" w:line="1" w:lineRule="exact"/>
        <w:rPr>
          <w:rFonts w:ascii="Times New Roman" w:eastAsia="Times New Roman" w:hAnsi="Times New Roman" w:cs="Times New Roman"/>
          <w:sz w:val="2"/>
          <w:szCs w:val="2"/>
          <w:lang w:eastAsia="hr-HR"/>
        </w:rPr>
      </w:pPr>
    </w:p>
    <w:tbl>
      <w:tblPr>
        <w:tblW w:w="15104" w:type="dxa"/>
        <w:tblInd w:w="-38" w:type="dxa"/>
        <w:tblLayout w:type="fixed"/>
        <w:tblCellMar>
          <w:left w:w="40" w:type="dxa"/>
          <w:right w:w="40" w:type="dxa"/>
        </w:tblCellMar>
        <w:tblLook w:val="0000" w:firstRow="0" w:lastRow="0" w:firstColumn="0" w:lastColumn="0" w:noHBand="0" w:noVBand="0"/>
      </w:tblPr>
      <w:tblGrid>
        <w:gridCol w:w="3906"/>
        <w:gridCol w:w="893"/>
        <w:gridCol w:w="1603"/>
        <w:gridCol w:w="1651"/>
        <w:gridCol w:w="2477"/>
        <w:gridCol w:w="4574"/>
      </w:tblGrid>
      <w:tr w:rsidR="00FC3F35" w:rsidRPr="00576C1D" w:rsidTr="00EB452D">
        <w:trPr>
          <w:trHeight w:hRule="exact" w:val="514"/>
        </w:trPr>
        <w:tc>
          <w:tcPr>
            <w:tcW w:w="390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89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0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5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47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57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EB452D">
        <w:trPr>
          <w:trHeight w:hRule="exact" w:val="336"/>
        </w:trPr>
        <w:tc>
          <w:tcPr>
            <w:tcW w:w="390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18"/>
                <w:szCs w:val="18"/>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11198"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 xml:space="preserve">5b </w:t>
            </w:r>
          </w:p>
        </w:tc>
      </w:tr>
      <w:tr w:rsidR="00FC3F35" w:rsidRPr="00576C1D" w:rsidTr="00EB452D">
        <w:trPr>
          <w:trHeight w:hRule="exact" w:val="552"/>
        </w:trPr>
        <w:tc>
          <w:tcPr>
            <w:tcW w:w="390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bCs/>
                <w:color w:val="000000"/>
                <w:spacing w:val="-1"/>
                <w:sz w:val="18"/>
                <w:szCs w:val="18"/>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1198" w:type="dxa"/>
            <w:gridSpan w:val="5"/>
            <w:tcBorders>
              <w:top w:val="single" w:sz="6" w:space="0" w:color="auto"/>
              <w:left w:val="single" w:sz="6" w:space="0" w:color="auto"/>
              <w:bottom w:val="single" w:sz="6" w:space="0" w:color="auto"/>
              <w:right w:val="single" w:sz="6" w:space="0" w:color="auto"/>
            </w:tcBorders>
            <w:shd w:val="clear" w:color="auto" w:fill="FFFFFF"/>
          </w:tcPr>
          <w:p w:rsidR="005167AE" w:rsidRPr="00576C1D" w:rsidRDefault="005167AE" w:rsidP="005167AE">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Poticanje ulaganja za rješavanje specifičnih rizika, osiguravanje otpornosti na katastrofe i razvoj sustava upravljanja u slučaju katastrofa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Default="00FC3F35" w:rsidP="00FC3F35">
      <w:pPr>
        <w:widowControl w:val="0"/>
        <w:shd w:val="clear" w:color="auto" w:fill="FFFFFF"/>
        <w:autoSpaceDE w:val="0"/>
        <w:autoSpaceDN w:val="0"/>
        <w:adjustRightInd w:val="0"/>
        <w:spacing w:before="490" w:after="197"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tbl>
      <w:tblPr>
        <w:tblStyle w:val="TableGrid"/>
        <w:tblW w:w="0" w:type="auto"/>
        <w:tblLook w:val="04A0" w:firstRow="1" w:lastRow="0" w:firstColumn="1" w:lastColumn="0" w:noHBand="0" w:noVBand="1"/>
      </w:tblPr>
      <w:tblGrid>
        <w:gridCol w:w="4531"/>
        <w:gridCol w:w="10603"/>
      </w:tblGrid>
      <w:tr w:rsidR="00EB452D" w:rsidRPr="005E763C" w:rsidTr="00EB452D">
        <w:tc>
          <w:tcPr>
            <w:tcW w:w="4531" w:type="dxa"/>
            <w:vAlign w:val="center"/>
          </w:tcPr>
          <w:p w:rsidR="00EB452D" w:rsidRPr="00593567" w:rsidRDefault="00EB452D" w:rsidP="001A0292">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8"/>
                <w:sz w:val="16"/>
                <w:szCs w:val="16"/>
              </w:rPr>
              <w:t>Oznaka specifičnog cilja</w:t>
            </w:r>
          </w:p>
        </w:tc>
        <w:tc>
          <w:tcPr>
            <w:tcW w:w="10603" w:type="dxa"/>
            <w:vAlign w:val="center"/>
          </w:tcPr>
          <w:p w:rsidR="00EB452D" w:rsidRPr="00593567" w:rsidRDefault="00EB452D"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5b 1</w:t>
            </w:r>
          </w:p>
        </w:tc>
      </w:tr>
      <w:tr w:rsidR="00EB452D" w:rsidRPr="005E763C" w:rsidTr="00EB452D">
        <w:tc>
          <w:tcPr>
            <w:tcW w:w="4531" w:type="dxa"/>
            <w:vAlign w:val="center"/>
          </w:tcPr>
          <w:p w:rsidR="00EB452D" w:rsidRPr="00576C1D" w:rsidRDefault="00EB452D" w:rsidP="001A0292">
            <w:pPr>
              <w:widowControl w:val="0"/>
              <w:shd w:val="clear" w:color="auto" w:fill="FFFFFF"/>
              <w:autoSpaceDE w:val="0"/>
              <w:autoSpaceDN w:val="0"/>
              <w:adjustRightInd w:val="0"/>
              <w:rPr>
                <w:rFonts w:ascii="Times New Roman" w:hAnsi="Times New Roman"/>
                <w:b/>
                <w:bCs/>
                <w:color w:val="000000"/>
                <w:spacing w:val="8"/>
                <w:sz w:val="16"/>
                <w:szCs w:val="16"/>
              </w:rPr>
            </w:pPr>
            <w:r w:rsidRPr="00576C1D">
              <w:rPr>
                <w:rFonts w:ascii="Times New Roman" w:hAnsi="Times New Roman"/>
                <w:b/>
                <w:sz w:val="16"/>
                <w:szCs w:val="16"/>
              </w:rPr>
              <w:t>Naziv</w:t>
            </w:r>
            <w:r w:rsidRPr="00576C1D">
              <w:rPr>
                <w:rFonts w:ascii="Times New Roman" w:hAnsi="Times New Roman"/>
                <w:b/>
                <w:bCs/>
                <w:color w:val="000000"/>
                <w:spacing w:val="8"/>
                <w:sz w:val="16"/>
                <w:szCs w:val="16"/>
              </w:rPr>
              <w:t xml:space="preserve"> specifičnog cilja</w:t>
            </w:r>
          </w:p>
        </w:tc>
        <w:tc>
          <w:tcPr>
            <w:tcW w:w="10603" w:type="dxa"/>
            <w:vAlign w:val="center"/>
          </w:tcPr>
          <w:p w:rsidR="00EB452D" w:rsidRPr="00C832F1" w:rsidRDefault="00EB452D"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Jačanje kapaciteta i opremanje za upravljanje rizicima na nacionalnoj i regionalnoj razini</w:t>
            </w:r>
          </w:p>
        </w:tc>
      </w:tr>
      <w:tr w:rsidR="00EB452D" w:rsidRPr="005E763C" w:rsidTr="00EB452D">
        <w:tc>
          <w:tcPr>
            <w:tcW w:w="4531" w:type="dxa"/>
            <w:vAlign w:val="center"/>
          </w:tcPr>
          <w:p w:rsidR="00EB452D" w:rsidRPr="00576C1D" w:rsidRDefault="00EB452D" w:rsidP="001A0292">
            <w:pPr>
              <w:widowControl w:val="0"/>
              <w:shd w:val="clear" w:color="auto" w:fill="FFFFFF"/>
              <w:autoSpaceDE w:val="0"/>
              <w:autoSpaceDN w:val="0"/>
              <w:adjustRightInd w:val="0"/>
              <w:rPr>
                <w:rFonts w:ascii="Times New Roman" w:hAnsi="Times New Roman"/>
                <w:b/>
                <w:sz w:val="16"/>
                <w:szCs w:val="16"/>
              </w:rPr>
            </w:pPr>
            <w:r w:rsidRPr="00C832F1">
              <w:rPr>
                <w:rFonts w:ascii="Times New Roman" w:hAnsi="Times New Roman"/>
                <w:b/>
                <w:sz w:val="16"/>
                <w:szCs w:val="16"/>
              </w:rPr>
              <w:t>Rezultati koje države članice žele postići uz potporu Unije</w:t>
            </w:r>
          </w:p>
        </w:tc>
        <w:tc>
          <w:tcPr>
            <w:tcW w:w="10603" w:type="dxa"/>
            <w:vAlign w:val="center"/>
          </w:tcPr>
          <w:p w:rsidR="00EB452D" w:rsidRPr="00C832F1" w:rsidRDefault="00EB452D"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U posljednjih 17 godina (u razdoblju od 1995.-2012.) prijavljena šteta nastala uslijed elementarnih nepogoda (poplava, suša, vatre, leda, oluja i tuče) iznosila je ukupno 3 milijardi eura od čega je samo 4,3 % tog iznosa nadoknađeno (iz državnog proračuna).</w:t>
            </w:r>
          </w:p>
        </w:tc>
      </w:tr>
    </w:tbl>
    <w:p w:rsidR="00082CF4" w:rsidRDefault="00082CF4"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p>
    <w:p w:rsidR="00082CF4" w:rsidRDefault="00082CF4">
      <w:pPr>
        <w:rPr>
          <w:rFonts w:ascii="Times New Roman" w:eastAsia="Times New Roman" w:hAnsi="Times New Roman" w:cs="Times New Roman"/>
          <w:b/>
          <w:bCs/>
          <w:color w:val="000000"/>
          <w:spacing w:val="-1"/>
          <w:sz w:val="24"/>
          <w:szCs w:val="24"/>
          <w:lang w:eastAsia="hr-HR"/>
        </w:rPr>
      </w:pPr>
      <w:r>
        <w:rPr>
          <w:rFonts w:ascii="Times New Roman" w:eastAsia="Times New Roman" w:hAnsi="Times New Roman" w:cs="Times New Roman"/>
          <w:b/>
          <w:bCs/>
          <w:color w:val="000000"/>
          <w:spacing w:val="-1"/>
          <w:sz w:val="24"/>
          <w:szCs w:val="24"/>
          <w:lang w:eastAsia="hr-HR"/>
        </w:rPr>
        <w:br w:type="page"/>
      </w:r>
    </w:p>
    <w:p w:rsidR="00FC3F35" w:rsidRPr="00576C1D" w:rsidRDefault="00492C0A"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r>
        <w:rPr>
          <w:rFonts w:ascii="Times New Roman" w:eastAsia="Times New Roman" w:hAnsi="Times New Roman" w:cs="Times New Roman"/>
          <w:b/>
          <w:bCs/>
          <w:color w:val="000000"/>
          <w:spacing w:val="-1"/>
          <w:sz w:val="24"/>
          <w:szCs w:val="24"/>
          <w:lang w:eastAsia="hr-HR"/>
        </w:rPr>
        <w:lastRenderedPageBreak/>
        <w:t>T</w:t>
      </w:r>
      <w:r w:rsidR="00FC3F35" w:rsidRPr="00576C1D">
        <w:rPr>
          <w:rFonts w:ascii="Times New Roman" w:eastAsia="Times New Roman" w:hAnsi="Times New Roman" w:cs="Times New Roman"/>
          <w:b/>
          <w:bCs/>
          <w:color w:val="000000"/>
          <w:spacing w:val="-1"/>
          <w:sz w:val="24"/>
          <w:szCs w:val="24"/>
          <w:lang w:eastAsia="hr-HR"/>
        </w:rPr>
        <w:t xml:space="preserve">ablica 3: Pokazatelji rezultata specifičnih za program, po specifičnim ciljevima </w:t>
      </w:r>
      <w:r w:rsidR="00FC3F35" w:rsidRPr="00576C1D">
        <w:rPr>
          <w:rFonts w:ascii="Times New Roman" w:eastAsia="Times New Roman" w:hAnsi="Times New Roman" w:cs="Times New Roman"/>
          <w:bCs/>
          <w:color w:val="000000"/>
          <w:spacing w:val="-1"/>
          <w:sz w:val="24"/>
          <w:szCs w:val="24"/>
          <w:lang w:eastAsia="hr-HR"/>
        </w:rPr>
        <w:t>(za EFRR i Kohezijski Fond)</w:t>
      </w:r>
    </w:p>
    <w:tbl>
      <w:tblPr>
        <w:tblW w:w="0" w:type="auto"/>
        <w:tblInd w:w="-38"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color w:val="000000"/>
                <w:spacing w:val="-7"/>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5167AE">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4"/>
                <w:sz w:val="20"/>
                <w:szCs w:val="20"/>
                <w:lang w:eastAsia="hr-HR"/>
              </w:rPr>
            </w:pPr>
            <w:r w:rsidRPr="00576C1D">
              <w:rPr>
                <w:rFonts w:ascii="Times New Roman" w:eastAsia="Times New Roman" w:hAnsi="Times New Roman" w:cs="Times New Roman"/>
                <w:color w:val="000000"/>
                <w:spacing w:val="-4"/>
                <w:sz w:val="20"/>
                <w:szCs w:val="20"/>
                <w:lang w:eastAsia="hr-HR"/>
              </w:rPr>
              <w:t xml:space="preserve">5bl </w:t>
            </w:r>
            <w:r w:rsidR="005167AE" w:rsidRPr="00576C1D">
              <w:rPr>
                <w:rFonts w:ascii="Times New Roman" w:eastAsia="Times New Roman" w:hAnsi="Times New Roman" w:cs="Times New Roman"/>
                <w:color w:val="000000"/>
                <w:spacing w:val="-4"/>
                <w:sz w:val="20"/>
                <w:szCs w:val="20"/>
                <w:lang w:eastAsia="hr-HR"/>
              </w:rPr>
              <w:t xml:space="preserve">–Jačanje </w:t>
            </w:r>
            <w:r w:rsidRPr="00576C1D">
              <w:rPr>
                <w:rFonts w:ascii="Times New Roman" w:eastAsia="Times New Roman" w:hAnsi="Times New Roman" w:cs="Times New Roman"/>
                <w:color w:val="000000"/>
                <w:spacing w:val="-4"/>
                <w:sz w:val="20"/>
                <w:szCs w:val="20"/>
                <w:lang w:eastAsia="hr-HR"/>
              </w:rPr>
              <w:t>kapaciteta i opremanje za upravljanje rizicima na nacionalnoj i regionalnoj razini</w:t>
            </w:r>
          </w:p>
        </w:tc>
      </w:tr>
      <w:tr w:rsidR="00FC3F35" w:rsidRPr="00576C1D" w:rsidTr="00FC3F35">
        <w:trPr>
          <w:trHeight w:hRule="exact" w:val="972"/>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8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9"/>
                <w:sz w:val="16"/>
                <w:szCs w:val="16"/>
                <w:lang w:eastAsia="hr-HR"/>
              </w:rPr>
              <w:t>5bll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50"/>
              <w:rPr>
                <w:rFonts w:ascii="Times New Roman" w:eastAsia="Times New Roman" w:hAnsi="Times New Roman" w:cs="Times New Roman"/>
                <w:color w:val="000000"/>
                <w:sz w:val="16"/>
                <w:szCs w:val="16"/>
                <w:lang w:eastAsia="hr-HR"/>
              </w:rPr>
            </w:pPr>
            <w:r w:rsidRPr="00576C1D">
              <w:rPr>
                <w:rFonts w:ascii="Times New Roman" w:eastAsia="Times New Roman" w:hAnsi="Times New Roman" w:cs="Times New Roman"/>
                <w:color w:val="000000"/>
                <w:sz w:val="16"/>
                <w:szCs w:val="16"/>
                <w:lang w:eastAsia="hr-HR"/>
              </w:rPr>
              <w:t>Broj odgovarajuće obrazovanog osoblja (organizacija odgovornih za upravljanje rizicima/katastrofama)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7"/>
                <w:sz w:val="16"/>
                <w:szCs w:val="16"/>
                <w:lang w:eastAsia="hr-HR"/>
              </w:rPr>
            </w:pPr>
            <w:r w:rsidRPr="00576C1D">
              <w:rPr>
                <w:rFonts w:ascii="Times New Roman" w:eastAsia="Times New Roman" w:hAnsi="Times New Roman" w:cs="Times New Roman"/>
                <w:bCs/>
                <w:color w:val="000000"/>
                <w:spacing w:val="-7"/>
                <w:sz w:val="16"/>
                <w:szCs w:val="16"/>
                <w:lang w:eastAsia="hr-HR"/>
              </w:rPr>
              <w:t>DUZS</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082CF4" w:rsidRDefault="00082CF4"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z w:val="24"/>
          <w:szCs w:val="24"/>
          <w:lang w:eastAsia="hr-HR"/>
        </w:rPr>
      </w:pPr>
      <w:r w:rsidRPr="00576C1D">
        <w:rPr>
          <w:rFonts w:ascii="Times New Roman" w:eastAsia="Times New Roman" w:hAnsi="Times New Roman" w:cs="Times New Roman"/>
          <w:b/>
          <w:bCs/>
          <w:color w:val="000000"/>
          <w:sz w:val="24"/>
          <w:szCs w:val="24"/>
          <w:lang w:eastAsia="hr-HR"/>
        </w:rPr>
        <w:t xml:space="preserve">2.A.6 Aktivnosti koje će biti podržane u okviru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Default="00FC3F35" w:rsidP="00082CF4">
      <w:pPr>
        <w:widowControl w:val="0"/>
        <w:shd w:val="clear" w:color="auto" w:fill="FFFFFF"/>
        <w:autoSpaceDE w:val="0"/>
        <w:autoSpaceDN w:val="0"/>
        <w:adjustRightInd w:val="0"/>
        <w:spacing w:after="0" w:line="278" w:lineRule="exact"/>
        <w:rPr>
          <w:rFonts w:ascii="Times New Roman" w:eastAsia="Times New Roman" w:hAnsi="Times New Roman" w:cs="Times New Roman"/>
          <w:b/>
          <w:bCs/>
          <w:i/>
          <w:iCs/>
          <w:color w:val="000000"/>
          <w:spacing w:val="-2"/>
          <w:sz w:val="24"/>
          <w:szCs w:val="24"/>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1"/>
        <w:gridCol w:w="10745"/>
      </w:tblGrid>
      <w:tr w:rsidR="001A0292" w:rsidRPr="005E763C" w:rsidTr="001A0292">
        <w:tc>
          <w:tcPr>
            <w:tcW w:w="4531" w:type="dxa"/>
            <w:vAlign w:val="center"/>
          </w:tcPr>
          <w:p w:rsidR="001A0292" w:rsidRPr="00576C1D" w:rsidRDefault="001A0292" w:rsidP="001A0292">
            <w:pPr>
              <w:rPr>
                <w:rFonts w:ascii="Times New Roman" w:hAnsi="Times New Roman"/>
                <w:b/>
                <w:bCs/>
                <w:sz w:val="18"/>
                <w:szCs w:val="18"/>
              </w:rPr>
            </w:pPr>
            <w:r w:rsidRPr="00576C1D">
              <w:rPr>
                <w:rFonts w:ascii="Times New Roman" w:hAnsi="Times New Roman"/>
                <w:b/>
                <w:bCs/>
                <w:color w:val="000000"/>
                <w:spacing w:val="-1"/>
                <w:sz w:val="18"/>
                <w:szCs w:val="18"/>
              </w:rPr>
              <w:t>Investicijski prioritet</w:t>
            </w:r>
          </w:p>
        </w:tc>
        <w:tc>
          <w:tcPr>
            <w:tcW w:w="10745" w:type="dxa"/>
            <w:vAlign w:val="center"/>
          </w:tcPr>
          <w:p w:rsidR="001A0292" w:rsidRPr="00576C1D" w:rsidRDefault="001A0292" w:rsidP="001A0292">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5b - Poticanje ulaganja za rješavanje specifičnih rizika, osiguravanje otpornosti na katastrofe i razvoj sustava upravljanja u slučaju katastrofa</w:t>
            </w:r>
          </w:p>
        </w:tc>
      </w:tr>
      <w:tr w:rsidR="001A0292" w:rsidRPr="004C117D" w:rsidTr="001A0292">
        <w:tc>
          <w:tcPr>
            <w:tcW w:w="15276" w:type="dxa"/>
            <w:gridSpan w:val="2"/>
            <w:vAlign w:val="center"/>
          </w:tcPr>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Glavne ciljne skupine i korisnici</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Državna tijela i organizacije odgovorne za upravljanje rizicima/katastrofama i prikupljanje podataka (Državna uprava za zaštitu i spašavanje, Državni hidrometeorološki zavod, druga nadležna ministarstva i agencije itd.), Hrvatske vode te regionalna (županijska) i lokalna tijela vlasti.</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Primjeri aktivnosti koje se financiraju kako bi se postigli specifični ciljevi</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Specifično prioritetno ulaganje (u infrastrukture) i povezane aktivnosti bit će identificirani do kraja 2015. unutar procjene rizika. Aktivnosti navedene u nastavku su one koje se mogu provesti u međuvremenu s obzirom na to da su horizontalne prirode.</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Prevencija:</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w:t>
            </w:r>
            <w:r w:rsidRPr="00C832F1">
              <w:rPr>
                <w:rFonts w:ascii="Times New Roman" w:hAnsi="Times New Roman"/>
              </w:rPr>
              <w:tab/>
              <w:t>programi podizanja svijesti o rizicima, promicanje i obrazovanje stvarajući time otporne zajednice;</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w:t>
            </w:r>
            <w:r w:rsidRPr="00C832F1">
              <w:rPr>
                <w:rFonts w:ascii="Times New Roman" w:hAnsi="Times New Roman"/>
              </w:rPr>
              <w:tab/>
              <w:t>priprema konkretnog projekta u sektorima koji su zahvaćeni najuobičajenijim katastrofalnim događajima i koji su prepoznati u postojećim dokumentima nacionalne strategije (Procjena ugroženosti).</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Pripravnost:</w:t>
            </w:r>
          </w:p>
          <w:p w:rsidR="001A0292"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w:t>
            </w:r>
            <w:r w:rsidRPr="00C832F1">
              <w:rPr>
                <w:rFonts w:ascii="Times New Roman" w:hAnsi="Times New Roman"/>
              </w:rPr>
              <w:tab/>
              <w:t>mjere za razvoj organizacijskih sustava i kapaciteta za zaštitu od svih katastrofa i organizacija upravljanja, uključujući razvoj i uspostavu sustava ranog upozoravanja, čime se stvaraju preduvjeti za odgovarajuće sprečavanje katastrofa, odaziv i mjere upravljanja (tj. prije završetka procjene rizika, podizanje svijesti o važnosti saznanja da su rizici prioritet);</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w:t>
            </w:r>
            <w:r w:rsidRPr="00C832F1">
              <w:rPr>
                <w:rFonts w:ascii="Times New Roman" w:hAnsi="Times New Roman"/>
              </w:rPr>
              <w:tab/>
              <w:t>.</w:t>
            </w:r>
          </w:p>
          <w:p w:rsidR="001A0292" w:rsidRPr="00C832F1"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Odgovor:</w:t>
            </w:r>
          </w:p>
          <w:p w:rsidR="001A0292" w:rsidRPr="004C117D"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w:t>
            </w:r>
            <w:r w:rsidRPr="00C832F1">
              <w:rPr>
                <w:rFonts w:ascii="Times New Roman" w:hAnsi="Times New Roman"/>
              </w:rPr>
              <w:tab/>
              <w:t>nabava i izgradnja opreme i infrastrukture za smanjenje štete od katastrofa odnosno odgovara na katastrofe, ali ne ograničavajući se na, komunikacijski sustav koji se koristi za službu spašavanja te ublažavanje posljedica na obuhvaćenim područjima.</w:t>
            </w:r>
          </w:p>
        </w:tc>
      </w:tr>
    </w:tbl>
    <w:p w:rsidR="001A0292" w:rsidRDefault="001A0292" w:rsidP="001A0292">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b/>
          <w:bCs/>
          <w:i/>
          <w:iCs/>
          <w:color w:val="000000"/>
          <w:spacing w:val="-1"/>
          <w:sz w:val="24"/>
          <w:szCs w:val="24"/>
          <w:lang w:eastAsia="hr-HR"/>
        </w:rPr>
      </w:pPr>
    </w:p>
    <w:p w:rsidR="00FC3F35" w:rsidRDefault="00FC3F35" w:rsidP="001A0292">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b/>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2.A.6.2Vodeća načela za odabir operacija</w:t>
      </w:r>
    </w:p>
    <w:tbl>
      <w:tblPr>
        <w:tblStyle w:val="TableGrid"/>
        <w:tblW w:w="0" w:type="auto"/>
        <w:tblLook w:val="04A0" w:firstRow="1" w:lastRow="0" w:firstColumn="1" w:lastColumn="0" w:noHBand="0" w:noVBand="1"/>
      </w:tblPr>
      <w:tblGrid>
        <w:gridCol w:w="4531"/>
        <w:gridCol w:w="10745"/>
      </w:tblGrid>
      <w:tr w:rsidR="001A0292" w:rsidRPr="005E763C" w:rsidTr="001A0292">
        <w:tc>
          <w:tcPr>
            <w:tcW w:w="4531" w:type="dxa"/>
            <w:vAlign w:val="center"/>
          </w:tcPr>
          <w:p w:rsidR="001A0292" w:rsidRPr="00576C1D" w:rsidRDefault="001A0292" w:rsidP="001A0292">
            <w:pPr>
              <w:rPr>
                <w:rFonts w:ascii="Times New Roman" w:hAnsi="Times New Roman"/>
                <w:b/>
                <w:bCs/>
                <w:sz w:val="18"/>
                <w:szCs w:val="18"/>
              </w:rPr>
            </w:pPr>
            <w:r w:rsidRPr="00576C1D">
              <w:rPr>
                <w:rFonts w:ascii="Times New Roman" w:hAnsi="Times New Roman"/>
                <w:b/>
                <w:bCs/>
                <w:color w:val="000000"/>
                <w:spacing w:val="-1"/>
                <w:sz w:val="18"/>
                <w:szCs w:val="18"/>
              </w:rPr>
              <w:t>Investicijski prioritet</w:t>
            </w:r>
          </w:p>
        </w:tc>
        <w:tc>
          <w:tcPr>
            <w:tcW w:w="10745" w:type="dxa"/>
            <w:vAlign w:val="center"/>
          </w:tcPr>
          <w:p w:rsidR="001A0292" w:rsidRPr="00576C1D" w:rsidRDefault="001A0292" w:rsidP="001A0292">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5b - Poticanje ulaganja za rješavanje specifičnih rizika, osiguravanje otpornosti na katastrofe i razvoj sustava upravljanja u slučaju katastrofa</w:t>
            </w:r>
          </w:p>
        </w:tc>
      </w:tr>
      <w:tr w:rsidR="001A0292" w:rsidRPr="004C117D" w:rsidTr="001A0292">
        <w:tc>
          <w:tcPr>
            <w:tcW w:w="15276" w:type="dxa"/>
            <w:gridSpan w:val="2"/>
            <w:vAlign w:val="center"/>
          </w:tcPr>
          <w:p w:rsidR="001A0292" w:rsidRPr="004C117D" w:rsidRDefault="001A0292" w:rsidP="001A0292">
            <w:pPr>
              <w:widowControl w:val="0"/>
              <w:shd w:val="clear" w:color="auto" w:fill="FFFFFF"/>
              <w:autoSpaceDE w:val="0"/>
              <w:autoSpaceDN w:val="0"/>
              <w:adjustRightInd w:val="0"/>
              <w:rPr>
                <w:rFonts w:ascii="Times New Roman" w:hAnsi="Times New Roman"/>
              </w:rPr>
            </w:pPr>
            <w:r w:rsidRPr="00C832F1">
              <w:rPr>
                <w:rFonts w:ascii="Times New Roman" w:hAnsi="Times New Roman"/>
              </w:rPr>
              <w:t xml:space="preserve">Odabir operacija će se temeljiti na procjeni rizika koja će postaviti prioritete na nacionalnoj razini s ciljem smanjivanja najvećih rizika. Financiranje operacije će se tada usmjeriti na sistematsko smanjivanje tih (tj. najvećih) rizika. Međutim, prije finalizacije procjene rizika biti će provedene pripremne aktivnosti, između ostalog konkretna priprema projekta, u skladu s podacima navedenim u postojećoj nacionalnoj Procjeni ugroženosti. Ova mogućnost će se odnositi na „meke mjere“ kao što je podizanje svijesti i izgradnja kapaciteta, opremanje te priprema "no-regret" projekata kao što je upravljanje poplavom u područjima gdje se rizici pojavljuju gotovo redovito (godišnje). Sve specifične aktivnosti, mjere i infrastruktura zaštite </w:t>
            </w:r>
            <w:r w:rsidRPr="00C832F1">
              <w:rPr>
                <w:rFonts w:ascii="Times New Roman" w:hAnsi="Times New Roman"/>
              </w:rPr>
              <w:lastRenderedPageBreak/>
              <w:t>čiji je cilj smanjivanje velikih identificiranih rizika bit će u skladu s ciljevima Procjene rizika nakon njenog usvajanja.</w:t>
            </w:r>
          </w:p>
        </w:tc>
      </w:tr>
    </w:tbl>
    <w:p w:rsidR="00FC3F35" w:rsidRDefault="00FC3F35" w:rsidP="001A0292">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bCs/>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lastRenderedPageBreak/>
        <w:t xml:space="preserve">2.A.6.3 Planirano korištenje financijskih instrumenata </w:t>
      </w:r>
      <w:r w:rsidRPr="00576C1D">
        <w:rPr>
          <w:rFonts w:ascii="Times New Roman" w:eastAsia="Times New Roman" w:hAnsi="Times New Roman" w:cs="Times New Roman"/>
          <w:bCs/>
          <w:iCs/>
          <w:color w:val="000000"/>
          <w:spacing w:val="-1"/>
          <w:sz w:val="24"/>
          <w:szCs w:val="24"/>
          <w:lang w:eastAsia="hr-HR"/>
        </w:rPr>
        <w:t>(po potrebi)</w:t>
      </w:r>
    </w:p>
    <w:p w:rsidR="001A0292" w:rsidRDefault="001A0292" w:rsidP="001A0292">
      <w:pPr>
        <w:widowControl w:val="0"/>
        <w:shd w:val="clear" w:color="auto" w:fill="FFFFFF"/>
        <w:autoSpaceDE w:val="0"/>
        <w:autoSpaceDN w:val="0"/>
        <w:adjustRightInd w:val="0"/>
        <w:spacing w:after="0" w:line="240" w:lineRule="auto"/>
        <w:rPr>
          <w:rFonts w:ascii="Times New Roman" w:eastAsia="Times New Roman" w:hAnsi="Times New Roman" w:cs="Times New Roman"/>
          <w:bCs/>
          <w:iCs/>
          <w:color w:val="000000"/>
          <w:spacing w:val="-1"/>
          <w:sz w:val="24"/>
          <w:szCs w:val="24"/>
          <w:lang w:eastAsia="hr-HR"/>
        </w:rPr>
      </w:pPr>
    </w:p>
    <w:tbl>
      <w:tblPr>
        <w:tblW w:w="15246" w:type="dxa"/>
        <w:tblInd w:w="-38" w:type="dxa"/>
        <w:tblLayout w:type="fixed"/>
        <w:tblCellMar>
          <w:left w:w="40" w:type="dxa"/>
          <w:right w:w="40" w:type="dxa"/>
        </w:tblCellMar>
        <w:tblLook w:val="0000" w:firstRow="0" w:lastRow="0" w:firstColumn="0" w:lastColumn="0" w:noHBand="0" w:noVBand="0"/>
      </w:tblPr>
      <w:tblGrid>
        <w:gridCol w:w="2187"/>
        <w:gridCol w:w="4984"/>
        <w:gridCol w:w="407"/>
        <w:gridCol w:w="1857"/>
        <w:gridCol w:w="1065"/>
        <w:gridCol w:w="985"/>
        <w:gridCol w:w="3761"/>
      </w:tblGrid>
      <w:tr w:rsidR="00FC3F35" w:rsidRPr="00576C1D" w:rsidTr="00082CF4">
        <w:tc>
          <w:tcPr>
            <w:tcW w:w="21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13059"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5b - Poticanje ulaganja za rješavanje specifičnih rizika, osiguravanje otpornosti na katastrofe i razvoj sustava upravljanja u slučaju katastrofa</w:t>
            </w:r>
          </w:p>
        </w:tc>
      </w:tr>
      <w:tr w:rsidR="00FC3F35" w:rsidRPr="00576C1D" w:rsidTr="00082CF4">
        <w:tc>
          <w:tcPr>
            <w:tcW w:w="7171"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Nije predviđeno.</w:t>
            </w:r>
          </w:p>
        </w:tc>
        <w:tc>
          <w:tcPr>
            <w:tcW w:w="40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5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6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8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761"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082CF4">
        <w:tc>
          <w:tcPr>
            <w:tcW w:w="7171"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2.A.6.4 Planirano korištenje velikih projekata </w:t>
            </w:r>
            <w:r w:rsidRPr="00576C1D">
              <w:rPr>
                <w:rFonts w:ascii="Times New Roman" w:eastAsia="Times New Roman" w:hAnsi="Times New Roman" w:cs="Times New Roman"/>
                <w:bCs/>
                <w:iCs/>
                <w:color w:val="000000"/>
                <w:spacing w:val="-1"/>
                <w:sz w:val="24"/>
                <w:szCs w:val="24"/>
                <w:lang w:eastAsia="hr-HR"/>
              </w:rPr>
              <w:t>(po potrebi)</w:t>
            </w:r>
          </w:p>
        </w:tc>
        <w:tc>
          <w:tcPr>
            <w:tcW w:w="40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5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6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8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76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082CF4">
        <w:tc>
          <w:tcPr>
            <w:tcW w:w="21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13059"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5b - Poticanje ulaganja za rješavanje specifičnih rizika, osiguravanje otpornosti na katastrofe i razvoj sustava upravljanja u slučaju katastrofa</w:t>
            </w:r>
          </w:p>
        </w:tc>
      </w:tr>
      <w:tr w:rsidR="00FC3F35" w:rsidRPr="00576C1D" w:rsidTr="00082CF4">
        <w:tc>
          <w:tcPr>
            <w:tcW w:w="7171"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Nije predviđeno.</w:t>
            </w:r>
          </w:p>
        </w:tc>
        <w:tc>
          <w:tcPr>
            <w:tcW w:w="40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5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6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8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761"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shd w:val="clear" w:color="auto" w:fill="FFFFFF"/>
        <w:autoSpaceDE w:val="0"/>
        <w:autoSpaceDN w:val="0"/>
        <w:adjustRightInd w:val="0"/>
        <w:spacing w:before="504" w:after="0" w:line="240" w:lineRule="auto"/>
        <w:ind w:left="533"/>
        <w:rPr>
          <w:rFonts w:ascii="Times New Roman" w:eastAsia="Times New Roman" w:hAnsi="Times New Roman" w:cs="Times New Roman"/>
          <w:b/>
          <w:bCs/>
          <w:i/>
          <w:iCs/>
          <w:color w:val="000000"/>
          <w:sz w:val="24"/>
          <w:szCs w:val="24"/>
          <w:lang w:eastAsia="hr-HR"/>
        </w:rPr>
      </w:pPr>
      <w:r w:rsidRPr="00576C1D">
        <w:rPr>
          <w:rFonts w:ascii="Times New Roman" w:eastAsia="Times New Roman" w:hAnsi="Times New Roman" w:cs="Times New Roman"/>
          <w:b/>
          <w:bCs/>
          <w:i/>
          <w:iCs/>
          <w:color w:val="000000"/>
          <w:sz w:val="24"/>
          <w:szCs w:val="24"/>
          <w:lang w:eastAsia="hr-HR"/>
        </w:rPr>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color w:val="000000"/>
          <w:spacing w:val="-1"/>
          <w:sz w:val="24"/>
          <w:szCs w:val="24"/>
          <w:lang w:eastAsia="hr-HR"/>
        </w:rPr>
        <w:t>(po investicijskom prioritetu, podijeljeni na kategorije regije za ESF i, po potrebi, za EFRR)</w:t>
      </w:r>
    </w:p>
    <w:tbl>
      <w:tblPr>
        <w:tblW w:w="15149" w:type="dxa"/>
        <w:tblInd w:w="-38"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492C0A">
        <w:trPr>
          <w:trHeight w:hRule="exact" w:val="451"/>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5b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Poticanje ulaganja za rješavanje specifičnih rizika, osiguravanje otpornosti na katastrofe i razvoj sustava upravljanja u slučaju katastrofa</w:t>
            </w:r>
          </w:p>
        </w:tc>
      </w:tr>
      <w:tr w:rsidR="00FC3F35" w:rsidRPr="00576C1D" w:rsidTr="00492C0A">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492C0A">
        <w:trPr>
          <w:trHeight w:hRule="exact" w:val="96"/>
        </w:trPr>
        <w:tc>
          <w:tcPr>
            <w:tcW w:w="912" w:type="dxa"/>
            <w:tcBorders>
              <w:top w:val="nil"/>
              <w:left w:val="single" w:sz="6" w:space="0" w:color="auto"/>
              <w:bottom w:val="nil"/>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nil"/>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nil"/>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nil"/>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nil"/>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nil"/>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nil"/>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492C0A">
        <w:trPr>
          <w:trHeight w:hRule="exact" w:val="336"/>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muškarci</w:t>
            </w: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ukupno</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492C0A">
        <w:trPr>
          <w:trHeight w:hRule="exact" w:val="135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CO20</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 w:firstLine="5"/>
              <w:rPr>
                <w:rFonts w:ascii="Times New Roman" w:eastAsia="Times New Roman" w:hAnsi="Times New Roman" w:cs="Times New Roman"/>
                <w:color w:val="000000"/>
                <w:spacing w:val="-1"/>
                <w:sz w:val="16"/>
                <w:szCs w:val="16"/>
                <w:lang w:eastAsia="hr-HR"/>
              </w:rPr>
            </w:pPr>
            <w:r w:rsidRPr="00576C1D">
              <w:rPr>
                <w:rFonts w:ascii="Times New Roman" w:eastAsia="Times New Roman" w:hAnsi="Times New Roman" w:cs="Times New Roman"/>
                <w:color w:val="000000"/>
                <w:spacing w:val="-1"/>
                <w:sz w:val="16"/>
                <w:szCs w:val="16"/>
                <w:lang w:eastAsia="hr-HR"/>
              </w:rPr>
              <w:t>Prevencija i upravljanje rizicima: Stanovništvo koje ostvaruje korist od mjera obrane od poplava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Osobe</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8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5.000,00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54" w:hanging="10"/>
              <w:rPr>
                <w:rFonts w:ascii="Times New Roman" w:eastAsia="Times New Roman" w:hAnsi="Times New Roman" w:cs="Times New Roman"/>
                <w:color w:val="000000"/>
                <w:spacing w:val="-3"/>
                <w:sz w:val="16"/>
                <w:szCs w:val="16"/>
                <w:lang w:eastAsia="hr-HR"/>
              </w:rPr>
            </w:pPr>
            <w:r w:rsidRPr="00576C1D">
              <w:rPr>
                <w:rFonts w:ascii="Times New Roman" w:eastAsia="Times New Roman" w:hAnsi="Times New Roman" w:cs="Times New Roman"/>
                <w:color w:val="000000"/>
                <w:spacing w:val="-1"/>
                <w:sz w:val="16"/>
                <w:szCs w:val="16"/>
                <w:lang w:eastAsia="hr-HR"/>
              </w:rPr>
              <w:t>Hrvatske vode</w:t>
            </w:r>
            <w:r w:rsidRPr="00576C1D">
              <w:rPr>
                <w:rFonts w:ascii="Times New Roman" w:eastAsia="Times New Roman" w:hAnsi="Times New Roman" w:cs="Times New Roman"/>
                <w:color w:val="000000"/>
                <w:spacing w:val="-3"/>
                <w:sz w:val="16"/>
                <w:szCs w:val="16"/>
                <w:lang w:eastAsia="hr-HR"/>
              </w:rPr>
              <w:t>, 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6"/>
                <w:szCs w:val="16"/>
                <w:lang w:eastAsia="hr-HR"/>
              </w:rPr>
            </w:pPr>
            <w:r w:rsidRPr="00576C1D">
              <w:rPr>
                <w:rFonts w:ascii="Times New Roman" w:eastAsia="Times New Roman" w:hAnsi="Times New Roman" w:cs="Times New Roman"/>
                <w:color w:val="000000"/>
                <w:spacing w:val="-2"/>
                <w:sz w:val="16"/>
                <w:szCs w:val="16"/>
                <w:lang w:eastAsia="hr-HR"/>
              </w:rPr>
              <w:t>Dva puta godišnje</w:t>
            </w:r>
          </w:p>
        </w:tc>
      </w:tr>
      <w:tr w:rsidR="00FC3F35" w:rsidRPr="00576C1D" w:rsidTr="00492C0A">
        <w:trPr>
          <w:trHeight w:hRule="exact" w:val="538"/>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5bl2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3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 obuka /</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DUZS</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492C0A">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5b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Poticanje ulaganja za rješavanje specifičnih rizika, osiguravanje otpornosti na katastrofe i razvoj sustava upravljanja u slučaju katastrofa</w:t>
            </w:r>
          </w:p>
        </w:tc>
      </w:tr>
      <w:tr w:rsidR="00FC3F35" w:rsidRPr="00576C1D" w:rsidTr="00492C0A">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492C0A">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muškarci</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ukupno</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492C0A">
        <w:trPr>
          <w:trHeight w:hRule="exact" w:val="1440"/>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2" w:firstLine="5"/>
              <w:rPr>
                <w:rFonts w:ascii="Times New Roman" w:eastAsia="Times New Roman" w:hAnsi="Times New Roman" w:cs="Times New Roman"/>
                <w:color w:val="000000"/>
                <w:spacing w:val="-1"/>
                <w:sz w:val="16"/>
                <w:szCs w:val="16"/>
                <w:lang w:eastAsia="hr-HR"/>
              </w:rPr>
            </w:pPr>
            <w:r w:rsidRPr="00576C1D">
              <w:rPr>
                <w:rFonts w:ascii="Times New Roman" w:eastAsia="Times New Roman" w:hAnsi="Times New Roman" w:cs="Times New Roman"/>
                <w:color w:val="000000"/>
                <w:spacing w:val="-1"/>
                <w:sz w:val="16"/>
                <w:szCs w:val="16"/>
                <w:lang w:eastAsia="hr-HR"/>
              </w:rPr>
              <w:t>edukativnih aktivnosti (za osoblje organizacija odgovornih za upravljanje rizicima/katastrofama)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Default="00FC3F35" w:rsidP="00FC3F35">
      <w:pPr>
        <w:widowControl w:val="0"/>
        <w:shd w:val="clear" w:color="auto" w:fill="FFFFFF"/>
        <w:autoSpaceDE w:val="0"/>
        <w:autoSpaceDN w:val="0"/>
        <w:adjustRightInd w:val="0"/>
        <w:spacing w:before="418" w:after="178"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2.A.7 Socijalne inovacije, međudržavna suradnja i doprinos tematskim ciljevima 1-7</w:t>
      </w:r>
    </w:p>
    <w:tbl>
      <w:tblPr>
        <w:tblStyle w:val="TableGrid"/>
        <w:tblW w:w="0" w:type="auto"/>
        <w:tblLook w:val="04A0" w:firstRow="1" w:lastRow="0" w:firstColumn="1" w:lastColumn="0" w:noHBand="0" w:noVBand="1"/>
      </w:tblPr>
      <w:tblGrid>
        <w:gridCol w:w="2072"/>
        <w:gridCol w:w="13062"/>
      </w:tblGrid>
      <w:tr w:rsidR="00013FAE" w:rsidTr="00013FAE">
        <w:tc>
          <w:tcPr>
            <w:tcW w:w="2072" w:type="dxa"/>
          </w:tcPr>
          <w:p w:rsidR="00013FAE" w:rsidRDefault="00013FAE" w:rsidP="00F37F5D">
            <w:r w:rsidRPr="00576C1D">
              <w:rPr>
                <w:rFonts w:ascii="Times New Roman" w:hAnsi="Times New Roman"/>
                <w:b/>
                <w:bCs/>
                <w:color w:val="000000"/>
                <w:spacing w:val="-2"/>
                <w:sz w:val="16"/>
                <w:szCs w:val="16"/>
              </w:rPr>
              <w:t>Prioritetna os</w:t>
            </w:r>
          </w:p>
        </w:tc>
        <w:tc>
          <w:tcPr>
            <w:tcW w:w="13062" w:type="dxa"/>
          </w:tcPr>
          <w:p w:rsidR="00013FAE" w:rsidRPr="00576C1D" w:rsidRDefault="00013FAE" w:rsidP="00F37F5D">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6"/>
                <w:szCs w:val="16"/>
              </w:rPr>
              <w:t>5 – Klimatske promjene i upravljanje rizicima</w:t>
            </w:r>
          </w:p>
          <w:p w:rsidR="00013FAE" w:rsidRPr="00576C1D" w:rsidRDefault="00013FAE" w:rsidP="00F37F5D">
            <w:pPr>
              <w:widowControl w:val="0"/>
              <w:shd w:val="clear" w:color="auto" w:fill="FFFFFF"/>
              <w:autoSpaceDE w:val="0"/>
              <w:autoSpaceDN w:val="0"/>
              <w:adjustRightInd w:val="0"/>
              <w:rPr>
                <w:rFonts w:ascii="Times New Roman" w:hAnsi="Times New Roman"/>
              </w:rPr>
            </w:pPr>
          </w:p>
        </w:tc>
      </w:tr>
      <w:tr w:rsidR="00013FAE" w:rsidTr="00013FAE">
        <w:trPr>
          <w:trHeight w:val="519"/>
        </w:trPr>
        <w:tc>
          <w:tcPr>
            <w:tcW w:w="15134" w:type="dxa"/>
            <w:gridSpan w:val="2"/>
          </w:tcPr>
          <w:p w:rsidR="00013FAE" w:rsidRDefault="00013FAE" w:rsidP="00F37F5D"/>
        </w:tc>
      </w:tr>
    </w:tbl>
    <w:p w:rsidR="00FC3F35" w:rsidRPr="00576C1D" w:rsidRDefault="00FC3F35" w:rsidP="00FC3F35">
      <w:pPr>
        <w:widowControl w:val="0"/>
        <w:shd w:val="clear" w:color="auto" w:fill="FFFFFF"/>
        <w:autoSpaceDE w:val="0"/>
        <w:autoSpaceDN w:val="0"/>
        <w:adjustRightInd w:val="0"/>
        <w:spacing w:before="1114"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.A.8 Okvir uspješnosti</w:t>
      </w:r>
    </w:p>
    <w:p w:rsidR="00FC3F35" w:rsidRPr="00576C1D" w:rsidRDefault="00FC3F35" w:rsidP="00FC3F35">
      <w:pPr>
        <w:widowControl w:val="0"/>
        <w:shd w:val="clear" w:color="auto" w:fill="FFFFFF"/>
        <w:autoSpaceDE w:val="0"/>
        <w:autoSpaceDN w:val="0"/>
        <w:adjustRightInd w:val="0"/>
        <w:spacing w:before="518"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6: Okvir uspješnosti prioritetne osi </w:t>
      </w:r>
      <w:r w:rsidRPr="00576C1D">
        <w:rPr>
          <w:rFonts w:ascii="Times New Roman" w:eastAsia="Times New Roman" w:hAnsi="Times New Roman" w:cs="Times New Roman"/>
          <w:color w:val="000000"/>
          <w:spacing w:val="-1"/>
          <w:sz w:val="24"/>
          <w:szCs w:val="24"/>
          <w:lang w:eastAsia="hr-HR"/>
        </w:rPr>
        <w:t>(po fondu i, za EFRR i ESF, po kategoriji regije)</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15150" w:type="dxa"/>
        <w:tblInd w:w="40" w:type="dxa"/>
        <w:tblLayout w:type="fixed"/>
        <w:tblCellMar>
          <w:left w:w="40" w:type="dxa"/>
          <w:right w:w="40" w:type="dxa"/>
        </w:tblCellMar>
        <w:tblLook w:val="0000" w:firstRow="0" w:lastRow="0" w:firstColumn="0" w:lastColumn="0" w:noHBand="0" w:noVBand="0"/>
      </w:tblPr>
      <w:tblGrid>
        <w:gridCol w:w="912"/>
        <w:gridCol w:w="662"/>
        <w:gridCol w:w="701"/>
        <w:gridCol w:w="9"/>
        <w:gridCol w:w="855"/>
        <w:gridCol w:w="1680"/>
        <w:gridCol w:w="1200"/>
        <w:gridCol w:w="960"/>
        <w:gridCol w:w="1008"/>
        <w:gridCol w:w="1018"/>
        <w:gridCol w:w="1018"/>
        <w:gridCol w:w="1018"/>
        <w:gridCol w:w="1008"/>
        <w:gridCol w:w="1018"/>
        <w:gridCol w:w="902"/>
        <w:gridCol w:w="1181"/>
      </w:tblGrid>
      <w:tr w:rsidR="00FC3F35" w:rsidRPr="00576C1D" w:rsidTr="00492C0A">
        <w:trPr>
          <w:trHeight w:hRule="exact" w:val="374"/>
        </w:trPr>
        <w:tc>
          <w:tcPr>
            <w:tcW w:w="228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Prioritetna os</w:t>
            </w:r>
          </w:p>
        </w:tc>
        <w:tc>
          <w:tcPr>
            <w:tcW w:w="2534"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 xml:space="preserve">5 - </w:t>
            </w:r>
            <w:r w:rsidRPr="00576C1D">
              <w:rPr>
                <w:rFonts w:ascii="Times New Roman" w:eastAsia="Times New Roman" w:hAnsi="Times New Roman" w:cs="Times New Roman"/>
                <w:b/>
                <w:bCs/>
                <w:color w:val="000000"/>
                <w:sz w:val="10"/>
                <w:szCs w:val="10"/>
                <w:lang w:eastAsia="hr-HR"/>
              </w:rPr>
              <w:t>Klimatske pro</w:t>
            </w:r>
            <w:r w:rsidRPr="00576C1D">
              <w:rPr>
                <w:rFonts w:ascii="Times New Roman" w:eastAsia="Times New Roman" w:hAnsi="Times New Roman" w:cs="Times New Roman"/>
                <w:b/>
                <w:bCs/>
                <w:color w:val="000000"/>
                <w:spacing w:val="-1"/>
                <w:sz w:val="10"/>
                <w:szCs w:val="10"/>
                <w:lang w:eastAsia="hr-HR"/>
              </w:rPr>
              <w:t>mjene i upravljanje rizicima</w:t>
            </w:r>
          </w:p>
        </w:tc>
        <w:tc>
          <w:tcPr>
            <w:tcW w:w="120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20"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492C0A">
        <w:trPr>
          <w:trHeight w:hRule="exact" w:val="365"/>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3"/>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Kontrolna točna za 2018. </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vMerge w:val="restart"/>
            <w:tcBorders>
              <w:top w:val="single" w:sz="6" w:space="0" w:color="auto"/>
              <w:left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relevantnosti pokazatelja, po potrebi</w:t>
            </w:r>
          </w:p>
        </w:tc>
      </w:tr>
      <w:tr w:rsidR="00FC3F35" w:rsidRPr="00576C1D" w:rsidTr="00492C0A">
        <w:trPr>
          <w:trHeight w:hRule="exact" w:val="365"/>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3"/>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tc>
        <w:tc>
          <w:tcPr>
            <w:tcW w:w="1181" w:type="dxa"/>
            <w:vMerge/>
            <w:tcBorders>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492C0A">
        <w:trPr>
          <w:trHeight w:hRule="exact" w:val="1402"/>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CO20</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O</w:t>
            </w:r>
          </w:p>
        </w:tc>
        <w:tc>
          <w:tcPr>
            <w:tcW w:w="156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Prevencija i upravljanje rizicima: Populacija koja ima koristi od obrane od poplava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5.000,00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Hrvatske vode, 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Nulta kontrolna točka za 2018. je posljedica podjele na faze ovog specifičnog cilja. Naime, stvarna ulaganje u mjere obrane od poplave početi će tek nakon ispunjenja ERS-a tj. u 2016.; stoga je upitno hoće li (aktivnosti) biti okončane do 2018.</w:t>
            </w:r>
          </w:p>
        </w:tc>
      </w:tr>
      <w:tr w:rsidR="00FC3F35" w:rsidRPr="00576C1D" w:rsidTr="00492C0A">
        <w:trPr>
          <w:trHeight w:hRule="exact" w:val="374"/>
        </w:trPr>
        <w:tc>
          <w:tcPr>
            <w:tcW w:w="22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rioritetna os</w:t>
            </w:r>
          </w:p>
        </w:tc>
        <w:tc>
          <w:tcPr>
            <w:tcW w:w="12875" w:type="dxa"/>
            <w:gridSpan w:val="1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5 – </w:t>
            </w:r>
            <w:r w:rsidRPr="00576C1D">
              <w:rPr>
                <w:rFonts w:ascii="Times New Roman" w:eastAsia="Times New Roman" w:hAnsi="Times New Roman" w:cs="Times New Roman"/>
                <w:b/>
                <w:color w:val="000000"/>
                <w:spacing w:val="-1"/>
                <w:sz w:val="10"/>
                <w:szCs w:val="10"/>
                <w:lang w:eastAsia="hr-HR"/>
              </w:rPr>
              <w:t>Klimatske promjene i upravljanje rizicima</w:t>
            </w:r>
          </w:p>
        </w:tc>
      </w:tr>
      <w:tr w:rsidR="00FC3F35" w:rsidRPr="00576C1D" w:rsidTr="00492C0A">
        <w:trPr>
          <w:trHeight w:hRule="exact" w:val="49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relevantnosti pokazatelja</w:t>
            </w:r>
            <w:r w:rsidRPr="00576C1D">
              <w:rPr>
                <w:rFonts w:ascii="Times New Roman" w:eastAsia="Times New Roman" w:hAnsi="Times New Roman" w:cs="Times New Roman"/>
                <w:b/>
                <w:bCs/>
                <w:color w:val="000000"/>
                <w:spacing w:val="-1"/>
                <w:sz w:val="10"/>
                <w:szCs w:val="10"/>
                <w:lang w:eastAsia="hr-HR"/>
              </w:rPr>
              <w:t>, gdje je potrebno</w:t>
            </w:r>
          </w:p>
        </w:tc>
      </w:tr>
      <w:tr w:rsidR="00FC3F35" w:rsidRPr="00576C1D" w:rsidTr="00492C0A">
        <w:trPr>
          <w:trHeight w:hRule="exact" w:val="58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110" w:firstLine="5"/>
              <w:rPr>
                <w:rFonts w:ascii="Times New Roman" w:eastAsia="Times New Roman" w:hAnsi="Times New Roman" w:cs="Times New Roman"/>
                <w:sz w:val="20"/>
                <w:szCs w:val="20"/>
                <w:lang w:eastAsia="hr-HR"/>
              </w:rPr>
            </w:pPr>
          </w:p>
        </w:tc>
      </w:tr>
      <w:tr w:rsidR="00FC3F35" w:rsidRPr="00576C1D" w:rsidTr="00492C0A">
        <w:trPr>
          <w:trHeight w:hRule="exact" w:val="82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F</w:t>
            </w:r>
          </w:p>
        </w:tc>
        <w:tc>
          <w:tcPr>
            <w:tcW w:w="156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Ukupan iznos potvrđenih/prihvatljivih izdataka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Milijun EUR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57.151,981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245,396.147,00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21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Ministarstvo financija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7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U kontrolnoj je točki prisutno pravilo N+3 za PO bez 6 % PR (tj.  alociranih sredstava za 2014. i 2015., neto 6 %).</w:t>
            </w:r>
          </w:p>
        </w:tc>
      </w:tr>
      <w:tr w:rsidR="00FC3F35" w:rsidRPr="00576C1D" w:rsidTr="00492C0A">
        <w:trPr>
          <w:trHeight w:hRule="exact" w:val="2208"/>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0"/>
                <w:szCs w:val="10"/>
                <w:lang w:eastAsia="hr-HR"/>
              </w:rPr>
              <w:t>5bl2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O</w:t>
            </w:r>
          </w:p>
        </w:tc>
        <w:tc>
          <w:tcPr>
            <w:tcW w:w="156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Broj aktivnosti obuke/obrazovnih aktivnosti (za osoblje organizacija odgovornih upravljanje rizicima/kriznim situacijama)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10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10,00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DUZS</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Kontrolna točka jednaka je konačnom cilju zbog prirode specifičnog cilja.  Naime, SC je organiziran u faziranom pristupu s prvom fazom do 2016. (do pripreme Procjene rizika od nepogoda) i fokusiran na mjere izgradnje kapaciteta.  Nakon PRN-a (dakle 2016.) SC i pokazatelji će se ažurirati sukladno.</w:t>
            </w:r>
          </w:p>
        </w:tc>
      </w:tr>
      <w:tr w:rsidR="00FC3F35" w:rsidRPr="00576C1D" w:rsidTr="00492C0A">
        <w:trPr>
          <w:trHeight w:hRule="exact" w:val="325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5.3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I</w:t>
            </w:r>
          </w:p>
        </w:tc>
        <w:tc>
          <w:tcPr>
            <w:tcW w:w="156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Broj potpuno analiziranih okruga za upravljanje poplavama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34,00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Hrvatske vode</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24"/>
              <w:rPr>
                <w:rFonts w:ascii="Times New Roman" w:eastAsia="Times New Roman" w:hAnsi="Times New Roman" w:cs="Times New Roman"/>
                <w:color w:val="000000"/>
                <w:sz w:val="10"/>
                <w:szCs w:val="10"/>
                <w:lang w:eastAsia="hr-HR"/>
              </w:rPr>
            </w:pPr>
            <w:r w:rsidRPr="00576C1D">
              <w:rPr>
                <w:rFonts w:ascii="Times New Roman" w:eastAsia="Times New Roman" w:hAnsi="Times New Roman" w:cs="Times New Roman"/>
                <w:color w:val="000000"/>
                <w:sz w:val="10"/>
                <w:szCs w:val="10"/>
                <w:lang w:eastAsia="hr-HR"/>
              </w:rPr>
              <w:t>Ovaj glavni provedbeni korak dodaje se kako bi predstavio važnu pripremnu aktivnost koja je predviđena SC-om 5b1 tj. pripremu neupitno korisnih („no regret“) projekata vezanih za posebne rizike tj.  poplave.</w:t>
            </w:r>
          </w:p>
          <w:p w:rsidR="00FC3F35" w:rsidRPr="00576C1D" w:rsidRDefault="00FC3F35" w:rsidP="00FC3F35">
            <w:pPr>
              <w:widowControl w:val="0"/>
              <w:shd w:val="clear" w:color="auto" w:fill="FFFFFF"/>
              <w:autoSpaceDE w:val="0"/>
              <w:autoSpaceDN w:val="0"/>
              <w:adjustRightInd w:val="0"/>
              <w:spacing w:after="0" w:line="115" w:lineRule="exact"/>
              <w:ind w:righ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Ova kontrolna točka definira se kao broj okruga za upravljanje poplavama (od ukupno 34 prema NN 97/2010, 31/2013) s dovršenim kvantifikacijama rizika od poplave i studijama izvedivosti utemeljenim na modelu za optimalne mjere obrane od poplave, temeljenim na pristupu porječju koje propisuje Direktiva o poplavama.</w:t>
            </w:r>
          </w:p>
        </w:tc>
      </w:tr>
    </w:tbl>
    <w:p w:rsidR="00013FAE" w:rsidRDefault="00013FAE"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color w:val="000000"/>
          <w:sz w:val="24"/>
          <w:szCs w:val="24"/>
          <w:lang w:eastAsia="hr-HR"/>
        </w:rPr>
      </w:pPr>
    </w:p>
    <w:p w:rsidR="00013FAE" w:rsidRDefault="00013FAE"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color w:val="000000"/>
          <w:sz w:val="24"/>
          <w:szCs w:val="24"/>
          <w:lang w:eastAsia="hr-HR"/>
        </w:rPr>
      </w:pPr>
    </w:p>
    <w:p w:rsidR="00013FAE" w:rsidRDefault="00013FAE"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Dodatne kvalitativne informacije o uspostavi okvira uspješnosti</w:t>
      </w:r>
    </w:p>
    <w:p w:rsidR="00FC3F35" w:rsidRPr="00576C1D" w:rsidRDefault="00FC3F35" w:rsidP="00013FAE">
      <w:pPr>
        <w:widowControl w:val="0"/>
        <w:shd w:val="clear" w:color="auto" w:fill="FFFFFF"/>
        <w:autoSpaceDE w:val="0"/>
        <w:autoSpaceDN w:val="0"/>
        <w:adjustRightInd w:val="0"/>
        <w:spacing w:after="0" w:line="240" w:lineRule="auto"/>
        <w:ind w:left="53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2.A.9 Kategorije intervencije</w:t>
      </w:r>
    </w:p>
    <w:p w:rsidR="00FC3F35" w:rsidRPr="00576C1D" w:rsidRDefault="00FC3F35" w:rsidP="00FC3F35">
      <w:pPr>
        <w:widowControl w:val="0"/>
        <w:shd w:val="clear" w:color="auto" w:fill="FFFFFF"/>
        <w:autoSpaceDE w:val="0"/>
        <w:autoSpaceDN w:val="0"/>
        <w:adjustRightInd w:val="0"/>
        <w:spacing w:before="130" w:after="0" w:line="269" w:lineRule="exact"/>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4"/>
          <w:szCs w:val="24"/>
          <w:lang w:eastAsia="hr-HR"/>
        </w:rPr>
        <w:t>Kategorije intervencije koje odgovaraju sadržaju prioritetne osi na temelju nazivlja kojeg usvaja Komisija i indikativna analiza potpore Unije</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013FAE">
      <w:pPr>
        <w:widowControl w:val="0"/>
        <w:shd w:val="clear" w:color="auto" w:fill="FFFFFF"/>
        <w:autoSpaceDE w:val="0"/>
        <w:autoSpaceDN w:val="0"/>
        <w:adjustRightInd w:val="0"/>
        <w:spacing w:after="0" w:line="514" w:lineRule="exact"/>
        <w:ind w:left="544" w:right="710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24"/>
          <w:szCs w:val="24"/>
          <w:lang w:eastAsia="hr-HR"/>
        </w:rPr>
        <w:t xml:space="preserve">Tablice 7-11: Kategorije intervencije </w:t>
      </w:r>
      <w:r w:rsidRPr="00576C1D">
        <w:rPr>
          <w:rFonts w:ascii="Times New Roman" w:eastAsia="Times New Roman" w:hAnsi="Times New Roman" w:cs="Times New Roman"/>
          <w:b/>
          <w:color w:val="000000"/>
          <w:spacing w:val="-4"/>
          <w:lang w:eastAsia="hr-HR"/>
        </w:rPr>
        <w:t>Tablica 7: Dimenzija 1 -  Područje intervencije</w:t>
      </w: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97"/>
      </w:tblGrid>
      <w:tr w:rsidR="00FC3F35" w:rsidRPr="00576C1D" w:rsidTr="00FC3F35">
        <w:trPr>
          <w:trHeight w:hRule="exact" w:val="44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6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5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Klimatske promjene i upravljanje rizicima</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lastRenderedPageBreak/>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trHeight w:hRule="exact" w:val="614"/>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087. Prilagođavanje mjerama koje se odnose na klimatske promjene i prevencija i upravljanje rizicima povezanim s klimom, npr. erozijom, požarima, poplavama, olujama i sušama, uključujući podizanje svijesti, civilnu zaštitu i sustav upravljanja u slučaju katastrofa te infrastrukturu</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180,396.147,00</w:t>
            </w:r>
          </w:p>
        </w:tc>
      </w:tr>
      <w:tr w:rsidR="00FC3F35" w:rsidRPr="00576C1D" w:rsidTr="00FC3F35">
        <w:trPr>
          <w:trHeight w:hRule="exact" w:val="634"/>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088. Sprečavanje rizika i upravljanje ne-klimatskim prirodnim rizicima (tj.  potresima) i rizicima povezanim s ljudskim aktivnostima (npr. tehnološke nesreće), uključujući podizanje svijesti, civilnu zaštitu i sustav upravljanja u slučaju katastrofa te infrastrukturu</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65,000.000,00</w:t>
            </w:r>
          </w:p>
        </w:tc>
      </w:tr>
    </w:tbl>
    <w:p w:rsidR="00FC3F35" w:rsidRPr="00576C1D" w:rsidRDefault="00FC3F35" w:rsidP="00FC3F35">
      <w:pPr>
        <w:widowControl w:val="0"/>
        <w:autoSpaceDE w:val="0"/>
        <w:autoSpaceDN w:val="0"/>
        <w:adjustRightInd w:val="0"/>
        <w:spacing w:after="461" w:line="1" w:lineRule="exact"/>
        <w:rPr>
          <w:rFonts w:ascii="Times New Roman" w:eastAsia="Times New Roman" w:hAnsi="Times New Roman" w:cs="Times New Roman"/>
          <w:sz w:val="2"/>
          <w:szCs w:val="2"/>
          <w:lang w:eastAsia="hr-HR"/>
        </w:rPr>
      </w:pPr>
    </w:p>
    <w:tbl>
      <w:tblPr>
        <w:tblW w:w="15150" w:type="dxa"/>
        <w:tblInd w:w="40" w:type="dxa"/>
        <w:tblLayout w:type="fixed"/>
        <w:tblCellMar>
          <w:left w:w="40" w:type="dxa"/>
          <w:right w:w="40" w:type="dxa"/>
        </w:tblCellMar>
        <w:tblLook w:val="0000" w:firstRow="0" w:lastRow="0" w:firstColumn="0" w:lastColumn="0" w:noHBand="0" w:noVBand="0"/>
      </w:tblPr>
      <w:tblGrid>
        <w:gridCol w:w="701"/>
        <w:gridCol w:w="278"/>
        <w:gridCol w:w="1210"/>
        <w:gridCol w:w="1354"/>
        <w:gridCol w:w="432"/>
        <w:gridCol w:w="2842"/>
        <w:gridCol w:w="192"/>
        <w:gridCol w:w="6144"/>
        <w:gridCol w:w="1997"/>
      </w:tblGrid>
      <w:tr w:rsidR="00FC3F35" w:rsidRPr="00576C1D" w:rsidTr="00492C0A">
        <w:trPr>
          <w:trHeight w:hRule="exact" w:val="250"/>
        </w:trPr>
        <w:tc>
          <w:tcPr>
            <w:tcW w:w="7008" w:type="dxa"/>
            <w:gridSpan w:val="7"/>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tabs>
                <w:tab w:val="left" w:pos="180"/>
                <w:tab w:val="right" w:pos="3462"/>
              </w:tabs>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lang w:eastAsia="hr-HR"/>
              </w:rPr>
              <w:tab/>
              <w:t xml:space="preserve">Tablica 8: </w:t>
            </w:r>
            <w:r w:rsidRPr="00576C1D">
              <w:rPr>
                <w:rFonts w:ascii="Times New Roman" w:eastAsia="Times New Roman" w:hAnsi="Times New Roman" w:cs="Times New Roman"/>
                <w:b/>
                <w:color w:val="000000"/>
                <w:spacing w:val="-6"/>
                <w:lang w:eastAsia="hr-HR"/>
              </w:rPr>
              <w:t>Dimenzija 2 - Oblik financiranja</w:t>
            </w:r>
          </w:p>
        </w:tc>
        <w:tc>
          <w:tcPr>
            <w:tcW w:w="614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492C0A">
        <w:trPr>
          <w:trHeight w:hRule="exact" w:val="432"/>
        </w:trPr>
        <w:tc>
          <w:tcPr>
            <w:tcW w:w="7008" w:type="dxa"/>
            <w:gridSpan w:val="7"/>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tabs>
                <w:tab w:val="right" w:pos="6928"/>
              </w:tabs>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pacing w:val="-2"/>
                <w:sz w:val="18"/>
                <w:szCs w:val="18"/>
                <w:lang w:eastAsia="hr-HR"/>
              </w:rPr>
              <w:t>Prioritetna os5 – Klimatske promjene i upravljanje rizicima</w:t>
            </w:r>
          </w:p>
        </w:tc>
        <w:tc>
          <w:tcPr>
            <w:tcW w:w="614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492C0A">
        <w:trPr>
          <w:trHeight w:hRule="exact" w:val="442"/>
        </w:trPr>
        <w:tc>
          <w:tcPr>
            <w:tcW w:w="701"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78"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63"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43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34"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14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492C0A">
        <w:trPr>
          <w:trHeight w:hRule="exact" w:val="442"/>
        </w:trPr>
        <w:tc>
          <w:tcPr>
            <w:tcW w:w="701"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78"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63"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43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34"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614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245,396.147,00</w:t>
            </w:r>
          </w:p>
        </w:tc>
      </w:tr>
      <w:tr w:rsidR="00FC3F35" w:rsidRPr="00576C1D" w:rsidTr="00492C0A">
        <w:trPr>
          <w:trHeight w:hRule="exact" w:val="250"/>
        </w:trPr>
        <w:tc>
          <w:tcPr>
            <w:tcW w:w="6817" w:type="dxa"/>
            <w:gridSpan w:val="6"/>
            <w:tcBorders>
              <w:top w:val="nil"/>
              <w:left w:val="nil"/>
              <w:bottom w:val="single" w:sz="6" w:space="0" w:color="auto"/>
              <w:right w:val="nil"/>
            </w:tcBorders>
            <w:shd w:val="clear" w:color="auto" w:fill="FFFFFF"/>
          </w:tcPr>
          <w:p w:rsidR="00FC3F35" w:rsidRPr="00576C1D" w:rsidRDefault="00492C0A"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b/>
                <w:bCs/>
                <w:color w:val="000000"/>
                <w:sz w:val="20"/>
                <w:szCs w:val="20"/>
                <w:lang w:eastAsia="hr-HR"/>
              </w:rPr>
              <w:t>T</w:t>
            </w:r>
            <w:r w:rsidR="00FC3F35" w:rsidRPr="00576C1D">
              <w:rPr>
                <w:rFonts w:ascii="Times New Roman" w:eastAsia="Times New Roman" w:hAnsi="Times New Roman" w:cs="Times New Roman"/>
                <w:b/>
                <w:bCs/>
                <w:color w:val="000000"/>
                <w:sz w:val="20"/>
                <w:szCs w:val="20"/>
                <w:lang w:eastAsia="hr-HR"/>
              </w:rPr>
              <w:t>ablica 9: Dimenzija 3 – Vrsta teritorija</w:t>
            </w:r>
          </w:p>
        </w:tc>
        <w:tc>
          <w:tcPr>
            <w:tcW w:w="6336"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492C0A">
        <w:trPr>
          <w:trHeight w:hRule="exact" w:val="432"/>
        </w:trPr>
        <w:tc>
          <w:tcPr>
            <w:tcW w:w="2189"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4628" w:type="dxa"/>
            <w:gridSpan w:val="3"/>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5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color w:val="000000"/>
                <w:sz w:val="16"/>
                <w:szCs w:val="16"/>
                <w:lang w:eastAsia="hr-HR"/>
              </w:rPr>
              <w:t>Klimatske promjene i upravljanje rizicima</w:t>
            </w:r>
          </w:p>
        </w:tc>
        <w:tc>
          <w:tcPr>
            <w:tcW w:w="8333" w:type="dxa"/>
            <w:gridSpan w:val="3"/>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492C0A">
        <w:trPr>
          <w:trHeight w:hRule="exact" w:val="432"/>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564"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43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842"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336"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492C0A">
        <w:trPr>
          <w:trHeight w:hRule="exact" w:val="451"/>
        </w:trPr>
        <w:tc>
          <w:tcPr>
            <w:tcW w:w="97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64"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43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842"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6336"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245,396.147,00</w:t>
            </w:r>
          </w:p>
        </w:tc>
      </w:tr>
    </w:tbl>
    <w:p w:rsidR="00FC3F35" w:rsidRPr="00576C1D" w:rsidRDefault="00FC3F35" w:rsidP="00FC3F35">
      <w:pPr>
        <w:widowControl w:val="0"/>
        <w:autoSpaceDE w:val="0"/>
        <w:autoSpaceDN w:val="0"/>
        <w:adjustRightInd w:val="0"/>
        <w:spacing w:after="48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0"/>
        <w:gridCol w:w="1354"/>
        <w:gridCol w:w="1642"/>
        <w:gridCol w:w="9178"/>
        <w:gridCol w:w="1997"/>
      </w:tblGrid>
      <w:tr w:rsidR="00FC3F35" w:rsidRPr="00576C1D" w:rsidTr="00FC3F35">
        <w:trPr>
          <w:trHeight w:hRule="exact" w:val="250"/>
        </w:trPr>
        <w:tc>
          <w:tcPr>
            <w:tcW w:w="15141" w:type="dxa"/>
            <w:gridSpan w:val="5"/>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0"/>
                <w:szCs w:val="20"/>
                <w:lang w:eastAsia="hr-HR"/>
              </w:rPr>
              <w:t>Tablica 10: Dimenzija 4 - Mehanizmi teritorijalne provedbe</w:t>
            </w:r>
          </w:p>
        </w:tc>
      </w:tr>
      <w:tr w:rsidR="00FC3F35" w:rsidRPr="00576C1D" w:rsidTr="00FC3F35">
        <w:trPr>
          <w:trHeight w:hRule="exact" w:val="461"/>
        </w:trPr>
        <w:tc>
          <w:tcPr>
            <w:tcW w:w="232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817"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5 – Klimatske promjene i upravljanje rizicima</w:t>
            </w:r>
          </w:p>
        </w:tc>
      </w:tr>
      <w:tr w:rsidR="00FC3F35" w:rsidRPr="00576C1D" w:rsidTr="00FC3F35">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trHeight w:hRule="exact" w:val="451"/>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245,396.147,00</w:t>
            </w:r>
          </w:p>
        </w:tc>
      </w:tr>
    </w:tbl>
    <w:p w:rsidR="00FC3F35" w:rsidRPr="00576C1D" w:rsidRDefault="00FC3F35" w:rsidP="00FC3F35">
      <w:pPr>
        <w:widowControl w:val="0"/>
        <w:autoSpaceDE w:val="0"/>
        <w:autoSpaceDN w:val="0"/>
        <w:adjustRightInd w:val="0"/>
        <w:spacing w:after="499"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826"/>
        <w:gridCol w:w="2170"/>
        <w:gridCol w:w="3014"/>
        <w:gridCol w:w="6163"/>
        <w:gridCol w:w="1997"/>
      </w:tblGrid>
      <w:tr w:rsidR="00FC3F35" w:rsidRPr="00576C1D" w:rsidTr="00FC3F35">
        <w:trPr>
          <w:trHeight w:hRule="exact" w:val="508"/>
        </w:trPr>
        <w:tc>
          <w:tcPr>
            <w:tcW w:w="6989" w:type="dxa"/>
            <w:gridSpan w:val="4"/>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0"/>
                <w:szCs w:val="20"/>
                <w:lang w:eastAsia="hr-HR"/>
              </w:rPr>
              <w:t>Tablica 11: Sporedna tema Europskog socijalnog fonda</w:t>
            </w:r>
            <w:r w:rsidRPr="00576C1D">
              <w:rPr>
                <w:rFonts w:ascii="Times New Roman" w:eastAsia="Times New Roman" w:hAnsi="Times New Roman" w:cs="Times New Roman"/>
                <w:bCs/>
                <w:color w:val="000000"/>
                <w:spacing w:val="-2"/>
                <w:sz w:val="20"/>
                <w:szCs w:val="20"/>
                <w:lang w:eastAsia="hr-HR"/>
              </w:rPr>
              <w:t xml:space="preserve"> (samo Europski socijalni fond i Inicijativa za zapošljavanje mladih)</w:t>
            </w:r>
          </w:p>
        </w:tc>
        <w:tc>
          <w:tcPr>
            <w:tcW w:w="616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32"/>
        </w:trPr>
        <w:tc>
          <w:tcPr>
            <w:tcW w:w="180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5184"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7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5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color w:val="000000"/>
                <w:spacing w:val="-1"/>
                <w:sz w:val="16"/>
                <w:szCs w:val="16"/>
                <w:lang w:eastAsia="hr-HR"/>
              </w:rPr>
              <w:t>Klimatske promjene i upravljanje rizicima</w:t>
            </w:r>
          </w:p>
        </w:tc>
        <w:tc>
          <w:tcPr>
            <w:tcW w:w="8160"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82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170"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3014"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163"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Iznos (EUR)</w:t>
            </w:r>
          </w:p>
        </w:tc>
      </w:tr>
    </w:tbl>
    <w:p w:rsidR="001A0292" w:rsidRDefault="00FC3F35" w:rsidP="00FC3F35">
      <w:pPr>
        <w:widowControl w:val="0"/>
        <w:shd w:val="clear" w:color="auto" w:fill="FFFFFF"/>
        <w:autoSpaceDE w:val="0"/>
        <w:autoSpaceDN w:val="0"/>
        <w:adjustRightInd w:val="0"/>
        <w:spacing w:before="509" w:after="240" w:line="274" w:lineRule="exact"/>
        <w:ind w:left="1392" w:hanging="854"/>
        <w:rPr>
          <w:rFonts w:ascii="Times New Roman" w:eastAsia="Times New Roman" w:hAnsi="Times New Roman" w:cs="Times New Roman"/>
          <w:bCs/>
          <w:color w:val="000000"/>
          <w:spacing w:val="5"/>
          <w:sz w:val="24"/>
          <w:szCs w:val="24"/>
          <w:lang w:eastAsia="hr-HR"/>
        </w:rPr>
      </w:pPr>
      <w:r w:rsidRPr="00576C1D">
        <w:rPr>
          <w:rFonts w:ascii="Times New Roman" w:eastAsia="Times New Roman" w:hAnsi="Times New Roman" w:cs="Times New Roman"/>
          <w:b/>
          <w:bCs/>
          <w:color w:val="000000"/>
          <w:spacing w:val="5"/>
          <w:sz w:val="24"/>
          <w:szCs w:val="24"/>
          <w:lang w:eastAsia="hr-HR"/>
        </w:rPr>
        <w:lastRenderedPageBreak/>
        <w:t xml:space="preserve">2.A.10 Sažetak planiranog korištenja tehničke pomoći uključujući, po potrebi, aktivnosti kojima se jača administrativni kapacitet nadležnih tijela uključenih u kontrolu i upravljanje programima i korisnicima </w:t>
      </w:r>
      <w:r w:rsidRPr="00576C1D">
        <w:rPr>
          <w:rFonts w:ascii="Times New Roman" w:eastAsia="Times New Roman" w:hAnsi="Times New Roman" w:cs="Times New Roman"/>
          <w:bCs/>
          <w:color w:val="000000"/>
          <w:spacing w:val="5"/>
          <w:sz w:val="24"/>
          <w:szCs w:val="24"/>
          <w:lang w:eastAsia="hr-HR"/>
        </w:rPr>
        <w:t>(po potrebi) (po prioritetnoj osi)</w:t>
      </w:r>
    </w:p>
    <w:tbl>
      <w:tblPr>
        <w:tblStyle w:val="TableGrid"/>
        <w:tblW w:w="0" w:type="auto"/>
        <w:tblLook w:val="04A0" w:firstRow="1" w:lastRow="0" w:firstColumn="1" w:lastColumn="0" w:noHBand="0" w:noVBand="1"/>
      </w:tblPr>
      <w:tblGrid>
        <w:gridCol w:w="4320"/>
        <w:gridCol w:w="10956"/>
      </w:tblGrid>
      <w:tr w:rsidR="001A0292" w:rsidRPr="005E763C" w:rsidTr="001A0292">
        <w:tc>
          <w:tcPr>
            <w:tcW w:w="4320" w:type="dxa"/>
            <w:vAlign w:val="center"/>
          </w:tcPr>
          <w:p w:rsidR="001A0292" w:rsidRPr="005E763C" w:rsidRDefault="001A0292" w:rsidP="001A0292">
            <w:pPr>
              <w:widowControl w:val="0"/>
              <w:shd w:val="clear" w:color="auto" w:fill="FFFFFF"/>
              <w:autoSpaceDE w:val="0"/>
              <w:autoSpaceDN w:val="0"/>
              <w:adjustRightInd w:val="0"/>
              <w:rPr>
                <w:rFonts w:ascii="Times New Roman" w:hAnsi="Times New Roman"/>
                <w:color w:val="000000"/>
                <w:spacing w:val="-1"/>
                <w:sz w:val="24"/>
                <w:szCs w:val="24"/>
              </w:rPr>
            </w:pPr>
            <w:r w:rsidRPr="00576C1D">
              <w:rPr>
                <w:rFonts w:ascii="Times New Roman" w:hAnsi="Times New Roman"/>
                <w:b/>
                <w:bCs/>
                <w:color w:val="000000"/>
                <w:spacing w:val="-2"/>
                <w:sz w:val="16"/>
                <w:szCs w:val="16"/>
              </w:rPr>
              <w:t>Prioritetna os</w:t>
            </w:r>
          </w:p>
        </w:tc>
        <w:tc>
          <w:tcPr>
            <w:tcW w:w="10956" w:type="dxa"/>
            <w:vAlign w:val="center"/>
          </w:tcPr>
          <w:p w:rsidR="001A0292" w:rsidRPr="005E763C" w:rsidRDefault="001A0292" w:rsidP="001A0292">
            <w:pPr>
              <w:widowControl w:val="0"/>
              <w:shd w:val="clear" w:color="auto" w:fill="FFFFFF"/>
              <w:autoSpaceDE w:val="0"/>
              <w:autoSpaceDN w:val="0"/>
              <w:adjustRightInd w:val="0"/>
              <w:rPr>
                <w:rFonts w:ascii="Times New Roman" w:hAnsi="Times New Roman"/>
                <w:color w:val="000000"/>
                <w:spacing w:val="-1"/>
                <w:sz w:val="24"/>
                <w:szCs w:val="24"/>
              </w:rPr>
            </w:pPr>
            <w:r w:rsidRPr="00576C1D">
              <w:rPr>
                <w:rFonts w:ascii="Times New Roman" w:hAnsi="Times New Roman"/>
                <w:b/>
                <w:bCs/>
                <w:color w:val="000000"/>
                <w:spacing w:val="-1"/>
                <w:sz w:val="16"/>
                <w:szCs w:val="16"/>
              </w:rPr>
              <w:t>5 – Klimatske promjene i upravljanje rizicima</w:t>
            </w:r>
          </w:p>
        </w:tc>
      </w:tr>
      <w:tr w:rsidR="001A0292" w:rsidRPr="006A4AA8" w:rsidTr="001A0292">
        <w:tc>
          <w:tcPr>
            <w:tcW w:w="15276" w:type="dxa"/>
            <w:gridSpan w:val="2"/>
            <w:vAlign w:val="center"/>
          </w:tcPr>
          <w:p w:rsidR="001A0292" w:rsidRPr="006A4AA8" w:rsidRDefault="001A0292" w:rsidP="001A0292">
            <w:pPr>
              <w:rPr>
                <w:rFonts w:ascii="Times New Roman" w:hAnsi="Times New Roman"/>
              </w:rPr>
            </w:pPr>
            <w:r w:rsidRPr="00C832F1">
              <w:rPr>
                <w:rFonts w:ascii="Times New Roman" w:hAnsi="Times New Roman"/>
              </w:rPr>
              <w:t>Ova prioritetna os je specifična jer je njena provedba predviđena u dvije faze. U prvoj fazi će uglavnom biti vezana za tehničku podršku tj. pokrivat će pripremne aktivnosti kao što su one gore navedene (pod “Aktivnosti koje će biti podržane u sklopu ovog investicijskog prioriteta”) dok se ne izradi Nacionalna strategija prilagodbe i Procjena rizika. Tek će potom, u drugoj fazi, potencijalna (infrastrukturna) ulaganja biti financirana u skladu s prioritetima postavljenim u Nacionalnoj strategiji prilagodbe i Procjeni rizika od katastrofa.</w:t>
            </w:r>
          </w:p>
        </w:tc>
      </w:tr>
    </w:tbl>
    <w:p w:rsidR="001A0292" w:rsidRDefault="001A0292" w:rsidP="001A0292">
      <w:pPr>
        <w:widowControl w:val="0"/>
        <w:shd w:val="clear" w:color="auto" w:fill="FFFFFF"/>
        <w:autoSpaceDE w:val="0"/>
        <w:autoSpaceDN w:val="0"/>
        <w:adjustRightInd w:val="0"/>
        <w:spacing w:after="0" w:line="274" w:lineRule="exact"/>
        <w:ind w:left="856" w:hanging="856"/>
        <w:rPr>
          <w:rFonts w:ascii="Times New Roman" w:eastAsia="Times New Roman" w:hAnsi="Times New Roman" w:cs="Times New Roman"/>
          <w:sz w:val="20"/>
          <w:szCs w:val="20"/>
          <w:lang w:eastAsia="hr-HR"/>
        </w:rPr>
      </w:pPr>
    </w:p>
    <w:p w:rsidR="00FC3F35"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2.A.I Prioritetna os</w:t>
      </w:r>
    </w:p>
    <w:tbl>
      <w:tblPr>
        <w:tblStyle w:val="TableGrid"/>
        <w:tblW w:w="0" w:type="auto"/>
        <w:tblLook w:val="04A0" w:firstRow="1" w:lastRow="0" w:firstColumn="1" w:lastColumn="0" w:noHBand="0" w:noVBand="1"/>
      </w:tblPr>
      <w:tblGrid>
        <w:gridCol w:w="4531"/>
        <w:gridCol w:w="10745"/>
      </w:tblGrid>
      <w:tr w:rsidR="001A0292" w:rsidRPr="005E763C" w:rsidTr="001A0292">
        <w:tc>
          <w:tcPr>
            <w:tcW w:w="4531" w:type="dxa"/>
            <w:vAlign w:val="center"/>
          </w:tcPr>
          <w:p w:rsidR="001A0292" w:rsidRPr="00593567" w:rsidRDefault="001A0292" w:rsidP="001A0292">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8"/>
                <w:sz w:val="16"/>
                <w:szCs w:val="16"/>
              </w:rPr>
              <w:t>Oznaka specifičnog cilja</w:t>
            </w:r>
          </w:p>
        </w:tc>
        <w:tc>
          <w:tcPr>
            <w:tcW w:w="10745" w:type="dxa"/>
            <w:vAlign w:val="center"/>
          </w:tcPr>
          <w:p w:rsidR="001A0292" w:rsidRPr="00593567" w:rsidRDefault="001A0292" w:rsidP="001A0292">
            <w:pPr>
              <w:widowControl w:val="0"/>
              <w:shd w:val="clear" w:color="auto" w:fill="FFFFFF"/>
              <w:autoSpaceDE w:val="0"/>
              <w:autoSpaceDN w:val="0"/>
              <w:adjustRightInd w:val="0"/>
              <w:rPr>
                <w:rFonts w:ascii="Times New Roman" w:hAnsi="Times New Roman"/>
              </w:rPr>
            </w:pPr>
            <w:r>
              <w:rPr>
                <w:rFonts w:ascii="Times New Roman" w:hAnsi="Times New Roman"/>
              </w:rPr>
              <w:t>6</w:t>
            </w:r>
          </w:p>
        </w:tc>
      </w:tr>
      <w:tr w:rsidR="001A0292" w:rsidRPr="005E763C" w:rsidTr="001A0292">
        <w:tc>
          <w:tcPr>
            <w:tcW w:w="4531" w:type="dxa"/>
            <w:vAlign w:val="center"/>
          </w:tcPr>
          <w:p w:rsidR="001A0292" w:rsidRPr="00576C1D" w:rsidRDefault="001A0292" w:rsidP="001A0292">
            <w:pPr>
              <w:widowControl w:val="0"/>
              <w:shd w:val="clear" w:color="auto" w:fill="FFFFFF"/>
              <w:autoSpaceDE w:val="0"/>
              <w:autoSpaceDN w:val="0"/>
              <w:adjustRightInd w:val="0"/>
              <w:rPr>
                <w:rFonts w:ascii="Times New Roman" w:hAnsi="Times New Roman"/>
                <w:b/>
                <w:bCs/>
                <w:color w:val="000000"/>
                <w:spacing w:val="8"/>
                <w:sz w:val="16"/>
                <w:szCs w:val="16"/>
              </w:rPr>
            </w:pPr>
            <w:r w:rsidRPr="00576C1D">
              <w:rPr>
                <w:rFonts w:ascii="Times New Roman" w:hAnsi="Times New Roman"/>
                <w:b/>
                <w:sz w:val="16"/>
                <w:szCs w:val="16"/>
              </w:rPr>
              <w:t>Naziv</w:t>
            </w:r>
            <w:r w:rsidRPr="00576C1D">
              <w:rPr>
                <w:rFonts w:ascii="Times New Roman" w:hAnsi="Times New Roman"/>
                <w:b/>
                <w:bCs/>
                <w:color w:val="000000"/>
                <w:spacing w:val="8"/>
                <w:sz w:val="16"/>
                <w:szCs w:val="16"/>
              </w:rPr>
              <w:t xml:space="preserve"> specifičnog cilja</w:t>
            </w:r>
          </w:p>
        </w:tc>
        <w:tc>
          <w:tcPr>
            <w:tcW w:w="10745" w:type="dxa"/>
            <w:vAlign w:val="center"/>
          </w:tcPr>
          <w:p w:rsidR="001A0292" w:rsidRPr="00C832F1" w:rsidRDefault="001A0292" w:rsidP="001A0292">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Zaštita okoliša i održivost resursa</w:t>
            </w:r>
          </w:p>
        </w:tc>
      </w:tr>
      <w:tr w:rsidR="001A0292" w:rsidRPr="005E763C" w:rsidTr="001A0292">
        <w:tc>
          <w:tcPr>
            <w:tcW w:w="15276" w:type="dxa"/>
            <w:gridSpan w:val="2"/>
            <w:vAlign w:val="center"/>
          </w:tcPr>
          <w:p w:rsidR="001A0292" w:rsidRPr="00576C1D" w:rsidRDefault="001A0292" w:rsidP="001A0292">
            <w:pPr>
              <w:widowControl w:val="0"/>
              <w:numPr>
                <w:ilvl w:val="0"/>
                <w:numId w:val="5"/>
              </w:numPr>
              <w:shd w:val="clear" w:color="auto" w:fill="FFFFFF"/>
              <w:autoSpaceDE w:val="0"/>
              <w:autoSpaceDN w:val="0"/>
              <w:adjustRightInd w:val="0"/>
              <w:rPr>
                <w:rFonts w:ascii="Times New Roman" w:hAnsi="Times New Roman"/>
              </w:rPr>
            </w:pPr>
            <w:r w:rsidRPr="00576C1D">
              <w:rPr>
                <w:rFonts w:ascii="Times New Roman" w:hAnsi="Times New Roman"/>
              </w:rPr>
              <w:t>Cjelokupna prioritetna os  provodit će se isključivo kroz financijske instrumente</w:t>
            </w:r>
          </w:p>
          <w:p w:rsidR="001A0292" w:rsidRPr="00576C1D" w:rsidRDefault="001A0292" w:rsidP="001A0292">
            <w:pPr>
              <w:widowControl w:val="0"/>
              <w:numPr>
                <w:ilvl w:val="0"/>
                <w:numId w:val="5"/>
              </w:numPr>
              <w:shd w:val="clear" w:color="auto" w:fill="FFFFFF"/>
              <w:autoSpaceDE w:val="0"/>
              <w:autoSpaceDN w:val="0"/>
              <w:adjustRightInd w:val="0"/>
              <w:rPr>
                <w:rFonts w:ascii="Times New Roman" w:hAnsi="Times New Roman"/>
              </w:rPr>
            </w:pPr>
            <w:r w:rsidRPr="00576C1D">
              <w:rPr>
                <w:rFonts w:ascii="Times New Roman" w:hAnsi="Times New Roman"/>
              </w:rPr>
              <w:t>Cjelokupna prioritetna os provodit će se isključivo kroz financijske instrumente uspostavljene na razini Unije</w:t>
            </w:r>
          </w:p>
          <w:p w:rsidR="001A0292" w:rsidRPr="00576C1D" w:rsidRDefault="001A0292" w:rsidP="001A0292">
            <w:pPr>
              <w:widowControl w:val="0"/>
              <w:numPr>
                <w:ilvl w:val="0"/>
                <w:numId w:val="5"/>
              </w:numPr>
              <w:shd w:val="clear" w:color="auto" w:fill="FFFFFF"/>
              <w:autoSpaceDE w:val="0"/>
              <w:autoSpaceDN w:val="0"/>
              <w:adjustRightInd w:val="0"/>
              <w:rPr>
                <w:rFonts w:ascii="Times New Roman" w:hAnsi="Times New Roman"/>
              </w:rPr>
            </w:pPr>
            <w:r w:rsidRPr="00576C1D">
              <w:rPr>
                <w:rFonts w:ascii="Times New Roman" w:hAnsi="Times New Roman"/>
              </w:rPr>
              <w:t>Cjelokupna prioritetna os provodit će se putem lokalnog razvoja kojeg predvodi zajednica</w:t>
            </w:r>
          </w:p>
          <w:p w:rsidR="001A0292" w:rsidRPr="00576C1D" w:rsidRDefault="001A0292" w:rsidP="001A0292">
            <w:pPr>
              <w:widowControl w:val="0"/>
              <w:numPr>
                <w:ilvl w:val="0"/>
                <w:numId w:val="5"/>
              </w:numPr>
              <w:shd w:val="clear" w:color="auto" w:fill="FFFFFF"/>
              <w:autoSpaceDE w:val="0"/>
              <w:autoSpaceDN w:val="0"/>
              <w:adjustRightInd w:val="0"/>
              <w:rPr>
                <w:rFonts w:ascii="Times New Roman" w:hAnsi="Times New Roman"/>
              </w:rPr>
            </w:pPr>
            <w:r w:rsidRPr="00576C1D">
              <w:rPr>
                <w:rFonts w:ascii="Times New Roman" w:hAnsi="Times New Roman"/>
              </w:rPr>
              <w:t>Za ESF: Cjelokupna prioritetna os posvećena je socijalnim inovacijama ili međudržavnoj suradnji, ili i jednom i drugom;</w:t>
            </w:r>
          </w:p>
          <w:p w:rsidR="001A0292" w:rsidRDefault="001A0292" w:rsidP="001A0292">
            <w:pPr>
              <w:widowControl w:val="0"/>
              <w:shd w:val="clear" w:color="auto" w:fill="FFFFFF"/>
              <w:autoSpaceDE w:val="0"/>
              <w:autoSpaceDN w:val="0"/>
              <w:adjustRightInd w:val="0"/>
              <w:rPr>
                <w:rFonts w:ascii="Times New Roman" w:hAnsi="Times New Roman"/>
                <w:b/>
                <w:bCs/>
                <w:color w:val="000000"/>
                <w:sz w:val="16"/>
                <w:szCs w:val="16"/>
              </w:rPr>
            </w:pPr>
          </w:p>
        </w:tc>
      </w:tr>
    </w:tbl>
    <w:p w:rsidR="00FC3F35" w:rsidRPr="00576C1D" w:rsidRDefault="00FC3F35" w:rsidP="00FC3F35">
      <w:pPr>
        <w:widowControl w:val="0"/>
        <w:shd w:val="clear" w:color="auto" w:fill="FFFFFF"/>
        <w:autoSpaceDE w:val="0"/>
        <w:autoSpaceDN w:val="0"/>
        <w:adjustRightInd w:val="0"/>
        <w:spacing w:before="518" w:after="0" w:line="274" w:lineRule="exact"/>
        <w:ind w:right="13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2.A.2 </w:t>
      </w:r>
      <w:r w:rsidRPr="00576C1D">
        <w:rPr>
          <w:rFonts w:ascii="Times New Roman" w:eastAsia="Times New Roman" w:hAnsi="Times New Roman" w:cs="Times New Roman"/>
          <w:b/>
          <w:bCs/>
          <w:sz w:val="24"/>
          <w:szCs w:val="24"/>
          <w:lang w:eastAsia="hr-HR"/>
        </w:rPr>
        <w:t xml:space="preserve">Opravdanje za uspostavu prioritetne osi koja obuhvaća više od jedne kategorije regije, tematskog cilja ili fonda </w:t>
      </w:r>
      <w:r w:rsidRPr="00576C1D">
        <w:rPr>
          <w:rFonts w:ascii="Times New Roman" w:eastAsia="Times New Roman" w:hAnsi="Times New Roman" w:cs="Times New Roman"/>
          <w:bCs/>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509"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 xml:space="preserve">2.A.3 </w:t>
      </w:r>
      <w:r w:rsidRPr="00576C1D">
        <w:rPr>
          <w:rFonts w:ascii="Times New Roman" w:eastAsia="Times New Roman" w:hAnsi="Times New Roman" w:cs="Times New Roman"/>
          <w:b/>
          <w:sz w:val="24"/>
          <w:szCs w:val="24"/>
          <w:lang w:eastAsia="hr-HR"/>
        </w:rPr>
        <w:t>Fond, kategorija regije i obračunska osnovica za potporu Unije</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Obračunska osnovica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Kategorija regije za najudaljenije regije i sjeverne rijetko naseljene regije (po potrebi)</w:t>
            </w:r>
          </w:p>
        </w:tc>
      </w:tr>
      <w:tr w:rsidR="00FC3F35" w:rsidRPr="00576C1D" w:rsidTr="00FC3F35">
        <w:trPr>
          <w:trHeight w:hRule="exact" w:val="461"/>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EFRR</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Manje razvijena</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Ukupni iznos</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538"/>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KF</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Ukupni iznos</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56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795"/>
        <w:gridCol w:w="816"/>
        <w:gridCol w:w="1152"/>
        <w:gridCol w:w="547"/>
        <w:gridCol w:w="307"/>
        <w:gridCol w:w="7824"/>
      </w:tblGrid>
      <w:tr w:rsidR="00FC3F35" w:rsidRPr="00576C1D" w:rsidTr="00FC3F35">
        <w:trPr>
          <w:trHeight w:hRule="exact" w:val="346"/>
        </w:trPr>
        <w:tc>
          <w:tcPr>
            <w:tcW w:w="5318" w:type="dxa"/>
            <w:gridSpan w:val="3"/>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115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82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3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1795"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6c</w:t>
            </w:r>
          </w:p>
        </w:tc>
        <w:tc>
          <w:tcPr>
            <w:tcW w:w="81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5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82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867"/>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2441"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8"/>
                <w:szCs w:val="18"/>
                <w:lang w:eastAsia="hr-HR"/>
              </w:rPr>
            </w:pPr>
            <w:r w:rsidRPr="00576C1D">
              <w:rPr>
                <w:rFonts w:ascii="Times New Roman" w:eastAsia="Times New Roman" w:hAnsi="Times New Roman" w:cs="Times New Roman"/>
                <w:bCs/>
                <w:color w:val="000000"/>
                <w:sz w:val="18"/>
                <w:szCs w:val="18"/>
                <w:lang w:eastAsia="el-GR"/>
              </w:rPr>
              <w:t>Očuvanje, zaštita, promicanje i razvoj prirodne i kulturne baštine</w:t>
            </w:r>
          </w:p>
        </w:tc>
      </w:tr>
    </w:tbl>
    <w:p w:rsidR="00FC3F35" w:rsidRDefault="00FC3F35" w:rsidP="00FC3F35">
      <w:pPr>
        <w:widowControl w:val="0"/>
        <w:shd w:val="clear" w:color="auto" w:fill="FFFFFF"/>
        <w:autoSpaceDE w:val="0"/>
        <w:autoSpaceDN w:val="0"/>
        <w:adjustRightInd w:val="0"/>
        <w:spacing w:after="182"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tbl>
      <w:tblPr>
        <w:tblStyle w:val="TableGrid"/>
        <w:tblW w:w="0" w:type="auto"/>
        <w:tblInd w:w="108" w:type="dxa"/>
        <w:tblLook w:val="04A0" w:firstRow="1" w:lastRow="0" w:firstColumn="1" w:lastColumn="0" w:noHBand="0" w:noVBand="1"/>
      </w:tblPr>
      <w:tblGrid>
        <w:gridCol w:w="4423"/>
        <w:gridCol w:w="10745"/>
      </w:tblGrid>
      <w:tr w:rsidR="00492C0A" w:rsidRPr="005E763C" w:rsidTr="00E227D3">
        <w:tc>
          <w:tcPr>
            <w:tcW w:w="4423" w:type="dxa"/>
            <w:vAlign w:val="center"/>
          </w:tcPr>
          <w:p w:rsidR="00E227D3" w:rsidRPr="00593567" w:rsidRDefault="00E227D3" w:rsidP="00A552D9">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8"/>
                <w:sz w:val="16"/>
                <w:szCs w:val="16"/>
              </w:rPr>
              <w:lastRenderedPageBreak/>
              <w:t>Oznaka specifičnog cilja</w:t>
            </w:r>
          </w:p>
        </w:tc>
        <w:tc>
          <w:tcPr>
            <w:tcW w:w="10745" w:type="dxa"/>
            <w:vAlign w:val="center"/>
          </w:tcPr>
          <w:p w:rsidR="00E227D3" w:rsidRPr="00593567" w:rsidRDefault="00E227D3" w:rsidP="00A552D9">
            <w:pPr>
              <w:widowControl w:val="0"/>
              <w:shd w:val="clear" w:color="auto" w:fill="FFFFFF"/>
              <w:autoSpaceDE w:val="0"/>
              <w:autoSpaceDN w:val="0"/>
              <w:adjustRightInd w:val="0"/>
              <w:rPr>
                <w:rFonts w:ascii="Times New Roman" w:hAnsi="Times New Roman"/>
              </w:rPr>
            </w:pPr>
            <w:r>
              <w:rPr>
                <w:rFonts w:ascii="Times New Roman" w:hAnsi="Times New Roman"/>
              </w:rPr>
              <w:t>6c 1</w:t>
            </w:r>
          </w:p>
        </w:tc>
      </w:tr>
      <w:tr w:rsidR="00492C0A" w:rsidRPr="005E763C" w:rsidTr="00E227D3">
        <w:tc>
          <w:tcPr>
            <w:tcW w:w="4423" w:type="dxa"/>
            <w:vAlign w:val="center"/>
          </w:tcPr>
          <w:p w:rsidR="00E227D3" w:rsidRPr="00576C1D" w:rsidRDefault="00E227D3" w:rsidP="00A552D9">
            <w:pPr>
              <w:widowControl w:val="0"/>
              <w:shd w:val="clear" w:color="auto" w:fill="FFFFFF"/>
              <w:autoSpaceDE w:val="0"/>
              <w:autoSpaceDN w:val="0"/>
              <w:adjustRightInd w:val="0"/>
              <w:rPr>
                <w:rFonts w:ascii="Times New Roman" w:hAnsi="Times New Roman"/>
                <w:b/>
                <w:bCs/>
                <w:color w:val="000000"/>
                <w:spacing w:val="8"/>
                <w:sz w:val="16"/>
                <w:szCs w:val="16"/>
              </w:rPr>
            </w:pPr>
            <w:r w:rsidRPr="00576C1D">
              <w:rPr>
                <w:rFonts w:ascii="Times New Roman" w:hAnsi="Times New Roman"/>
                <w:b/>
                <w:sz w:val="16"/>
                <w:szCs w:val="16"/>
              </w:rPr>
              <w:t>Naziv</w:t>
            </w:r>
            <w:r w:rsidRPr="00576C1D">
              <w:rPr>
                <w:rFonts w:ascii="Times New Roman" w:hAnsi="Times New Roman"/>
                <w:b/>
                <w:bCs/>
                <w:color w:val="000000"/>
                <w:spacing w:val="8"/>
                <w:sz w:val="16"/>
                <w:szCs w:val="16"/>
              </w:rPr>
              <w:t xml:space="preserve"> specifičnog cilja</w:t>
            </w:r>
          </w:p>
        </w:tc>
        <w:tc>
          <w:tcPr>
            <w:tcW w:w="10745" w:type="dxa"/>
            <w:vAlign w:val="center"/>
          </w:tcPr>
          <w:p w:rsidR="00E227D3" w:rsidRPr="00C832F1" w:rsidRDefault="00E227D3"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color w:val="000000"/>
                <w:spacing w:val="-1"/>
                <w:sz w:val="18"/>
                <w:szCs w:val="18"/>
              </w:rPr>
              <w:t>Poboljšanje sustava  zaštite i upravljanja kulturnom baštinom u svrhu razvoja turizma i ostalih gospodarskih djelatnosti</w:t>
            </w:r>
          </w:p>
        </w:tc>
      </w:tr>
      <w:tr w:rsidR="00492C0A" w:rsidRPr="005E763C" w:rsidTr="00E227D3">
        <w:tc>
          <w:tcPr>
            <w:tcW w:w="4423" w:type="dxa"/>
            <w:vAlign w:val="center"/>
          </w:tcPr>
          <w:p w:rsidR="00E227D3" w:rsidRPr="00576C1D" w:rsidRDefault="00E227D3" w:rsidP="00A552D9">
            <w:pPr>
              <w:widowControl w:val="0"/>
              <w:shd w:val="clear" w:color="auto" w:fill="FFFFFF"/>
              <w:autoSpaceDE w:val="0"/>
              <w:autoSpaceDN w:val="0"/>
              <w:adjustRightInd w:val="0"/>
              <w:rPr>
                <w:rFonts w:ascii="Times New Roman" w:hAnsi="Times New Roman"/>
                <w:b/>
                <w:sz w:val="16"/>
                <w:szCs w:val="16"/>
              </w:rPr>
            </w:pPr>
            <w:r w:rsidRPr="00576C1D">
              <w:rPr>
                <w:rFonts w:ascii="Times New Roman" w:hAnsi="Times New Roman"/>
                <w:b/>
                <w:bCs/>
                <w:color w:val="000000"/>
                <w:spacing w:val="3"/>
                <w:w w:val="94"/>
                <w:sz w:val="18"/>
                <w:szCs w:val="18"/>
              </w:rPr>
              <w:t>Rezultati koje države članice žele postići uz potporu Unije</w:t>
            </w:r>
          </w:p>
        </w:tc>
        <w:tc>
          <w:tcPr>
            <w:tcW w:w="10745" w:type="dxa"/>
            <w:vAlign w:val="center"/>
          </w:tcPr>
          <w:p w:rsidR="00E227D3" w:rsidRPr="00C832F1" w:rsidRDefault="00E227D3" w:rsidP="00A552D9">
            <w:pPr>
              <w:widowControl w:val="0"/>
              <w:shd w:val="clear" w:color="auto" w:fill="FFFFFF"/>
              <w:autoSpaceDE w:val="0"/>
              <w:autoSpaceDN w:val="0"/>
              <w:adjustRightInd w:val="0"/>
              <w:rPr>
                <w:rFonts w:ascii="Times New Roman" w:hAnsi="Times New Roman"/>
                <w:color w:val="000000"/>
                <w:spacing w:val="-1"/>
                <w:sz w:val="18"/>
                <w:szCs w:val="18"/>
              </w:rPr>
            </w:pPr>
          </w:p>
        </w:tc>
      </w:tr>
      <w:tr w:rsidR="00E227D3" w:rsidRPr="005E763C" w:rsidTr="00E227D3">
        <w:tc>
          <w:tcPr>
            <w:tcW w:w="15168" w:type="dxa"/>
            <w:gridSpan w:val="2"/>
            <w:vAlign w:val="center"/>
          </w:tcPr>
          <w:p w:rsidR="00E227D3" w:rsidRPr="00C832F1" w:rsidRDefault="00E227D3" w:rsidP="00E227D3">
            <w:pPr>
              <w:widowControl w:val="0"/>
              <w:numPr>
                <w:ilvl w:val="0"/>
                <w:numId w:val="5"/>
              </w:numPr>
              <w:shd w:val="clear" w:color="auto" w:fill="FFFFFF"/>
              <w:autoSpaceDE w:val="0"/>
              <w:autoSpaceDN w:val="0"/>
              <w:adjustRightInd w:val="0"/>
              <w:rPr>
                <w:rFonts w:ascii="Times New Roman" w:hAnsi="Times New Roman"/>
              </w:rPr>
            </w:pPr>
            <w:r w:rsidRPr="00C832F1">
              <w:rPr>
                <w:rFonts w:ascii="Times New Roman" w:hAnsi="Times New Roman"/>
              </w:rPr>
              <w:t>Kulturna baština, posebno materijalna, većinom je degradirana, ugrožena i van upotrebe.  Cilj RH je očuvati, zaštititi, revitalizirati i razviti svoju kulturnu baštinu te istovremeno poticati i razvijati njezino korištenje na održiv način. Strategija  zaštite, očuvanja i održivog gospodarskog korištenja kulturne baštine naglašava potrebu za učinkovitijim i uspješnijim upravljanjem kulturnom baštinom, kao i za održivim korištenjem kulturne baštine u svrhu društveno-gospodarskog razvoja.  U gospodarskom smislu, korištenje baštine planirano je primarno za razvoj kulturnog turizma i povezanih aktivnosti u skladu s Hrvatskom turističkom strategijom 2020. koja kulturni turizam smatra jednim od ključnih nacionalnih turističkih proizvoda koji pridonose konkurentnosti turističkih odredišta i naglašavaju kulturni turizam kao važan izvor gospodarskog rasta.  Primjerice, istraživanje Instituta za turizam “Kulturni turizam u Hrvatskoj” pokazalo je, između ostalog, sljedeće: približno 60 % svih turista izrazilo je interes za neku vrstu kulturne turističke aktivnosti;  26 % posjetitelja navelo je kulturne atrakcije kao svoj glavni razlog za posjet;  kulturne atrakcije/događaji imali su najveći udio u motivaciji za ponovne posjete. Nadalje, kulturni turizam može služiti kao mogućnost produženja turističke sezone.</w:t>
            </w:r>
          </w:p>
          <w:p w:rsidR="00E227D3" w:rsidRPr="00C832F1" w:rsidRDefault="00E227D3" w:rsidP="00E227D3">
            <w:pPr>
              <w:widowControl w:val="0"/>
              <w:numPr>
                <w:ilvl w:val="0"/>
                <w:numId w:val="5"/>
              </w:numPr>
              <w:shd w:val="clear" w:color="auto" w:fill="FFFFFF"/>
              <w:autoSpaceDE w:val="0"/>
              <w:autoSpaceDN w:val="0"/>
              <w:adjustRightInd w:val="0"/>
              <w:rPr>
                <w:rFonts w:ascii="Times New Roman" w:hAnsi="Times New Roman"/>
              </w:rPr>
            </w:pPr>
            <w:r w:rsidRPr="00C832F1">
              <w:rPr>
                <w:rFonts w:ascii="Times New Roman" w:hAnsi="Times New Roman"/>
              </w:rPr>
              <w:t xml:space="preserve">Koncentracija ulaganja temeljem ovoga strateškog cilja vršit će se povezivanjem potencijalnih ulaganja s ciljevima Nacionalnog plana promidžbe turizma koji definira 10 regionalnih odredišnih skupina od kojih svaka sadrži kulturne atrakcije koje pridonose integriranom razvoju turizma te koje će se financirati kako bi se poboljšala (između ostalog i kulturna) ponuda svake destinacije u okviru povećanja turističkog prometa u regijama/destinacijama. </w:t>
            </w:r>
          </w:p>
          <w:p w:rsidR="00E227D3" w:rsidRDefault="00E227D3"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Povećanje konkurentnosti regionalnih turističkih destinacija će se postići procjenom cjelokupnih ekonomskih i mogućnosti zapošljavanja za svaku destinaciju kulturne baštine pojedinačno (kako najbolje povećati privlačnost stvaranjem novih sadržaja i funkcija), formiranjem turističke ponude koja je prilagođena pojedinačnim destinacijama/lokalnim okolnostima (lokalni potencijal za razvoj gospodarstva i otvaranje radnih mjesta) i učinkovitim upravljanjem određenih kulturnih destinacija.  Nadalje, poticanjem integrirane suradnje turističkih odredišta između javnog, privatnog i državnog sektora i akademske zajednice te umrežavanja istih potiče se pretvaranje kulturnih resursa u visokokvalitetne turističke atrakcije</w:t>
            </w:r>
            <w:r>
              <w:rPr>
                <w:rFonts w:ascii="Times New Roman" w:hAnsi="Times New Roman"/>
              </w:rPr>
              <w:t>.</w:t>
            </w:r>
          </w:p>
          <w:p w:rsidR="00E227D3" w:rsidRPr="00576C1D" w:rsidRDefault="00E227D3" w:rsidP="00A552D9">
            <w:pPr>
              <w:widowControl w:val="0"/>
              <w:shd w:val="clear" w:color="auto" w:fill="FFFFFF"/>
              <w:autoSpaceDE w:val="0"/>
              <w:autoSpaceDN w:val="0"/>
              <w:adjustRightInd w:val="0"/>
              <w:rPr>
                <w:rFonts w:ascii="Times New Roman" w:hAnsi="Times New Roman"/>
                <w:color w:val="000000"/>
                <w:sz w:val="24"/>
                <w:szCs w:val="24"/>
              </w:rPr>
            </w:pPr>
            <w:r w:rsidRPr="00576C1D">
              <w:rPr>
                <w:rFonts w:ascii="Times New Roman" w:hAnsi="Times New Roman"/>
                <w:color w:val="000000"/>
                <w:sz w:val="24"/>
                <w:szCs w:val="24"/>
              </w:rPr>
              <w:t>Stoga, očekuje se da će bolja i veća ciljana upotreba kulturne baštine polučiti sljedeće rezultate:</w:t>
            </w:r>
          </w:p>
          <w:p w:rsidR="00E227D3" w:rsidRPr="00576C1D" w:rsidRDefault="00E227D3" w:rsidP="00A552D9">
            <w:pPr>
              <w:widowControl w:val="0"/>
              <w:shd w:val="clear" w:color="auto" w:fill="FFFFFF"/>
              <w:autoSpaceDE w:val="0"/>
              <w:autoSpaceDN w:val="0"/>
              <w:adjustRightInd w:val="0"/>
              <w:rPr>
                <w:rFonts w:ascii="Times New Roman" w:hAnsi="Times New Roman"/>
                <w:color w:val="000000"/>
                <w:sz w:val="24"/>
                <w:szCs w:val="24"/>
              </w:rPr>
            </w:pPr>
            <w:r w:rsidRPr="00576C1D">
              <w:rPr>
                <w:rFonts w:ascii="Times New Roman" w:hAnsi="Times New Roman"/>
                <w:color w:val="000000"/>
                <w:sz w:val="24"/>
                <w:szCs w:val="24"/>
              </w:rPr>
              <w:t xml:space="preserve">• očuvana, obnovljena, promovirana i revitalizirana kulturna baština sa unaprijeđenim sustavom upravljanja </w:t>
            </w:r>
          </w:p>
          <w:p w:rsidR="00E227D3" w:rsidRPr="00576C1D" w:rsidRDefault="00E227D3" w:rsidP="00A552D9">
            <w:pPr>
              <w:widowControl w:val="0"/>
              <w:shd w:val="clear" w:color="auto" w:fill="FFFFFF"/>
              <w:autoSpaceDE w:val="0"/>
              <w:autoSpaceDN w:val="0"/>
              <w:adjustRightInd w:val="0"/>
              <w:rPr>
                <w:rFonts w:ascii="Times New Roman" w:hAnsi="Times New Roman"/>
                <w:color w:val="000000"/>
                <w:sz w:val="24"/>
                <w:szCs w:val="24"/>
              </w:rPr>
            </w:pPr>
            <w:r w:rsidRPr="00576C1D">
              <w:rPr>
                <w:rFonts w:ascii="Times New Roman" w:hAnsi="Times New Roman"/>
                <w:color w:val="000000"/>
                <w:sz w:val="24"/>
                <w:szCs w:val="24"/>
              </w:rPr>
              <w:t xml:space="preserve">• povećanje turističkih dolazaka i noćenja; povećanje broja posjeta ključnim kulturnim odredištima i posljedično produženje turističke sezone; </w:t>
            </w:r>
          </w:p>
          <w:p w:rsidR="00E227D3" w:rsidRPr="00576C1D" w:rsidRDefault="00E227D3" w:rsidP="00A552D9">
            <w:pPr>
              <w:widowControl w:val="0"/>
              <w:shd w:val="clear" w:color="auto" w:fill="FFFFFF"/>
              <w:autoSpaceDE w:val="0"/>
              <w:autoSpaceDN w:val="0"/>
              <w:adjustRightInd w:val="0"/>
              <w:rPr>
                <w:rFonts w:ascii="Times New Roman" w:hAnsi="Times New Roman"/>
                <w:color w:val="000000"/>
                <w:sz w:val="24"/>
                <w:szCs w:val="24"/>
              </w:rPr>
            </w:pPr>
            <w:r w:rsidRPr="00576C1D">
              <w:rPr>
                <w:rFonts w:ascii="Times New Roman" w:hAnsi="Times New Roman"/>
                <w:color w:val="000000"/>
                <w:sz w:val="24"/>
                <w:szCs w:val="24"/>
              </w:rPr>
              <w:t>• poticanje rasta i radne uspješnosti lokalnih MSP-ova, s gospodarskim i radnim prelijevanjima u lokalno i regionalno gospodarstvo.</w:t>
            </w:r>
          </w:p>
          <w:p w:rsidR="00E227D3" w:rsidRPr="00E227D3" w:rsidRDefault="00E227D3" w:rsidP="00E227D3">
            <w:pPr>
              <w:widowControl w:val="0"/>
              <w:numPr>
                <w:ilvl w:val="0"/>
                <w:numId w:val="5"/>
              </w:numPr>
              <w:shd w:val="clear" w:color="auto" w:fill="FFFFFF"/>
              <w:autoSpaceDE w:val="0"/>
              <w:autoSpaceDN w:val="0"/>
              <w:adjustRightInd w:val="0"/>
              <w:rPr>
                <w:rFonts w:ascii="Times New Roman" w:hAnsi="Times New Roman"/>
                <w:b/>
                <w:bCs/>
                <w:color w:val="000000"/>
                <w:sz w:val="16"/>
                <w:szCs w:val="16"/>
              </w:rPr>
            </w:pPr>
            <w:r w:rsidRPr="00576C1D">
              <w:rPr>
                <w:rFonts w:ascii="Times New Roman" w:hAnsi="Times New Roman"/>
                <w:color w:val="000000"/>
                <w:sz w:val="24"/>
                <w:szCs w:val="24"/>
              </w:rPr>
              <w:t>Ulaganja u javnu kulturnu baštinu financirat će se komplementarno iz tematskog cilja TC3 pružanjem podrške privatnim MSP-ovima kako bi se stvorili i razvili lokalni proizvodi i tvrtke koje će poticati turističku potražnju, te tematskog cilja TC10, pružanjem potpore putem obveznih programa cjeloživotnog obrazovanja za razne segmente industrije kulturnog turizma, čime se osigurava integrirani pristup ulaganjima u kulturnu baštinu.</w:t>
            </w:r>
          </w:p>
          <w:p w:rsidR="00E227D3" w:rsidRDefault="00E227D3" w:rsidP="00E227D3">
            <w:pPr>
              <w:widowControl w:val="0"/>
              <w:numPr>
                <w:ilvl w:val="0"/>
                <w:numId w:val="5"/>
              </w:numPr>
              <w:shd w:val="clear" w:color="auto" w:fill="FFFFFF"/>
              <w:autoSpaceDE w:val="0"/>
              <w:autoSpaceDN w:val="0"/>
              <w:adjustRightInd w:val="0"/>
              <w:rPr>
                <w:rFonts w:ascii="Times New Roman" w:hAnsi="Times New Roman"/>
                <w:b/>
                <w:bCs/>
                <w:color w:val="000000"/>
                <w:sz w:val="16"/>
                <w:szCs w:val="16"/>
              </w:rPr>
            </w:pPr>
          </w:p>
        </w:tc>
      </w:tr>
    </w:tbl>
    <w:tbl>
      <w:tblPr>
        <w:tblW w:w="0" w:type="auto"/>
        <w:tblInd w:w="40" w:type="dxa"/>
        <w:tblLayout w:type="fixed"/>
        <w:tblCellMar>
          <w:left w:w="40" w:type="dxa"/>
          <w:right w:w="40" w:type="dxa"/>
        </w:tblCellMar>
        <w:tblLook w:val="0000" w:firstRow="0" w:lastRow="0" w:firstColumn="0" w:lastColumn="0" w:noHBand="0" w:noVBand="0"/>
      </w:tblPr>
      <w:tblGrid>
        <w:gridCol w:w="4395"/>
        <w:gridCol w:w="10754"/>
      </w:tblGrid>
      <w:tr w:rsidR="00E227D3" w:rsidRPr="00576C1D" w:rsidTr="00013FAE">
        <w:tc>
          <w:tcPr>
            <w:tcW w:w="4395" w:type="dxa"/>
            <w:tcBorders>
              <w:top w:val="single" w:sz="6" w:space="0" w:color="auto"/>
              <w:left w:val="single" w:sz="6" w:space="0" w:color="auto"/>
              <w:bottom w:val="single" w:sz="6" w:space="0" w:color="auto"/>
              <w:right w:val="single" w:sz="6" w:space="0" w:color="auto"/>
            </w:tcBorders>
            <w:shd w:val="clear" w:color="auto" w:fill="FFFFFF"/>
          </w:tcPr>
          <w:p w:rsidR="00E227D3" w:rsidRPr="00576C1D" w:rsidRDefault="00E227D3" w:rsidP="00A552D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sz w:val="18"/>
                <w:szCs w:val="18"/>
                <w:lang w:eastAsia="hr-HR"/>
              </w:rPr>
              <w:t>Oznaka specifičnog cilja</w:t>
            </w:r>
          </w:p>
        </w:tc>
        <w:tc>
          <w:tcPr>
            <w:tcW w:w="10754" w:type="dxa"/>
            <w:tcBorders>
              <w:top w:val="single" w:sz="6" w:space="0" w:color="auto"/>
              <w:left w:val="single" w:sz="6" w:space="0" w:color="auto"/>
              <w:bottom w:val="single" w:sz="6" w:space="0" w:color="auto"/>
              <w:right w:val="single" w:sz="6" w:space="0" w:color="auto"/>
            </w:tcBorders>
            <w:shd w:val="clear" w:color="auto" w:fill="FFFFFF"/>
          </w:tcPr>
          <w:p w:rsidR="00E227D3" w:rsidRPr="00576C1D" w:rsidRDefault="00E227D3" w:rsidP="00A552D9">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6c2</w:t>
            </w:r>
          </w:p>
        </w:tc>
      </w:tr>
      <w:tr w:rsidR="00E227D3" w:rsidRPr="00576C1D" w:rsidTr="00013FAE">
        <w:tc>
          <w:tcPr>
            <w:tcW w:w="4395" w:type="dxa"/>
            <w:tcBorders>
              <w:top w:val="single" w:sz="6" w:space="0" w:color="auto"/>
              <w:left w:val="single" w:sz="6" w:space="0" w:color="auto"/>
              <w:bottom w:val="single" w:sz="6" w:space="0" w:color="auto"/>
              <w:right w:val="single" w:sz="6" w:space="0" w:color="auto"/>
            </w:tcBorders>
            <w:shd w:val="clear" w:color="auto" w:fill="FFFFFF"/>
          </w:tcPr>
          <w:p w:rsidR="00E227D3" w:rsidRPr="00576C1D" w:rsidRDefault="00E227D3" w:rsidP="00A552D9">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0754" w:type="dxa"/>
            <w:tcBorders>
              <w:top w:val="single" w:sz="6" w:space="0" w:color="auto"/>
              <w:left w:val="single" w:sz="6" w:space="0" w:color="auto"/>
              <w:bottom w:val="single" w:sz="6" w:space="0" w:color="auto"/>
              <w:right w:val="single" w:sz="6" w:space="0" w:color="auto"/>
            </w:tcBorders>
            <w:shd w:val="clear" w:color="auto" w:fill="FFFFFF"/>
          </w:tcPr>
          <w:p w:rsidR="00E227D3" w:rsidRPr="00576C1D" w:rsidRDefault="00E227D3" w:rsidP="00A552D9">
            <w:pPr>
              <w:widowControl w:val="0"/>
              <w:shd w:val="clear" w:color="auto" w:fill="FFFFFF"/>
              <w:autoSpaceDE w:val="0"/>
              <w:autoSpaceDN w:val="0"/>
              <w:adjustRightInd w:val="0"/>
              <w:spacing w:after="0" w:line="240" w:lineRule="auto"/>
              <w:rPr>
                <w:rFonts w:ascii="Times New Roman" w:eastAsia="Times New Roman" w:hAnsi="Times New Roman" w:cs="Times New Roman"/>
                <w:sz w:val="18"/>
                <w:szCs w:val="18"/>
                <w:lang w:eastAsia="hr-HR"/>
              </w:rPr>
            </w:pPr>
            <w:r w:rsidRPr="00576C1D">
              <w:rPr>
                <w:rFonts w:ascii="Times New Roman" w:eastAsia="AngsanaUPC" w:hAnsi="Times New Roman" w:cs="Times New Roman"/>
                <w:bCs/>
                <w:iCs/>
                <w:sz w:val="18"/>
                <w:szCs w:val="18"/>
                <w:lang w:eastAsia="lt-LT"/>
              </w:rPr>
              <w:t>Povećanje atraktivnosti i održivog korištenje prirodne baštine</w:t>
            </w:r>
          </w:p>
        </w:tc>
      </w:tr>
      <w:tr w:rsidR="00492C0A" w:rsidRPr="00576C1D" w:rsidTr="00013FAE">
        <w:tc>
          <w:tcPr>
            <w:tcW w:w="4395" w:type="dxa"/>
            <w:tcBorders>
              <w:top w:val="single" w:sz="6" w:space="0" w:color="auto"/>
              <w:left w:val="single" w:sz="6" w:space="0" w:color="auto"/>
              <w:bottom w:val="single" w:sz="6" w:space="0" w:color="auto"/>
              <w:right w:val="single" w:sz="6" w:space="0" w:color="auto"/>
            </w:tcBorders>
            <w:shd w:val="clear" w:color="auto" w:fill="FFFFFF"/>
          </w:tcPr>
          <w:p w:rsidR="00492C0A" w:rsidRPr="00576C1D" w:rsidRDefault="00492C0A" w:rsidP="00492C0A">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p>
        </w:tc>
        <w:tc>
          <w:tcPr>
            <w:tcW w:w="10754" w:type="dxa"/>
            <w:tcBorders>
              <w:top w:val="single" w:sz="6" w:space="0" w:color="auto"/>
              <w:left w:val="single" w:sz="6" w:space="0" w:color="auto"/>
              <w:bottom w:val="single" w:sz="6" w:space="0" w:color="auto"/>
              <w:right w:val="single" w:sz="6" w:space="0" w:color="auto"/>
            </w:tcBorders>
            <w:shd w:val="clear" w:color="auto" w:fill="FFFFFF"/>
          </w:tcPr>
          <w:p w:rsidR="00492C0A" w:rsidRPr="00576C1D" w:rsidRDefault="00492C0A" w:rsidP="00492C0A">
            <w:pPr>
              <w:widowControl w:val="0"/>
              <w:shd w:val="clear" w:color="auto" w:fill="FFFFFF"/>
              <w:autoSpaceDE w:val="0"/>
              <w:autoSpaceDN w:val="0"/>
              <w:adjustRightInd w:val="0"/>
              <w:spacing w:after="0" w:line="274" w:lineRule="exact"/>
              <w:rPr>
                <w:rFonts w:ascii="Times New Roman" w:eastAsia="Times New Roman" w:hAnsi="Times New Roman" w:cs="Times New Roman"/>
                <w:sz w:val="24"/>
                <w:szCs w:val="24"/>
                <w:lang w:eastAsia="hr-HR"/>
              </w:rPr>
            </w:pPr>
            <w:r w:rsidRPr="00576C1D">
              <w:rPr>
                <w:rFonts w:ascii="Times New Roman" w:eastAsia="Times New Roman" w:hAnsi="Times New Roman" w:cs="Times New Roman"/>
                <w:color w:val="000000"/>
                <w:sz w:val="24"/>
                <w:szCs w:val="24"/>
                <w:lang w:eastAsia="hr-HR"/>
              </w:rPr>
              <w:t xml:space="preserve">Zbog ogromne raznolikosti staništa Hrvatske, ovaj specifični cilj usmjeren je na unapređenje upravljanja prirodnom baštinom, posebno na 9 kategorija zaštićenih područja prirode koja pokrivaju 8,5 % teritorija. Unapređenjem upravljanja prirodnom baštinom predviđena su dva glavna cilja; prvi se odnosi na odgovarajuće upravljanje koje će osigurati očuvanje/zaštitu prirodnih dobara i vrijednosti područja u pitanju, a drugi se odnosi na korištenje prirodne baštine kao katalizatora za lokalni i regionalni razvoj i zapošljavanje, prvenstveno povezano s turizmom.  Činjenica da oko 70 % svih posjeta zaštićenim područjima otpada na samo dva zaštićena područja (NP Plitvička jezera i NP Krka) pokazuje da je većina potencijala prirodne baštine neiskorištena, uglavnom zbog manjka financijskih sredstava i kapaciteta koji bi osigurali odgovarajuće upravljanje (turističkim) posjetima.  Stoga će se ovaj specifični cilj baviti propuštenim prilikama za razvoj u većini područja prirodne baštine, koje naposljetku predstavljaju veliku prepreku održivom upravljanju i </w:t>
            </w:r>
            <w:r w:rsidRPr="00576C1D">
              <w:rPr>
                <w:rFonts w:ascii="Times New Roman" w:eastAsia="Times New Roman" w:hAnsi="Times New Roman" w:cs="Times New Roman"/>
                <w:color w:val="000000"/>
                <w:sz w:val="24"/>
                <w:szCs w:val="24"/>
                <w:lang w:eastAsia="hr-HR"/>
              </w:rPr>
              <w:lastRenderedPageBreak/>
              <w:t>očuvanju, kao i boljim upravljanjem posjetima radi smanjenja pritiska na prirodne vrijednosti. Kada govorimo o prirodnoj baštini kao osnovnom potencijalu za regionalni razvoj, važno je napomenuti da se većina prirodne baštine nalazi u nerazvijenim regijama i u većini slučajeva predstavlja središnju točku razvoja za okolno područje.</w:t>
            </w:r>
            <w:r w:rsidRPr="00576C1D">
              <w:rPr>
                <w:rFonts w:ascii="Times New Roman" w:eastAsia="Times New Roman" w:hAnsi="Times New Roman" w:cs="Times New Roman"/>
                <w:sz w:val="24"/>
                <w:szCs w:val="24"/>
                <w:lang w:eastAsia="hr-HR"/>
              </w:rPr>
              <w:t>Glavna poveznica s razvojnim potencijalom uspostavljena je za turistički sektor provođenjem održive valorizacije prirodnih resursa, posebno onih visoke globalne i jedinstvene vrijednosti, zbog toga što 30 % turista tokom boravka posjeti jedno od zaštićenih područja, a 3 % međunarodnih putovanja motivirano je ekoturizmom. Ekoturizam, iako još uvijek nedovoljno razvijen, pokazuje snažni rast (10 - 20 % godišnje) i popraćen je porastom ekološke svijesti potrošača. Ulaganja u prirodnu baštinu/atrakcije temeljem ovog specifičnog cilja povezana su s Nacionalnim planom promidžbe turizma koji definira 10 regionalnih odredišnih skupina s njihovim ključnim karakteristikama i posebnostima, čime se doprinosi razvoju svake regionalne odredišne skupine i omogućava promoviranje lokalnih pružatelja usluga te na taj način širi utjecaj na lokalne i regionalne zajednice</w:t>
            </w:r>
            <w:r w:rsidRPr="00576C1D">
              <w:rPr>
                <w:rFonts w:ascii="Times New Roman" w:eastAsia="Times New Roman" w:hAnsi="Times New Roman" w:cs="Times New Roman"/>
                <w:color w:val="000000"/>
                <w:sz w:val="24"/>
                <w:szCs w:val="24"/>
                <w:lang w:eastAsia="hr-HR"/>
              </w:rPr>
              <w:t>.</w:t>
            </w:r>
          </w:p>
          <w:p w:rsidR="00492C0A" w:rsidRPr="00576C1D" w:rsidRDefault="00492C0A" w:rsidP="00492C0A">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Rezultati intervencija temeljem ovoga SC-a bili bi dvostrani: a) poticali bi zaštitu i održivo upravljanje prirodnom baštinom i b) privlačili bi posjetitelje, produživali turističku sezonu i stimulirali rast i uspješnost lokalnih MSP-ova te promicali zapošljavanje, što je izrazito važno za parkove prirode kojima je potrebna diversifikacija aktivnosti s ciljem smanjenja opterećenja od navale posjetitelja tijekom vrhunca sezone, kao i za one koji nemaju odgovarajuću turističku infrastrukturu</w:t>
            </w:r>
            <w:r w:rsidRPr="00576C1D">
              <w:rPr>
                <w:rFonts w:ascii="Times New Roman" w:eastAsia="Times New Roman" w:hAnsi="Times New Roman" w:cs="Times New Roman"/>
                <w:color w:val="000000"/>
                <w:spacing w:val="-1"/>
                <w:sz w:val="24"/>
                <w:szCs w:val="24"/>
                <w:lang w:eastAsia="hr-HR"/>
              </w:rPr>
              <w:t>.</w:t>
            </w:r>
          </w:p>
          <w:p w:rsidR="00492C0A" w:rsidRPr="00576C1D" w:rsidRDefault="00492C0A" w:rsidP="00492C0A">
            <w:pPr>
              <w:widowControl w:val="0"/>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Ulaganja u prirodnu baštinu financirat će se komplementarno uz podršku tematskog cilja TC3 za privatne MSP-ove za koje se očekuje da će stvoriti i razviti lokalne proizvode i poslove na temelju jedinstvenih vrijednosti prirodne baštine, te uz podršku tematskog cilja TC10 koji će omogućiti obrazovanje i izobrazbu djelatnika o ključnim turističkim i marketinškim konceptima.  Ulaganja temeljem ovog specifičnog cilja bit će, ako je moguće, spojena s aktivnostima pod IP 6.4. radi bolje razmjene istraživanja i podataka o vrijednostima bioraznolikosti te će, stoga, osigurati integrirani pristup ulaganjima u prirodnu baštinu</w:t>
            </w:r>
            <w:r w:rsidRPr="00576C1D">
              <w:rPr>
                <w:rFonts w:ascii="Times New Roman" w:eastAsia="Times New Roman" w:hAnsi="Times New Roman" w:cs="Times New Roman"/>
                <w:color w:val="000000"/>
                <w:sz w:val="24"/>
                <w:szCs w:val="24"/>
                <w:lang w:eastAsia="hr-HR"/>
              </w:rPr>
              <w:t>.</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E227D3">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sz w:val="20"/>
                <w:szCs w:val="20"/>
                <w:lang w:eastAsia="hr-HR"/>
              </w:rPr>
              <w:t xml:space="preserve">6c1 - </w:t>
            </w:r>
            <w:r w:rsidRPr="00576C1D">
              <w:rPr>
                <w:rFonts w:ascii="Times New Roman" w:eastAsia="Times New Roman" w:hAnsi="Times New Roman" w:cs="Times New Roman"/>
                <w:b/>
                <w:sz w:val="20"/>
                <w:szCs w:val="20"/>
                <w:lang w:eastAsia="hr-HR"/>
              </w:rPr>
              <w:t>Poboljšanje sustava zaštite i upravljanja kulturnom baštinom u svrhu razvoja turizma i ostalih gospodarskih djelatnosti</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69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6cll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50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Porast broja novozaposlenih u turističkom sektoru</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Br. </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80.000,00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100.000,00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8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Hrvatski zavod za statistiku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7"/>
                <w:sz w:val="16"/>
                <w:szCs w:val="16"/>
                <w:lang w:eastAsia="hr-HR"/>
              </w:rPr>
              <w:t>Jednom 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4"/>
                <w:sz w:val="20"/>
                <w:szCs w:val="20"/>
                <w:lang w:eastAsia="hr-HR"/>
              </w:rPr>
              <w:t xml:space="preserve">6c2 - </w:t>
            </w:r>
            <w:r w:rsidRPr="00576C1D">
              <w:rPr>
                <w:rFonts w:ascii="Times New Roman" w:eastAsia="AngsanaUPC" w:hAnsi="Times New Roman" w:cs="Times New Roman"/>
                <w:b/>
                <w:bCs/>
                <w:iCs/>
                <w:sz w:val="20"/>
                <w:szCs w:val="20"/>
                <w:lang w:eastAsia="lt-LT"/>
              </w:rPr>
              <w:t>Povećanje atraktivnosti i održivo korištenje prirodne baštine</w:t>
            </w:r>
          </w:p>
        </w:tc>
      </w:tr>
      <w:tr w:rsidR="00FC3F35" w:rsidRPr="00576C1D" w:rsidTr="00FC3F35">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lastRenderedPageBreak/>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87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6c21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Porast broja očekivanih posjeta pomognutim zaštićenim područjima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2,360.483,00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2,596.531,00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9"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Javne ustanove za upravljanje ZP-ima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013FAE" w:rsidRDefault="00013FAE"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z w:val="24"/>
          <w:szCs w:val="24"/>
          <w:lang w:eastAsia="hr-HR"/>
        </w:rPr>
      </w:pPr>
    </w:p>
    <w:p w:rsidR="00013FAE" w:rsidRDefault="00013FAE">
      <w:pP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br w:type="page"/>
      </w: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će biti podržane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Default="00FC3F35" w:rsidP="00FC3F35">
      <w:pPr>
        <w:widowControl w:val="0"/>
        <w:shd w:val="clear" w:color="auto" w:fill="FFFFFF"/>
        <w:autoSpaceDE w:val="0"/>
        <w:autoSpaceDN w:val="0"/>
        <w:adjustRightInd w:val="0"/>
        <w:spacing w:before="504" w:after="0" w:line="278" w:lineRule="exact"/>
        <w:ind w:left="538" w:right="442"/>
        <w:rPr>
          <w:rFonts w:ascii="Times New Roman" w:eastAsia="Times New Roman" w:hAnsi="Times New Roman" w:cs="Times New Roman"/>
          <w:b/>
          <w:bCs/>
          <w:i/>
          <w:iCs/>
          <w:color w:val="000000"/>
          <w:spacing w:val="-2"/>
          <w:sz w:val="24"/>
          <w:szCs w:val="24"/>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1"/>
        <w:gridCol w:w="10603"/>
      </w:tblGrid>
      <w:tr w:rsidR="00492C0A" w:rsidRPr="005E763C" w:rsidTr="00492C0A">
        <w:tc>
          <w:tcPr>
            <w:tcW w:w="4531" w:type="dxa"/>
            <w:vAlign w:val="center"/>
          </w:tcPr>
          <w:p w:rsidR="00492C0A" w:rsidRPr="00576C1D" w:rsidRDefault="00492C0A"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p w:rsidR="00492C0A" w:rsidRPr="00593567" w:rsidRDefault="00492C0A" w:rsidP="00A552D9">
            <w:pPr>
              <w:widowControl w:val="0"/>
              <w:shd w:val="clear" w:color="auto" w:fill="FFFFFF"/>
              <w:autoSpaceDE w:val="0"/>
              <w:autoSpaceDN w:val="0"/>
              <w:adjustRightInd w:val="0"/>
              <w:rPr>
                <w:rFonts w:ascii="Times New Roman" w:hAnsi="Times New Roman"/>
                <w:sz w:val="24"/>
                <w:szCs w:val="24"/>
              </w:rPr>
            </w:pPr>
          </w:p>
        </w:tc>
        <w:tc>
          <w:tcPr>
            <w:tcW w:w="10603" w:type="dxa"/>
            <w:vAlign w:val="center"/>
          </w:tcPr>
          <w:p w:rsidR="00492C0A" w:rsidRPr="00593567"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6c - Očuvanje, zaštita, promicanje i razvoj prirodne i kulturne baštine</w:t>
            </w:r>
          </w:p>
        </w:tc>
      </w:tr>
      <w:tr w:rsidR="00492C0A" w:rsidRPr="005E763C" w:rsidTr="00492C0A">
        <w:tc>
          <w:tcPr>
            <w:tcW w:w="15134" w:type="dxa"/>
            <w:gridSpan w:val="2"/>
            <w:vAlign w:val="center"/>
          </w:tcPr>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Glavne ciljne skupine i korisnici</w:t>
            </w:r>
          </w:p>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6c1</w:t>
            </w:r>
          </w:p>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Državna tijela i institucije, tijela regionalne i lokalne samouprave, vlasnici kulturnih dobara, lokalno stanovništvo</w:t>
            </w:r>
          </w:p>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6c2</w:t>
            </w:r>
          </w:p>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Državna tijela i institucije, javne ustanove za upravljanje zaštićenim područjima/područjima unutar mreže Natura 2000 na nacionalnoj i regionalnoj/lokalnoj razini, tijela lokalne vlasti, privatni sektor, pravne osobe koje upravljaju državnim šumama i šumskim zemljištima, OCD-ovi (organizacije civilnog društva)</w:t>
            </w:r>
          </w:p>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Primjeri aktivnosti koje se financiraju kako bi se postigli specifični ciljevi</w:t>
            </w:r>
          </w:p>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6c 1</w:t>
            </w:r>
          </w:p>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obnova kulturnih dobara (arheološki lokaliteti, industrijska baština, utvrde,  dvorci i kurije, , palače, tradicijsko graditeljstvo) te gradnja vezane infrastrukture kao i poboljšanje usluga na lokacijama kulturne baštine</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te stvaranje novih usluga koje će doprinijeti integriranom razvoju turizma i poboljšati 10 regionalnih odredišnih skupina;</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w:t>
            </w:r>
            <w:r w:rsidRPr="00C832F1">
              <w:rPr>
                <w:rFonts w:ascii="Times New Roman" w:hAnsi="Times New Roman"/>
              </w:rPr>
              <w:tab/>
              <w:t>poboljšanje sustava upravljanja kulturnom baštinom izradom  planova upravljanja, te konzervatorskih analiza i smjernica ;</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w:t>
            </w:r>
            <w:r w:rsidRPr="00C832F1">
              <w:rPr>
                <w:rFonts w:ascii="Times New Roman" w:hAnsi="Times New Roman"/>
              </w:rPr>
              <w:tab/>
              <w:t>podizanje javne svijesti obrazovanjem o kulturnoj baštini i njenom promocijom s ciljem povećanja vidljivosti .  Također je uključena promocija i promidžba kulturnih dobara u turističke svrhe;</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w:t>
            </w:r>
            <w:r>
              <w:rPr>
                <w:rFonts w:ascii="Times New Roman" w:hAnsi="Times New Roman"/>
              </w:rPr>
              <w:tab/>
              <w:t>aktivnosti pripreme projekta .</w:t>
            </w:r>
          </w:p>
        </w:tc>
      </w:tr>
    </w:tbl>
    <w:p w:rsidR="00EC613D" w:rsidRDefault="00EC613D"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b/>
          <w:i/>
          <w:i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i/>
          <w:iCs/>
          <w:color w:val="000000"/>
          <w:spacing w:val="1"/>
          <w:sz w:val="24"/>
          <w:szCs w:val="24"/>
          <w:lang w:eastAsia="hr-HR"/>
        </w:rPr>
        <w:t>2.A.6.2 Vodeća načela za odabir operacija</w:t>
      </w:r>
    </w:p>
    <w:tbl>
      <w:tblPr>
        <w:tblStyle w:val="TableGrid"/>
        <w:tblW w:w="0" w:type="auto"/>
        <w:tblLook w:val="04A0" w:firstRow="1" w:lastRow="0" w:firstColumn="1" w:lastColumn="0" w:noHBand="0" w:noVBand="1"/>
      </w:tblPr>
      <w:tblGrid>
        <w:gridCol w:w="4531"/>
        <w:gridCol w:w="10886"/>
      </w:tblGrid>
      <w:tr w:rsidR="00EC613D" w:rsidRPr="005E763C" w:rsidTr="00492C0A">
        <w:tc>
          <w:tcPr>
            <w:tcW w:w="4531" w:type="dxa"/>
            <w:vAlign w:val="center"/>
          </w:tcPr>
          <w:p w:rsidR="00492C0A" w:rsidRPr="00576C1D" w:rsidRDefault="00492C0A"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p w:rsidR="00492C0A" w:rsidRPr="00593567" w:rsidRDefault="00492C0A" w:rsidP="00A552D9">
            <w:pPr>
              <w:widowControl w:val="0"/>
              <w:shd w:val="clear" w:color="auto" w:fill="FFFFFF"/>
              <w:autoSpaceDE w:val="0"/>
              <w:autoSpaceDN w:val="0"/>
              <w:adjustRightInd w:val="0"/>
              <w:rPr>
                <w:rFonts w:ascii="Times New Roman" w:hAnsi="Times New Roman"/>
                <w:sz w:val="24"/>
                <w:szCs w:val="24"/>
              </w:rPr>
            </w:pPr>
          </w:p>
        </w:tc>
        <w:tc>
          <w:tcPr>
            <w:tcW w:w="10886" w:type="dxa"/>
            <w:vAlign w:val="center"/>
          </w:tcPr>
          <w:p w:rsidR="00492C0A" w:rsidRPr="00593567"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6c - Očuvanje, zaštita, promicanje i razvoj prirodne i kulturne baštine</w:t>
            </w:r>
          </w:p>
        </w:tc>
      </w:tr>
      <w:tr w:rsidR="00492C0A" w:rsidRPr="005E763C" w:rsidTr="00492C0A">
        <w:tc>
          <w:tcPr>
            <w:tcW w:w="15417" w:type="dxa"/>
            <w:gridSpan w:val="2"/>
            <w:vAlign w:val="center"/>
          </w:tcPr>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Specifični cilj 6cl</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 xml:space="preserve">MINK trenutno priprema poziv za dostavu prijedloga “Kulturna baština - priprema projekata i planova upravljanja”. Očekuje se da će se na kraju odabrani projekti tj.  oni koji će biti pripremljeni u sklopu ovog poziva, prijavljivati za provedbu unutar ovog specifičnog cilja. To je, naravno, podložno ishodima postupaka za pripremu projekta te vodećih načela navedenih u nastavku. Svi projekti birat će se u skladu s kriterijima odabira Nadzornog odbora. </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 xml:space="preserve">Ulaganja čiji je jedini cilj obnova ili održavanje baštine neće se financirati. Samo ulaganja za koja se može dokazati da će pozitivno doprinijeti lokalnom gospodarstvu i zapošljavanju te održivosti uzimat će se u obzir za financiranje. Nadalje, stopa spomenutog pozitivnog doprinosa (tj. najviši razvojni potencijal stvaranja novih usluga/radnih mjesta) bit će glavni kriterij pri odabiru ulaganja. </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 xml:space="preserve">Podržano ulaganje mora biti u skladu s i pridonositi karakteristikama/specifičnostima regionalnog odredišta u kojem se nalazi. </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 xml:space="preserve">Imajući na umu potencijalni utjecaj ulaganja u kulturnu baštinu na urbani razvoj, predviđeno je da se dio aktivnosti specifičnog cilja 6.3.1. provodi unutar integriranih teritorijalnih ulaganja. </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Specifični cilj 6c2</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Samo ulaganja koja su jasno povezana s održivom gospodarskom i društvenom valorizacijom zaštićenih područja će biti financirana. Prednost će imati nacionalni parkovi i parkovi prirode jer oni predstavljaju najveći potencijal u smislu jedinstvene vrijednosti.</w:t>
            </w:r>
          </w:p>
          <w:p w:rsidR="00492C0A"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 xml:space="preserve">Ulaganja za koja se može dokazati pozitivni doprinos lokalnom gospodarstvu i zapošljavanju te ekološka održivost bit će uzeta u obzir za financiranje, s tim da će prednost za financiranje </w:t>
            </w:r>
            <w:r w:rsidRPr="00C832F1">
              <w:rPr>
                <w:rFonts w:ascii="Times New Roman" w:hAnsi="Times New Roman"/>
              </w:rPr>
              <w:lastRenderedPageBreak/>
              <w:t>dobiti ulaganja s najvišim pozitivnim doprinosom. Ulaganja unutar zaštićenih područja prirode razvijat će se u skladu s planovima upravljanja za pojedino zaštićeno područje. Time će se osigurati ne samo da ulaganja doprinose ciljevima planova upravljanja, nego i sprečavanju potencijalnog pretjeranog korištenja sredstava. To uključuje usklađenost s maksimalnim dopuštenim brojem posjetitelja u danom vremenu, prilagođavanje sustava posjećivanja (uključujući takozvane „tihe dane“), ograničavanje na infrastrukturu manjeg opsega, itd.</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Specifični ciljevi 6cl i 6c2</w:t>
            </w:r>
          </w:p>
          <w:p w:rsidR="00492C0A" w:rsidRPr="00C832F1" w:rsidRDefault="00492C0A"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U smislu održivosti, predložena ulaganja ocjenjivat će se vezano za potencijal privlačenja komplementarnih privatnih ulaganja (financiranje isključivo iz privatnih  ?ili kroz tematski cilj TC3) jer je to ključno za iskorištavanje punog potencijala kulturnih dobara/sadržaja unutar ovog specifičnog cilja. Slični uvjeti će vrijediti za cjeloživotno obrazovanje/obrazovanje odraslih financirano iz tematskog cilja TC 10 (OP financiran iz ESF-a) u smislu obrazovanja za aktivnosti povezane sa kulturnim turizmom.</w:t>
            </w:r>
          </w:p>
        </w:tc>
      </w:tr>
    </w:tbl>
    <w:p w:rsidR="00013FAE" w:rsidRDefault="00013FAE" w:rsidP="00013FAE">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i/>
          <w:iCs/>
          <w:color w:val="000000"/>
          <w:spacing w:val="1"/>
          <w:sz w:val="24"/>
          <w:szCs w:val="24"/>
          <w:lang w:eastAsia="hr-HR"/>
        </w:rPr>
      </w:pPr>
    </w:p>
    <w:p w:rsidR="00FC3F35" w:rsidRDefault="00FC3F35" w:rsidP="00013FAE">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i/>
          <w:iCs/>
          <w:color w:val="000000"/>
          <w:spacing w:val="1"/>
          <w:sz w:val="24"/>
          <w:szCs w:val="24"/>
          <w:lang w:eastAsia="hr-HR"/>
        </w:rPr>
        <w:t xml:space="preserve">2.A.6.3 </w:t>
      </w:r>
      <w:r w:rsidRPr="00576C1D">
        <w:rPr>
          <w:rFonts w:ascii="Times New Roman" w:eastAsia="Times New Roman" w:hAnsi="Times New Roman" w:cs="Times New Roman"/>
          <w:b/>
          <w:i/>
          <w:iCs/>
          <w:color w:val="000000"/>
          <w:spacing w:val="1"/>
          <w:sz w:val="24"/>
          <w:szCs w:val="24"/>
          <w:lang w:eastAsia="hr-HR"/>
        </w:rPr>
        <w:t>Planirano korištenje financijskih instrumenata</w:t>
      </w:r>
      <w:r w:rsidRPr="00576C1D">
        <w:rPr>
          <w:rFonts w:ascii="Times New Roman" w:eastAsia="Times New Roman" w:hAnsi="Times New Roman" w:cs="Times New Roman"/>
          <w:color w:val="000000"/>
          <w:spacing w:val="1"/>
          <w:sz w:val="24"/>
          <w:szCs w:val="24"/>
          <w:lang w:eastAsia="hr-HR"/>
        </w:rPr>
        <w:t>(po potrebi)</w:t>
      </w:r>
    </w:p>
    <w:tbl>
      <w:tblPr>
        <w:tblStyle w:val="TableGrid"/>
        <w:tblW w:w="0" w:type="auto"/>
        <w:tblLook w:val="04A0" w:firstRow="1" w:lastRow="0" w:firstColumn="1" w:lastColumn="0" w:noHBand="0" w:noVBand="1"/>
      </w:tblPr>
      <w:tblGrid>
        <w:gridCol w:w="4531"/>
        <w:gridCol w:w="10886"/>
      </w:tblGrid>
      <w:tr w:rsidR="00EC613D" w:rsidRPr="005E763C" w:rsidTr="00EC613D">
        <w:tc>
          <w:tcPr>
            <w:tcW w:w="4531" w:type="dxa"/>
            <w:vAlign w:val="center"/>
          </w:tcPr>
          <w:p w:rsidR="00EC613D" w:rsidRPr="00576C1D" w:rsidRDefault="00EC613D"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p w:rsidR="00EC613D" w:rsidRPr="00593567" w:rsidRDefault="00EC613D" w:rsidP="00A552D9">
            <w:pPr>
              <w:widowControl w:val="0"/>
              <w:shd w:val="clear" w:color="auto" w:fill="FFFFFF"/>
              <w:autoSpaceDE w:val="0"/>
              <w:autoSpaceDN w:val="0"/>
              <w:adjustRightInd w:val="0"/>
              <w:rPr>
                <w:rFonts w:ascii="Times New Roman" w:hAnsi="Times New Roman"/>
                <w:sz w:val="24"/>
                <w:szCs w:val="24"/>
              </w:rPr>
            </w:pPr>
          </w:p>
        </w:tc>
        <w:tc>
          <w:tcPr>
            <w:tcW w:w="10886" w:type="dxa"/>
            <w:vAlign w:val="center"/>
          </w:tcPr>
          <w:p w:rsidR="00EC613D" w:rsidRPr="00593567" w:rsidRDefault="00EC613D"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6c - Očuvanje, zaštita, promicanje i razvoj prirodne i kulturne baštine</w:t>
            </w:r>
          </w:p>
        </w:tc>
      </w:tr>
      <w:tr w:rsidR="00EC613D" w:rsidRPr="005E763C" w:rsidTr="00EC613D">
        <w:tc>
          <w:tcPr>
            <w:tcW w:w="15417" w:type="dxa"/>
            <w:gridSpan w:val="2"/>
            <w:vAlign w:val="center"/>
          </w:tcPr>
          <w:p w:rsidR="00EC613D" w:rsidRPr="00C832F1" w:rsidRDefault="00EC613D"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2"/>
                <w:sz w:val="24"/>
                <w:szCs w:val="24"/>
              </w:rPr>
              <w:t>Nije predviđeno.</w:t>
            </w:r>
          </w:p>
        </w:tc>
      </w:tr>
    </w:tbl>
    <w:p w:rsidR="00013FAE" w:rsidRDefault="00013FAE" w:rsidP="00013FAE">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i/>
          <w:iCs/>
          <w:color w:val="000000"/>
          <w:spacing w:val="1"/>
          <w:sz w:val="24"/>
          <w:szCs w:val="24"/>
          <w:lang w:eastAsia="hr-HR"/>
        </w:rPr>
      </w:pPr>
    </w:p>
    <w:p w:rsidR="00FC3F35" w:rsidRPr="00576C1D" w:rsidRDefault="00FC3F35" w:rsidP="00013FAE">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t xml:space="preserve">2.A.6.4 </w:t>
      </w:r>
      <w:r w:rsidRPr="00576C1D">
        <w:rPr>
          <w:rFonts w:ascii="Times New Roman" w:eastAsia="Times New Roman" w:hAnsi="Times New Roman" w:cs="Times New Roman"/>
          <w:b/>
          <w:i/>
          <w:iCs/>
          <w:color w:val="000000"/>
          <w:spacing w:val="1"/>
          <w:sz w:val="24"/>
          <w:szCs w:val="24"/>
          <w:lang w:eastAsia="hr-HR"/>
        </w:rPr>
        <w:t>Planirano korištenje velikih projekata</w:t>
      </w:r>
      <w:r w:rsidRPr="00576C1D">
        <w:rPr>
          <w:rFonts w:ascii="Times New Roman" w:eastAsia="Times New Roman" w:hAnsi="Times New Roman" w:cs="Times New Roman"/>
          <w:color w:val="000000"/>
          <w:spacing w:val="1"/>
          <w:sz w:val="24"/>
          <w:szCs w:val="24"/>
          <w:lang w:eastAsia="hr-HR"/>
        </w:rPr>
        <w:t>(po potrebi)</w:t>
      </w:r>
    </w:p>
    <w:p w:rsidR="00FC3F35" w:rsidRPr="00576C1D" w:rsidRDefault="00FC3F35" w:rsidP="00FC3F35">
      <w:pPr>
        <w:widowControl w:val="0"/>
        <w:autoSpaceDE w:val="0"/>
        <w:autoSpaceDN w:val="0"/>
        <w:adjustRightInd w:val="0"/>
        <w:spacing w:after="115"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550"/>
        <w:gridCol w:w="100"/>
        <w:gridCol w:w="998"/>
        <w:gridCol w:w="747"/>
        <w:gridCol w:w="98"/>
        <w:gridCol w:w="797"/>
        <w:gridCol w:w="1104"/>
        <w:gridCol w:w="595"/>
        <w:gridCol w:w="8160"/>
      </w:tblGrid>
      <w:tr w:rsidR="00FC3F35" w:rsidRPr="00576C1D" w:rsidTr="00EC613D">
        <w:trPr>
          <w:trHeight w:hRule="exact" w:val="346"/>
        </w:trPr>
        <w:tc>
          <w:tcPr>
            <w:tcW w:w="255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1845" w:type="dxa"/>
            <w:gridSpan w:val="3"/>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6c</w:t>
            </w:r>
          </w:p>
        </w:tc>
        <w:tc>
          <w:tcPr>
            <w:tcW w:w="10754" w:type="dxa"/>
            <w:gridSpan w:val="5"/>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 xml:space="preserve">- </w:t>
            </w:r>
            <w:r w:rsidRPr="00576C1D">
              <w:rPr>
                <w:rFonts w:ascii="Times New Roman" w:eastAsia="Times New Roman" w:hAnsi="Times New Roman" w:cs="Times New Roman"/>
                <w:bCs/>
                <w:color w:val="000000"/>
                <w:sz w:val="20"/>
                <w:szCs w:val="20"/>
                <w:lang w:eastAsia="el-GR"/>
              </w:rPr>
              <w:t>Očuvanje, zaštita, promicanje i razvoj prirodne i kulturne baštine</w:t>
            </w:r>
          </w:p>
        </w:tc>
      </w:tr>
      <w:tr w:rsidR="00FC3F35" w:rsidRPr="00576C1D" w:rsidTr="00013FAE">
        <w:trPr>
          <w:trHeight w:hRule="exact" w:val="559"/>
        </w:trPr>
        <w:tc>
          <w:tcPr>
            <w:tcW w:w="2550"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Nije predviđeno.</w:t>
            </w:r>
          </w:p>
        </w:tc>
        <w:tc>
          <w:tcPr>
            <w:tcW w:w="100"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9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45"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9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0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9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160"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013FAE" w:rsidRDefault="00013FAE"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i/>
          <w:iCs/>
          <w:color w:val="000000"/>
          <w:sz w:val="24"/>
          <w:szCs w:val="24"/>
          <w:lang w:eastAsia="hr-HR"/>
        </w:rPr>
      </w:pPr>
    </w:p>
    <w:p w:rsidR="00FC3F35"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i/>
          <w:iCs/>
          <w:color w:val="000000"/>
          <w:sz w:val="24"/>
          <w:szCs w:val="24"/>
          <w:lang w:eastAsia="hr-HR"/>
        </w:rPr>
      </w:pPr>
      <w:r w:rsidRPr="00576C1D">
        <w:rPr>
          <w:rFonts w:ascii="Times New Roman" w:eastAsia="Times New Roman" w:hAnsi="Times New Roman" w:cs="Times New Roman"/>
          <w:b/>
          <w:bCs/>
          <w:i/>
          <w:iCs/>
          <w:color w:val="000000"/>
          <w:sz w:val="24"/>
          <w:szCs w:val="24"/>
          <w:lang w:eastAsia="hr-HR"/>
        </w:rPr>
        <w:t>2.A.6.5 Pokazatelji neposrednih rezultata po investicijskom prioritetu i, po potrebi, po kategoriji regije</w:t>
      </w:r>
    </w:p>
    <w:p w:rsidR="00013FAE" w:rsidRPr="00576C1D" w:rsidRDefault="00013FAE"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p>
    <w:p w:rsidR="00FC3F35" w:rsidRPr="00576C1D" w:rsidRDefault="00FC3F35" w:rsidP="00013FAE">
      <w:pPr>
        <w:widowControl w:val="0"/>
        <w:shd w:val="clear" w:color="auto" w:fill="FFFFFF"/>
        <w:autoSpaceDE w:val="0"/>
        <w:autoSpaceDN w:val="0"/>
        <w:adjustRightInd w:val="0"/>
        <w:spacing w:after="0" w:line="274" w:lineRule="exact"/>
        <w:ind w:left="539" w:right="88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102" w:type="dxa"/>
        <w:tblLayout w:type="fixed"/>
        <w:tblCellMar>
          <w:left w:w="40" w:type="dxa"/>
          <w:right w:w="40" w:type="dxa"/>
        </w:tblCellMar>
        <w:tblLook w:val="0000" w:firstRow="0" w:lastRow="0" w:firstColumn="0" w:lastColumn="0" w:noHBand="0" w:noVBand="0"/>
      </w:tblPr>
      <w:tblGrid>
        <w:gridCol w:w="1054"/>
        <w:gridCol w:w="1373"/>
        <w:gridCol w:w="1555"/>
        <w:gridCol w:w="1565"/>
        <w:gridCol w:w="2554"/>
        <w:gridCol w:w="1555"/>
        <w:gridCol w:w="1555"/>
        <w:gridCol w:w="1565"/>
        <w:gridCol w:w="1277"/>
        <w:gridCol w:w="1238"/>
      </w:tblGrid>
      <w:tr w:rsidR="00FC3F35" w:rsidRPr="00576C1D" w:rsidTr="00013FAE">
        <w:trPr>
          <w:trHeight w:hRule="exact" w:val="442"/>
          <w:tblHeader/>
        </w:trPr>
        <w:tc>
          <w:tcPr>
            <w:tcW w:w="242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18"/>
                <w:szCs w:val="18"/>
                <w:lang w:eastAsia="hr-HR"/>
              </w:rPr>
            </w:pPr>
            <w:r w:rsidRPr="00576C1D">
              <w:rPr>
                <w:rFonts w:ascii="Times New Roman" w:eastAsia="Times New Roman" w:hAnsi="Times New Roman" w:cs="Times New Roman"/>
                <w:b/>
                <w:bCs/>
                <w:color w:val="000000"/>
                <w:spacing w:val="-1"/>
                <w:sz w:val="18"/>
                <w:szCs w:val="18"/>
                <w:lang w:eastAsia="hr-HR"/>
              </w:rPr>
              <w:t xml:space="preserve">6c </w:t>
            </w:r>
            <w:r w:rsidRPr="00576C1D">
              <w:rPr>
                <w:rFonts w:ascii="Times New Roman" w:eastAsia="Times New Roman" w:hAnsi="Times New Roman" w:cs="Times New Roman"/>
                <w:b/>
                <w:color w:val="000000"/>
                <w:spacing w:val="-1"/>
                <w:sz w:val="18"/>
                <w:szCs w:val="18"/>
                <w:lang w:eastAsia="hr-HR"/>
              </w:rPr>
              <w:t xml:space="preserve">- </w:t>
            </w:r>
            <w:r w:rsidRPr="00576C1D">
              <w:rPr>
                <w:rFonts w:ascii="Times New Roman" w:eastAsia="Times New Roman" w:hAnsi="Times New Roman" w:cs="Times New Roman"/>
                <w:b/>
                <w:bCs/>
                <w:color w:val="000000"/>
                <w:sz w:val="18"/>
                <w:szCs w:val="18"/>
                <w:lang w:eastAsia="el-GR"/>
              </w:rPr>
              <w:t>Očuvanje, zaštita, promicanje i razvoj prirodne i kulturne baštine</w:t>
            </w:r>
          </w:p>
        </w:tc>
      </w:tr>
      <w:tr w:rsidR="00FC3F35" w:rsidRPr="00576C1D" w:rsidTr="00013FAE">
        <w:trPr>
          <w:trHeight w:hRule="exact" w:val="442"/>
        </w:trPr>
        <w:tc>
          <w:tcPr>
            <w:tcW w:w="10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013FAE">
        <w:trPr>
          <w:trHeight w:hRule="exact" w:val="432"/>
        </w:trPr>
        <w:tc>
          <w:tcPr>
            <w:tcW w:w="10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013FAE">
        <w:trPr>
          <w:trHeight w:hRule="exact" w:val="1901"/>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CO09</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5"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Održivi turizam: Porast očekivanog broja posjeta podržanim mjestima i atrakcijama kulturne i prirodne baštine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Posjeti/godina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310,000.00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5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kulture, Ministarstvo turizma, Ministarstvo zaštite okoliša i prirode</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013FAE">
        <w:trPr>
          <w:trHeight w:hRule="exact" w:val="2093"/>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lastRenderedPageBreak/>
              <w:t>6cl3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2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podržanih integriranih programa razvoja koji će poboljšati 10 regionalnih odredišnih skupina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32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Ministarstvo kulture</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013FAE">
        <w:trPr>
          <w:trHeight w:hRule="exact" w:val="1900"/>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6c22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podržane infrastrukture za posjetitelje u nacionalnim parkovima i parkovima prirode koji doprinose boljem upravljanju baštinom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0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okoliša</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Default="00FC3F35" w:rsidP="00FC3F35">
      <w:pPr>
        <w:widowControl w:val="0"/>
        <w:shd w:val="clear" w:color="auto" w:fill="FFFFFF"/>
        <w:autoSpaceDE w:val="0"/>
        <w:autoSpaceDN w:val="0"/>
        <w:adjustRightInd w:val="0"/>
        <w:spacing w:before="509" w:after="178" w:line="240" w:lineRule="auto"/>
        <w:ind w:left="538"/>
        <w:rPr>
          <w:rFonts w:ascii="Times New Roman" w:eastAsia="Times New Roman" w:hAnsi="Times New Roman" w:cs="Times New Roman"/>
          <w:b/>
          <w:bCs/>
          <w:color w:val="000000"/>
          <w:spacing w:val="-2"/>
          <w:sz w:val="24"/>
          <w:szCs w:val="24"/>
          <w:lang w:eastAsia="hr-HR"/>
        </w:rPr>
      </w:pPr>
      <w:r w:rsidRPr="00576C1D">
        <w:rPr>
          <w:rFonts w:ascii="Times New Roman" w:eastAsia="Times New Roman" w:hAnsi="Times New Roman" w:cs="Times New Roman"/>
          <w:b/>
          <w:bCs/>
          <w:color w:val="000000"/>
          <w:spacing w:val="-2"/>
          <w:sz w:val="24"/>
          <w:szCs w:val="24"/>
          <w:lang w:eastAsia="hr-HR"/>
        </w:rPr>
        <w:t>.A.4 Investicijski prioritet</w:t>
      </w:r>
    </w:p>
    <w:tbl>
      <w:tblPr>
        <w:tblStyle w:val="TableGrid"/>
        <w:tblW w:w="0" w:type="auto"/>
        <w:tblLook w:val="04A0" w:firstRow="1" w:lastRow="0" w:firstColumn="1" w:lastColumn="0" w:noHBand="0" w:noVBand="1"/>
      </w:tblPr>
      <w:tblGrid>
        <w:gridCol w:w="4531"/>
        <w:gridCol w:w="11028"/>
      </w:tblGrid>
      <w:tr w:rsidR="00EC613D" w:rsidRPr="005E763C" w:rsidTr="00EC613D">
        <w:tc>
          <w:tcPr>
            <w:tcW w:w="4531" w:type="dxa"/>
            <w:vAlign w:val="center"/>
          </w:tcPr>
          <w:p w:rsidR="00EC613D" w:rsidRPr="00593567" w:rsidRDefault="00EC613D" w:rsidP="00A552D9">
            <w:pPr>
              <w:widowControl w:val="0"/>
              <w:shd w:val="clear" w:color="auto" w:fill="FFFFFF"/>
              <w:autoSpaceDE w:val="0"/>
              <w:autoSpaceDN w:val="0"/>
              <w:adjustRightInd w:val="0"/>
              <w:rPr>
                <w:rFonts w:ascii="Times New Roman" w:hAnsi="Times New Roman"/>
                <w:sz w:val="24"/>
                <w:szCs w:val="24"/>
              </w:rPr>
            </w:pPr>
            <w:r w:rsidRPr="00C832F1">
              <w:rPr>
                <w:rFonts w:ascii="Times New Roman" w:hAnsi="Times New Roman"/>
                <w:b/>
                <w:bCs/>
                <w:color w:val="000000"/>
                <w:spacing w:val="-1"/>
                <w:sz w:val="18"/>
                <w:szCs w:val="18"/>
              </w:rPr>
              <w:t xml:space="preserve">Oznaka investicijskog prioriteta </w:t>
            </w:r>
          </w:p>
        </w:tc>
        <w:tc>
          <w:tcPr>
            <w:tcW w:w="11028" w:type="dxa"/>
            <w:vAlign w:val="center"/>
          </w:tcPr>
          <w:p w:rsidR="00EC613D" w:rsidRPr="00593567" w:rsidRDefault="00EC613D" w:rsidP="00A552D9">
            <w:pPr>
              <w:widowControl w:val="0"/>
              <w:shd w:val="clear" w:color="auto" w:fill="FFFFFF"/>
              <w:autoSpaceDE w:val="0"/>
              <w:autoSpaceDN w:val="0"/>
              <w:adjustRightInd w:val="0"/>
              <w:rPr>
                <w:rFonts w:ascii="Times New Roman" w:hAnsi="Times New Roman"/>
              </w:rPr>
            </w:pPr>
            <w:r>
              <w:rPr>
                <w:rFonts w:ascii="Times New Roman" w:hAnsi="Times New Roman"/>
              </w:rPr>
              <w:t>6e</w:t>
            </w:r>
          </w:p>
        </w:tc>
      </w:tr>
      <w:tr w:rsidR="00EC613D" w:rsidRPr="005E763C" w:rsidTr="00EC613D">
        <w:tc>
          <w:tcPr>
            <w:tcW w:w="4531" w:type="dxa"/>
            <w:vAlign w:val="center"/>
          </w:tcPr>
          <w:p w:rsidR="00EC613D" w:rsidRPr="00C832F1" w:rsidRDefault="00EC613D"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sz w:val="18"/>
                <w:szCs w:val="18"/>
              </w:rPr>
              <w:t>Naziv investicijskog prioriteta</w:t>
            </w:r>
          </w:p>
        </w:tc>
        <w:tc>
          <w:tcPr>
            <w:tcW w:w="11028" w:type="dxa"/>
            <w:vAlign w:val="center"/>
          </w:tcPr>
          <w:p w:rsidR="00EC613D" w:rsidRPr="00C832F1" w:rsidRDefault="00EC613D" w:rsidP="00A552D9">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bCs/>
                <w:color w:val="000000"/>
                <w:sz w:val="18"/>
                <w:szCs w:val="18"/>
                <w:lang w:eastAsia="el-GR"/>
              </w:rPr>
              <w:t>Aktivnosti kojima se poboljšava urbani okoliš, revitalizacija gradova, obnova i dekontaminacija nekadašnjeg industrijskog zemljišta (uključujući prenamijenjena područja), smanjenje zagađenja zraka i promicanje mjera za smanjenje buke</w:t>
            </w:r>
          </w:p>
        </w:tc>
      </w:tr>
    </w:tbl>
    <w:p w:rsidR="00EC613D" w:rsidRDefault="00EC613D" w:rsidP="00EC613D">
      <w:pPr>
        <w:widowControl w:val="0"/>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hr-HR"/>
        </w:rPr>
      </w:pPr>
    </w:p>
    <w:p w:rsidR="00EC613D" w:rsidRDefault="00EC613D" w:rsidP="00EC613D">
      <w:pPr>
        <w:widowControl w:val="0"/>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hr-HR"/>
        </w:rPr>
      </w:pPr>
    </w:p>
    <w:p w:rsidR="00FC3F35" w:rsidRDefault="00FC3F35" w:rsidP="00EC613D">
      <w:pPr>
        <w:widowControl w:val="0"/>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tbl>
      <w:tblPr>
        <w:tblStyle w:val="TableGrid"/>
        <w:tblW w:w="0" w:type="auto"/>
        <w:tblLook w:val="04A0" w:firstRow="1" w:lastRow="0" w:firstColumn="1" w:lastColumn="0" w:noHBand="0" w:noVBand="1"/>
      </w:tblPr>
      <w:tblGrid>
        <w:gridCol w:w="3241"/>
        <w:gridCol w:w="12728"/>
      </w:tblGrid>
      <w:tr w:rsidR="00EC613D" w:rsidRPr="00EC613D" w:rsidTr="00013FAE">
        <w:tc>
          <w:tcPr>
            <w:tcW w:w="0" w:type="auto"/>
            <w:vAlign w:val="center"/>
          </w:tcPr>
          <w:p w:rsidR="00EC613D" w:rsidRPr="00EC613D" w:rsidRDefault="00EC613D" w:rsidP="00A552D9">
            <w:pPr>
              <w:widowControl w:val="0"/>
              <w:shd w:val="clear" w:color="auto" w:fill="FFFFFF"/>
              <w:autoSpaceDE w:val="0"/>
              <w:autoSpaceDN w:val="0"/>
              <w:adjustRightInd w:val="0"/>
              <w:rPr>
                <w:rFonts w:ascii="Times New Roman" w:hAnsi="Times New Roman"/>
                <w:sz w:val="24"/>
                <w:szCs w:val="24"/>
              </w:rPr>
            </w:pPr>
            <w:r w:rsidRPr="00EC613D">
              <w:rPr>
                <w:rFonts w:ascii="Times New Roman" w:hAnsi="Times New Roman"/>
                <w:b/>
                <w:bCs/>
                <w:color w:val="000000"/>
                <w:sz w:val="24"/>
                <w:szCs w:val="24"/>
              </w:rPr>
              <w:t>Oznaka specifičnog cilja</w:t>
            </w:r>
          </w:p>
        </w:tc>
        <w:tc>
          <w:tcPr>
            <w:tcW w:w="0" w:type="auto"/>
            <w:vAlign w:val="center"/>
          </w:tcPr>
          <w:p w:rsidR="00EC613D" w:rsidRPr="00EC613D" w:rsidRDefault="00EC613D" w:rsidP="00A552D9">
            <w:pPr>
              <w:widowControl w:val="0"/>
              <w:shd w:val="clear" w:color="auto" w:fill="FFFFFF"/>
              <w:autoSpaceDE w:val="0"/>
              <w:autoSpaceDN w:val="0"/>
              <w:adjustRightInd w:val="0"/>
              <w:rPr>
                <w:rFonts w:ascii="Times New Roman" w:hAnsi="Times New Roman"/>
                <w:sz w:val="24"/>
                <w:szCs w:val="24"/>
              </w:rPr>
            </w:pPr>
            <w:r w:rsidRPr="00EC613D">
              <w:rPr>
                <w:rFonts w:ascii="Times New Roman" w:hAnsi="Times New Roman"/>
                <w:sz w:val="24"/>
                <w:szCs w:val="24"/>
              </w:rPr>
              <w:t>6e 1</w:t>
            </w:r>
          </w:p>
        </w:tc>
      </w:tr>
      <w:tr w:rsidR="00EC613D" w:rsidRPr="00EC613D" w:rsidTr="00013FAE">
        <w:tc>
          <w:tcPr>
            <w:tcW w:w="0" w:type="auto"/>
            <w:vAlign w:val="center"/>
          </w:tcPr>
          <w:p w:rsidR="00EC613D" w:rsidRPr="00EC613D" w:rsidRDefault="00EC613D" w:rsidP="00A552D9">
            <w:pPr>
              <w:widowControl w:val="0"/>
              <w:shd w:val="clear" w:color="auto" w:fill="FFFFFF"/>
              <w:autoSpaceDE w:val="0"/>
              <w:autoSpaceDN w:val="0"/>
              <w:adjustRightInd w:val="0"/>
              <w:rPr>
                <w:rFonts w:ascii="Times New Roman" w:hAnsi="Times New Roman"/>
                <w:sz w:val="24"/>
                <w:szCs w:val="24"/>
              </w:rPr>
            </w:pPr>
            <w:r w:rsidRPr="00EC613D">
              <w:rPr>
                <w:rFonts w:ascii="Times New Roman" w:hAnsi="Times New Roman"/>
                <w:b/>
                <w:sz w:val="24"/>
                <w:szCs w:val="24"/>
              </w:rPr>
              <w:t>Naziv investicijskog prioriteta</w:t>
            </w:r>
          </w:p>
        </w:tc>
        <w:tc>
          <w:tcPr>
            <w:tcW w:w="0" w:type="auto"/>
            <w:vAlign w:val="center"/>
          </w:tcPr>
          <w:p w:rsidR="00EC613D" w:rsidRPr="00EC613D" w:rsidRDefault="00EC613D" w:rsidP="00A552D9">
            <w:pPr>
              <w:widowControl w:val="0"/>
              <w:shd w:val="clear" w:color="auto" w:fill="FFFFFF"/>
              <w:autoSpaceDE w:val="0"/>
              <w:autoSpaceDN w:val="0"/>
              <w:adjustRightInd w:val="0"/>
              <w:rPr>
                <w:rFonts w:ascii="Times New Roman" w:hAnsi="Times New Roman"/>
                <w:color w:val="000000"/>
                <w:spacing w:val="-1"/>
                <w:sz w:val="24"/>
                <w:szCs w:val="24"/>
              </w:rPr>
            </w:pPr>
            <w:r w:rsidRPr="00EC613D">
              <w:rPr>
                <w:rFonts w:ascii="Times New Roman" w:hAnsi="Times New Roman"/>
                <w:bCs/>
                <w:color w:val="000000"/>
                <w:sz w:val="24"/>
                <w:szCs w:val="24"/>
                <w:lang w:eastAsia="el-GR"/>
              </w:rPr>
              <w:t>Aktivnosti kojima se poboljšava urbani okoliš, revitalizacija gradova, obnova i dekontaminacija nekadašnjeg industrijskog zemljišta (uključujući prenamijenjena područja), smanjenje zagađenja zraka i promicanje mjera za smanjenje buke</w:t>
            </w:r>
          </w:p>
        </w:tc>
      </w:tr>
      <w:tr w:rsidR="00EC613D" w:rsidRPr="00EC613D" w:rsidTr="00013FAE">
        <w:tc>
          <w:tcPr>
            <w:tcW w:w="0" w:type="auto"/>
            <w:vAlign w:val="center"/>
          </w:tcPr>
          <w:p w:rsidR="00EC613D" w:rsidRPr="00EC613D" w:rsidRDefault="00EC613D" w:rsidP="00A552D9">
            <w:pPr>
              <w:widowControl w:val="0"/>
              <w:shd w:val="clear" w:color="auto" w:fill="FFFFFF"/>
              <w:autoSpaceDE w:val="0"/>
              <w:autoSpaceDN w:val="0"/>
              <w:adjustRightInd w:val="0"/>
              <w:rPr>
                <w:rFonts w:ascii="Times New Roman" w:hAnsi="Times New Roman"/>
                <w:b/>
                <w:sz w:val="24"/>
                <w:szCs w:val="24"/>
              </w:rPr>
            </w:pPr>
            <w:r w:rsidRPr="00EC613D">
              <w:rPr>
                <w:rFonts w:ascii="Times New Roman" w:hAnsi="Times New Roman"/>
                <w:b/>
                <w:bCs/>
                <w:color w:val="000000"/>
                <w:sz w:val="24"/>
                <w:szCs w:val="24"/>
              </w:rPr>
              <w:t>Naziv specifičnog cilja</w:t>
            </w:r>
          </w:p>
        </w:tc>
        <w:tc>
          <w:tcPr>
            <w:tcW w:w="0" w:type="auto"/>
            <w:vAlign w:val="center"/>
          </w:tcPr>
          <w:p w:rsidR="00EC613D" w:rsidRPr="00EC613D" w:rsidRDefault="00EC613D" w:rsidP="00A552D9">
            <w:pPr>
              <w:widowControl w:val="0"/>
              <w:shd w:val="clear" w:color="auto" w:fill="FFFFFF"/>
              <w:autoSpaceDE w:val="0"/>
              <w:autoSpaceDN w:val="0"/>
              <w:adjustRightInd w:val="0"/>
              <w:rPr>
                <w:rFonts w:ascii="Times New Roman" w:hAnsi="Times New Roman"/>
                <w:bCs/>
                <w:color w:val="000000"/>
                <w:sz w:val="24"/>
                <w:szCs w:val="24"/>
                <w:lang w:eastAsia="el-GR"/>
              </w:rPr>
            </w:pPr>
            <w:r w:rsidRPr="00EC613D">
              <w:rPr>
                <w:rFonts w:ascii="Times New Roman" w:eastAsia="AngsanaUPC" w:hAnsi="Times New Roman"/>
                <w:bCs/>
                <w:sz w:val="24"/>
                <w:szCs w:val="24"/>
                <w:lang w:eastAsia="lt-LT"/>
              </w:rPr>
              <w:t>Unaprijeđeni sustav upravljanja i praćenja kakvoće zraka sukladno Uredbi 2008/50/EC-a</w:t>
            </w:r>
          </w:p>
        </w:tc>
      </w:tr>
      <w:tr w:rsidR="00EC613D" w:rsidRPr="00EC613D" w:rsidTr="00013FAE">
        <w:tc>
          <w:tcPr>
            <w:tcW w:w="0" w:type="auto"/>
            <w:vAlign w:val="center"/>
          </w:tcPr>
          <w:p w:rsidR="00EC613D" w:rsidRPr="00EC613D" w:rsidRDefault="00EC613D" w:rsidP="00A552D9">
            <w:pPr>
              <w:widowControl w:val="0"/>
              <w:shd w:val="clear" w:color="auto" w:fill="FFFFFF"/>
              <w:autoSpaceDE w:val="0"/>
              <w:autoSpaceDN w:val="0"/>
              <w:adjustRightInd w:val="0"/>
              <w:rPr>
                <w:rFonts w:ascii="Times New Roman" w:hAnsi="Times New Roman"/>
                <w:b/>
                <w:bCs/>
                <w:color w:val="000000"/>
                <w:sz w:val="24"/>
                <w:szCs w:val="24"/>
              </w:rPr>
            </w:pPr>
            <w:r w:rsidRPr="00EC613D">
              <w:rPr>
                <w:rFonts w:ascii="Times New Roman" w:hAnsi="Times New Roman"/>
                <w:b/>
                <w:bCs/>
                <w:color w:val="000000"/>
                <w:spacing w:val="-1"/>
                <w:sz w:val="24"/>
                <w:szCs w:val="24"/>
              </w:rPr>
              <w:t>Rezultati koje država članica nastoji postići uz potporu Unije</w:t>
            </w:r>
          </w:p>
        </w:tc>
        <w:tc>
          <w:tcPr>
            <w:tcW w:w="0" w:type="auto"/>
            <w:vAlign w:val="center"/>
          </w:tcPr>
          <w:p w:rsidR="00EC613D" w:rsidRPr="00EC613D" w:rsidRDefault="00EC613D" w:rsidP="00A552D9">
            <w:pPr>
              <w:widowControl w:val="0"/>
              <w:shd w:val="clear" w:color="auto" w:fill="FFFFFF"/>
              <w:autoSpaceDE w:val="0"/>
              <w:autoSpaceDN w:val="0"/>
              <w:adjustRightInd w:val="0"/>
              <w:rPr>
                <w:rFonts w:ascii="Times New Roman" w:eastAsia="AngsanaUPC" w:hAnsi="Times New Roman"/>
                <w:bCs/>
                <w:sz w:val="24"/>
                <w:szCs w:val="24"/>
                <w:lang w:eastAsia="lt-LT"/>
              </w:rPr>
            </w:pPr>
            <w:r w:rsidRPr="00EC613D">
              <w:rPr>
                <w:rFonts w:ascii="Times New Roman" w:eastAsia="AngsanaUPC" w:hAnsi="Times New Roman"/>
                <w:bCs/>
                <w:sz w:val="24"/>
                <w:szCs w:val="24"/>
                <w:lang w:eastAsia="lt-LT"/>
              </w:rPr>
              <w:t xml:space="preserve">Postoji potreba za uspostavljanjem odgovarajućeg sustava za nadzor i upravljanje onečišćenjem zraka sukladno Uredbi 2008/50 EC-a. Mjerna mreža i program za nadzor odgovaraju na potrebu zadovoljavanja preduvjeta za daljnje unapređenje kvalitete zraka u hrvatskim zonama i aglomeracijama. Mjerni program treba se nadograditi kako bi uzimao u obzir kvalitetu zraka i relevantne klimatske parametre radi sinergije kvalitete zraka i klimatske politike, a također se treba poboljšati program za nadzor klimatskih </w:t>
            </w:r>
            <w:r w:rsidRPr="00EC613D">
              <w:rPr>
                <w:rFonts w:ascii="Times New Roman" w:eastAsia="AngsanaUPC" w:hAnsi="Times New Roman"/>
                <w:bCs/>
                <w:sz w:val="24"/>
                <w:szCs w:val="24"/>
                <w:lang w:eastAsia="lt-LT"/>
              </w:rPr>
              <w:lastRenderedPageBreak/>
              <w:t>zagađivača kratkog vijeka (eng. Short-LivedClimateForcers,SLCF) i uvesti klimatski osjetljive mjere protiv onečišćenja zraka. Nadogradnja sustava podataka o kvaliteti zraka omogućava prostorni prikaz podataka o kvaliteti zraka, emisijama i rezultatima modeliranja.  Stoga je fokus ovog specifičnog cilja na nadogradnji i modernizaciji mreže za praćenje kvalitete zraka radi usklađivanja s minimalnim fiksnim brojem lokacija za mjerenja koju propisuje Uredba 2008/50 EC-a.</w:t>
            </w:r>
          </w:p>
        </w:tc>
      </w:tr>
    </w:tbl>
    <w:tbl>
      <w:tblPr>
        <w:tblW w:w="16018" w:type="dxa"/>
        <w:tblInd w:w="-102" w:type="dxa"/>
        <w:tblLayout w:type="fixed"/>
        <w:tblCellMar>
          <w:left w:w="40" w:type="dxa"/>
          <w:right w:w="40" w:type="dxa"/>
        </w:tblCellMar>
        <w:tblLook w:val="0000" w:firstRow="0" w:lastRow="0" w:firstColumn="0" w:lastColumn="0" w:noHBand="0" w:noVBand="0"/>
      </w:tblPr>
      <w:tblGrid>
        <w:gridCol w:w="4537"/>
        <w:gridCol w:w="11481"/>
      </w:tblGrid>
      <w:tr w:rsidR="00FC3F35" w:rsidRPr="00576C1D" w:rsidTr="00013FAE">
        <w:trPr>
          <w:trHeight w:hRule="exact" w:val="7533"/>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4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29" w:hanging="10"/>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U skladu s mjerama poboljšanja kvalitete zraka u urbanim područjima, preliminarni podaci Registra onečišćavanja okoliša pokazuju značajan doprinos zagađenosti zraka iz malih i srednjih ložišta u urbanim područjima.  Međutim, ti preliminarni podaci nisu dovoljni da osiguraju ulazne podatke o tome koliko zaista svaki sektor doprinosi zagađenosti zraka i raspodjeli izvora. Predviđen je razvoj inventara emisija visoke rezolucije za hrvatske zone i aglomeracije koji će osigurati ulazne podatke o stvarnom doprinosu zagađenosti zraka i raspodjelama izvora svakog sektora u smislu vremenskog i prostornog prikaza. Taj inventar emisija visoke rezolucije razvijat će se uz pomoć nacionalnih sredstava, ali istražit će se mogućnosti sufinanciranja iz programa LIFE. Ti podaci će omogućiti pokretanje mjera za poboljšanje kvalitete zraka kao što je zamjena/ modernizacija malih i srednjih ložišta koje koriste lož-ulje, prvenstveno u javnim zgradama (školama, bolnicama, vrtićima) koja premašuju granične vrijednosti emisija.</w:t>
            </w:r>
          </w:p>
          <w:p w:rsidR="00FC3F35" w:rsidRPr="00576C1D" w:rsidRDefault="00FC3F35" w:rsidP="00FC3F35">
            <w:pPr>
              <w:widowControl w:val="0"/>
              <w:shd w:val="clear" w:color="auto" w:fill="FFFFFF"/>
              <w:autoSpaceDE w:val="0"/>
              <w:autoSpaceDN w:val="0"/>
              <w:adjustRightInd w:val="0"/>
              <w:spacing w:after="0" w:line="274" w:lineRule="exact"/>
              <w:ind w:right="29" w:hanging="10"/>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29"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Unaprijeđeni sustav za praćenje kakvoće zraka pružat će informacije o prekoračenju graničnih vrijednosti okolnog zraka koje će biti temelj na kojem će lokalne i regionalne vlasti razvijati zajedničke inventare lokalnih emisija, planove za kakvoću zraka i kratkoročne planove za zone i aglomeracije u kojima dolazi do prekoračenja. Postoji potreba za jačanjem kapaciteta i potporom lokalnim i regionalnim vlastima kako bi izradile detaljne inventare lokalnih emisija za sve aglomeracije i zone u Hrvatskoj gdje nisu usklađene granične vrijednosti i vrijednosti okolnog zraka, te pripadajuće planove za kakvoću zraka i kratkoročne akcijske planove. Za ove aktivnosti predviđena su financijska sredstva iz integriranih projekata programa LIFE. Mape lokalne kvalitete zraka visoke rezolucije koje se planiraju izraditi pomoći će državnoj upravi da bolje razumije podrijetlo onečišćenja zraka, te posljedično u osmišljavanju najboljih rješenja za smanjenje problema. Planovi kvalitete zraka, akcijski planovi i programi za kontrolu onečišćenja definirat će najučinkovitije i najštedljivije mjere za poboljšanje kvalitete zraka i smanjenje emisija onečišćujućih tvari. Istražit će se mogućnost sufinanciranja tih aktivnosti iz programa LIFE .</w:t>
            </w:r>
          </w:p>
        </w:tc>
      </w:tr>
      <w:tr w:rsidR="00FC3F35" w:rsidRPr="00576C1D" w:rsidTr="00013FAE">
        <w:trPr>
          <w:trHeight w:hRule="exact" w:val="346"/>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sz w:val="18"/>
                <w:szCs w:val="18"/>
                <w:lang w:eastAsia="hr-HR"/>
              </w:rPr>
              <w:t>Oznaka specifičnog cilja</w:t>
            </w:r>
          </w:p>
        </w:tc>
        <w:tc>
          <w:tcPr>
            <w:tcW w:w="114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6e2</w:t>
            </w:r>
          </w:p>
        </w:tc>
      </w:tr>
      <w:tr w:rsidR="00FC3F35" w:rsidRPr="00576C1D" w:rsidTr="00013FAE">
        <w:trPr>
          <w:trHeight w:hRule="exact" w:val="336"/>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14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8"/>
                <w:szCs w:val="18"/>
                <w:lang w:eastAsia="hr-HR"/>
              </w:rPr>
            </w:pPr>
            <w:r w:rsidRPr="00576C1D">
              <w:rPr>
                <w:rFonts w:ascii="Times New Roman" w:eastAsia="AngsanaUPC" w:hAnsi="Times New Roman" w:cs="Times New Roman"/>
                <w:bCs/>
                <w:sz w:val="18"/>
                <w:szCs w:val="18"/>
                <w:lang w:eastAsia="lt-LT"/>
              </w:rPr>
              <w:t xml:space="preserve">Obnova </w:t>
            </w:r>
            <w:r w:rsidRPr="00576C1D">
              <w:rPr>
                <w:rFonts w:ascii="Times New Roman" w:eastAsia="AngsanaUPC" w:hAnsi="Times New Roman" w:cs="Times New Roman"/>
                <w:bCs/>
                <w:i/>
                <w:sz w:val="18"/>
                <w:szCs w:val="18"/>
                <w:lang w:eastAsia="lt-LT"/>
              </w:rPr>
              <w:t>brownfield</w:t>
            </w:r>
            <w:r w:rsidRPr="00576C1D">
              <w:rPr>
                <w:rFonts w:ascii="Times New Roman" w:eastAsia="AngsanaUPC" w:hAnsi="Times New Roman" w:cs="Times New Roman"/>
                <w:bCs/>
                <w:sz w:val="18"/>
                <w:szCs w:val="18"/>
                <w:lang w:eastAsia="lt-LT"/>
              </w:rPr>
              <w:t xml:space="preserve"> lokacija (bivša vojna i industrijska područja) unutar ITI-a</w:t>
            </w:r>
          </w:p>
        </w:tc>
      </w:tr>
      <w:tr w:rsidR="00FC3F35" w:rsidRPr="00576C1D" w:rsidTr="00013FAE">
        <w:trPr>
          <w:trHeight w:hRule="exact" w:val="4273"/>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lastRenderedPageBreak/>
              <w:t>Rezultati koje država članica nastoji postići uz potporu Unije</w:t>
            </w:r>
          </w:p>
        </w:tc>
        <w:tc>
          <w:tcPr>
            <w:tcW w:w="114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27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Urbana područja u Hrvatskoj imaju relativno dugi razvojni put što kao jednu od posljedica ima značajan broj napuštenih i neiskorištenih područja i infrastrukture . To su većinom stare industrijske zone i napušteni vojni kompleksi koji se u većini slučajeva nalaze u urbanim središtima. Prema podacima pribavljenim od gradova, u Zagrebu ima 175 ha </w:t>
            </w:r>
            <w:r w:rsidRPr="00576C1D">
              <w:rPr>
                <w:rFonts w:ascii="Times New Roman" w:eastAsia="Times New Roman" w:hAnsi="Times New Roman" w:cs="Times New Roman"/>
                <w:i/>
                <w:color w:val="000000"/>
                <w:sz w:val="24"/>
                <w:szCs w:val="24"/>
                <w:lang w:eastAsia="hr-HR"/>
              </w:rPr>
              <w:t>brownfield</w:t>
            </w:r>
            <w:r w:rsidRPr="00576C1D">
              <w:rPr>
                <w:rFonts w:ascii="Times New Roman" w:eastAsia="Times New Roman" w:hAnsi="Times New Roman" w:cs="Times New Roman"/>
                <w:color w:val="000000"/>
                <w:sz w:val="24"/>
                <w:szCs w:val="24"/>
                <w:lang w:eastAsia="hr-HR"/>
              </w:rPr>
              <w:t xml:space="preserve"> lokacija (tako su klasificirane), u Splitu ih je 140 ha, u Rijeci 40 ha a u Osijeku 8 ha, od čega se 10 lokacija smatra prioritetnim. U ovom trenutku, ta područja uglavnom predstavljaju nefunkcionalni dio grada; međutim, obnova takvih područja bi bila od značajne koristi da ih se prenamijeni za usluge usmjerene na zajednicu ili da se koriste za ulaganja u nekadašnje industrijske prostore. Provođenje ove vrste aktivnosti planirano je unutar ITI-ja te bi kao takvo osiguralo najbolju potencijalnu integraciju korištenja nekadašnjih industrijskih područja (tj. postojećih infrastruktura i dobara) s projektima drugih tematskih ciljeva koji će pružiti usluge i sadržaje unutar obnovljenih </w:t>
            </w:r>
            <w:r w:rsidRPr="00576C1D">
              <w:rPr>
                <w:rFonts w:ascii="Times New Roman" w:eastAsia="Times New Roman" w:hAnsi="Times New Roman" w:cs="Times New Roman"/>
                <w:i/>
                <w:color w:val="000000"/>
                <w:sz w:val="24"/>
                <w:szCs w:val="24"/>
                <w:lang w:eastAsia="hr-HR"/>
              </w:rPr>
              <w:t>brownfield</w:t>
            </w:r>
            <w:r w:rsidRPr="00576C1D">
              <w:rPr>
                <w:rFonts w:ascii="Times New Roman" w:eastAsia="Times New Roman" w:hAnsi="Times New Roman" w:cs="Times New Roman"/>
                <w:color w:val="000000"/>
                <w:sz w:val="24"/>
                <w:szCs w:val="24"/>
                <w:lang w:eastAsia="hr-HR"/>
              </w:rPr>
              <w:t>lokacija te će se koristiti za ulaganja u nekadašnje industrijske prostore.</w:t>
            </w:r>
          </w:p>
        </w:tc>
      </w:tr>
    </w:tbl>
    <w:p w:rsidR="00013FAE" w:rsidRDefault="00013FAE"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013FAE" w:rsidRDefault="00013FAE">
      <w:pP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br w:type="page"/>
      </w: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5"/>
                <w:sz w:val="20"/>
                <w:szCs w:val="20"/>
                <w:lang w:eastAsia="hr-HR"/>
              </w:rPr>
              <w:t xml:space="preserve">6el - </w:t>
            </w:r>
            <w:r w:rsidRPr="00576C1D">
              <w:rPr>
                <w:rFonts w:ascii="Times New Roman" w:eastAsia="AngsanaUPC" w:hAnsi="Times New Roman" w:cs="Times New Roman"/>
                <w:b/>
                <w:bCs/>
                <w:sz w:val="18"/>
                <w:szCs w:val="18"/>
                <w:lang w:eastAsia="lt-LT"/>
              </w:rPr>
              <w:t>Unaprijeđeni sustav upravljanja i praćenja kakvoće zraka sukladno Uredbi 2008/50/EC-a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24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6ell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Udio stanovništva obuhvaćen podacima o kvaliteti zraka u urbanim područjima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100,00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Ministarstvo za zaštitu okoliša, Državni hidrometeorološki zavod</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5"/>
                <w:sz w:val="20"/>
                <w:szCs w:val="20"/>
                <w:lang w:eastAsia="hr-HR"/>
              </w:rPr>
              <w:t xml:space="preserve">6e2 - </w:t>
            </w:r>
            <w:r w:rsidRPr="00576C1D">
              <w:rPr>
                <w:rFonts w:ascii="Times New Roman" w:eastAsia="AngsanaUPC" w:hAnsi="Times New Roman" w:cs="Times New Roman"/>
                <w:b/>
                <w:bCs/>
                <w:sz w:val="18"/>
                <w:szCs w:val="18"/>
                <w:lang w:eastAsia="lt-LT"/>
              </w:rPr>
              <w:t xml:space="preserve">Obnova </w:t>
            </w:r>
            <w:r w:rsidRPr="00576C1D">
              <w:rPr>
                <w:rFonts w:ascii="Times New Roman" w:eastAsia="AngsanaUPC" w:hAnsi="Times New Roman" w:cs="Times New Roman"/>
                <w:b/>
                <w:bCs/>
                <w:i/>
                <w:sz w:val="18"/>
                <w:szCs w:val="18"/>
                <w:lang w:eastAsia="lt-LT"/>
              </w:rPr>
              <w:t>brownfield</w:t>
            </w:r>
            <w:r w:rsidRPr="00576C1D">
              <w:rPr>
                <w:rFonts w:ascii="Times New Roman" w:eastAsia="AngsanaUPC" w:hAnsi="Times New Roman" w:cs="Times New Roman"/>
                <w:b/>
                <w:bCs/>
                <w:sz w:val="18"/>
                <w:szCs w:val="18"/>
                <w:lang w:eastAsia="lt-LT"/>
              </w:rPr>
              <w:t xml:space="preserve"> lokacija (bivša vojna i industrijska područja) unutar ITI-a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430"/>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6e21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Površina obnovljenih industrijskih zona u urbanim područjima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m</w:t>
            </w:r>
            <w:r w:rsidRPr="00576C1D">
              <w:rPr>
                <w:rFonts w:ascii="Times New Roman" w:eastAsia="Times New Roman" w:hAnsi="Times New Roman" w:cs="Times New Roman"/>
                <w:bCs/>
                <w:color w:val="000000"/>
                <w:sz w:val="16"/>
                <w:szCs w:val="16"/>
                <w:vertAlign w:val="superscript"/>
                <w:lang w:eastAsia="hr-HR"/>
              </w:rPr>
              <w:t>2</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50.000,00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9"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Izvješće </w:t>
            </w:r>
            <w:r w:rsidRPr="00576C1D">
              <w:rPr>
                <w:rFonts w:ascii="Times New Roman" w:eastAsia="Times New Roman" w:hAnsi="Times New Roman" w:cs="Times New Roman"/>
                <w:spacing w:val="-1"/>
                <w:sz w:val="16"/>
                <w:szCs w:val="16"/>
                <w:lang w:eastAsia="hr-HR"/>
              </w:rPr>
              <w:t xml:space="preserve">o stanju u prostoru, </w:t>
            </w:r>
            <w:r w:rsidRPr="00576C1D">
              <w:rPr>
                <w:rFonts w:ascii="Times New Roman" w:eastAsia="Times New Roman" w:hAnsi="Times New Roman" w:cs="Times New Roman"/>
                <w:color w:val="000000"/>
                <w:spacing w:val="-1"/>
                <w:sz w:val="16"/>
                <w:szCs w:val="16"/>
                <w:lang w:eastAsia="hr-HR"/>
              </w:rPr>
              <w:t>Informacijski sustav prostornog uređenja (ISPU)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pacing w:val="-2"/>
                <w:sz w:val="16"/>
                <w:szCs w:val="16"/>
                <w:lang w:eastAsia="hr-HR"/>
              </w:rPr>
              <w:t>jednom</w:t>
            </w: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 xml:space="preserve">2.A.6 Aktivnosti koje će biti podržane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Default="00FC3F35" w:rsidP="00FC3F35">
      <w:pPr>
        <w:widowControl w:val="0"/>
        <w:shd w:val="clear" w:color="auto" w:fill="FFFFFF"/>
        <w:autoSpaceDE w:val="0"/>
        <w:autoSpaceDN w:val="0"/>
        <w:adjustRightInd w:val="0"/>
        <w:spacing w:before="504" w:after="0" w:line="278" w:lineRule="exact"/>
        <w:ind w:left="538" w:right="442"/>
        <w:rPr>
          <w:rFonts w:ascii="Times New Roman" w:eastAsia="Times New Roman" w:hAnsi="Times New Roman" w:cs="Times New Roman"/>
          <w:b/>
          <w:bCs/>
          <w:i/>
          <w:iCs/>
          <w:color w:val="000000"/>
          <w:spacing w:val="-2"/>
          <w:sz w:val="24"/>
          <w:szCs w:val="24"/>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4531"/>
        <w:gridCol w:w="11170"/>
      </w:tblGrid>
      <w:tr w:rsidR="00EC613D" w:rsidRPr="005E763C" w:rsidTr="00EC613D">
        <w:tc>
          <w:tcPr>
            <w:tcW w:w="4531" w:type="dxa"/>
            <w:vAlign w:val="center"/>
          </w:tcPr>
          <w:p w:rsidR="00EC613D" w:rsidRPr="00576C1D" w:rsidRDefault="00EC613D"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p w:rsidR="00EC613D" w:rsidRPr="00C832F1" w:rsidRDefault="00EC613D" w:rsidP="00A552D9">
            <w:pPr>
              <w:widowControl w:val="0"/>
              <w:shd w:val="clear" w:color="auto" w:fill="FFFFFF"/>
              <w:autoSpaceDE w:val="0"/>
              <w:autoSpaceDN w:val="0"/>
              <w:adjustRightInd w:val="0"/>
              <w:rPr>
                <w:rFonts w:ascii="Times New Roman" w:hAnsi="Times New Roman"/>
              </w:rPr>
            </w:pPr>
          </w:p>
        </w:tc>
        <w:tc>
          <w:tcPr>
            <w:tcW w:w="11170" w:type="dxa"/>
            <w:vAlign w:val="center"/>
          </w:tcPr>
          <w:p w:rsidR="00EC613D" w:rsidRPr="00C832F1" w:rsidRDefault="00EC613D"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bCs/>
                <w:color w:val="000000"/>
                <w:sz w:val="18"/>
                <w:szCs w:val="18"/>
                <w:lang w:eastAsia="el-GR"/>
              </w:rPr>
              <w:t>6e - Aktivnosti kojima se poboljšava urbani okoliš, revitalizacija gradova, obnova i dekontaminacija nekadašnjeg industrijskog zemljišta (uključujući prenamijenjena područja), smanjenje zagađenja zraka i promicanje mjera za smanjenje buke</w:t>
            </w:r>
          </w:p>
        </w:tc>
      </w:tr>
      <w:tr w:rsidR="00EC613D" w:rsidRPr="005E763C" w:rsidTr="00EC613D">
        <w:tc>
          <w:tcPr>
            <w:tcW w:w="15701" w:type="dxa"/>
            <w:gridSpan w:val="2"/>
            <w:vAlign w:val="center"/>
          </w:tcPr>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Glavne ciljane skupine i korisnici</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6el Gradovi, tijela lokalne vlasti, javne usluge, udruge gradova/općina, NVO-ovi</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 xml:space="preserve">6e2 Tijela regionalne i lokalne samouprave (gradovi), javne usluge, udruge gradova/općina, NVO-ovi </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Primjeri aktivnosti koje će se financirati za postizanje specifičnog cilja 6e1</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w:t>
            </w:r>
            <w:r w:rsidRPr="00C832F1">
              <w:rPr>
                <w:rFonts w:ascii="Times New Roman" w:hAnsi="Times New Roman"/>
                <w:bCs/>
                <w:color w:val="000000"/>
                <w:sz w:val="18"/>
                <w:szCs w:val="18"/>
                <w:lang w:eastAsia="el-GR"/>
              </w:rPr>
              <w:tab/>
              <w:t>Mjere poboljšanja kvalitete zraka u gradovima s preko 10.000 stanovnika gdje postoji nesukladnost s graničnim vrijednostima okolnog zraka, uključujući eliminiranje nesukladnosti kvalitete zraka i uspostavljanje odgovarajućeg sustava praćenja i izvješćivanja;</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w:t>
            </w:r>
            <w:r w:rsidRPr="00C832F1">
              <w:rPr>
                <w:rFonts w:ascii="Times New Roman" w:hAnsi="Times New Roman"/>
                <w:bCs/>
                <w:color w:val="000000"/>
                <w:sz w:val="18"/>
                <w:szCs w:val="18"/>
                <w:lang w:eastAsia="el-GR"/>
              </w:rPr>
              <w:tab/>
              <w:t>Nadogradnja i osuvremenjivanje mreže za praćenje kakvoće zraka s ciljem usklađivanja sa zahtijevanim minimumom lokacija za fiksna mjerenja prema Direktivi o kvaliteti zraka 2008/50 EZ-a te zamjena i nabava instrumenata za praćenje fizikalnih i kemijskih svojstava zraka, lebdećih čestica i padalina, u skladu sa zahtijevanim programom praćenja. Nadogradnja opreme za praćenje u svrhu analize i procjene raspodjele izvora. Program za mjerenje potrebno je nadograditi kako bi uzimao u obzir kvalitetu zraka i relevantne klimatske parametre kako bi omogućio sinergije politike kvalitete zraka i klimatske politike, a potrebno je i poboljšati program za praćenje klimatskih zagađivača kratkog vijeka (SLCF) i uvesti klimatski osjetljive mjere zagađenosti zraka;•</w:t>
            </w:r>
            <w:r w:rsidRPr="00C832F1">
              <w:rPr>
                <w:rFonts w:ascii="Times New Roman" w:hAnsi="Times New Roman"/>
                <w:bCs/>
                <w:color w:val="000000"/>
                <w:sz w:val="18"/>
                <w:szCs w:val="18"/>
                <w:lang w:eastAsia="el-GR"/>
              </w:rPr>
              <w:tab/>
              <w:t>nadogradnja i nabava novih kemijsko-laboratorijskih instrumenata za utvrđivanje kemijskog sastava lebdećih čestica i padalina radi ispunjenja svih obveza prema zakonskim odredbama o kvaliteti zraka i studijama zdravstvenih učinaka. To uključuje mjerenje količine aerosola (EC/OC), hlapivih organskih spojeva, poliaromatskihhidrokarbona, elemenata u tragovima, žive u zraku, itd. Nadogradnja mjernog laboratorija za kalibraciju i osiguranje sljedivosti će poboljšati kvalitetu podataka i usklađenost s europskim normama i direktivama;</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lastRenderedPageBreak/>
              <w:t>•</w:t>
            </w:r>
            <w:r w:rsidRPr="00C832F1">
              <w:rPr>
                <w:rFonts w:ascii="Times New Roman" w:hAnsi="Times New Roman"/>
                <w:bCs/>
                <w:color w:val="000000"/>
                <w:sz w:val="18"/>
                <w:szCs w:val="18"/>
                <w:lang w:eastAsia="el-GR"/>
              </w:rPr>
              <w:tab/>
              <w:t>razvoj sustava upravljanja kvalitetom zraka: nadogradnja i razvoj kapaciteta, računalnih sredstava i infrastrukture za modeliranje kvalitete zraka kako bi bilo moguće ocijeniti kvalitetu zraka u zonama i aglomeracijama. Nadogradnja sustava upravljanja informacijama i podacima o kvaliteti zraka koji obuhvaća razvoj i izradu arhitektura, politika, praksa i postupaka potrebnih za upravljanje životnim ciklusom informacija na učinkovit način. Uvođenje geoprostornog informacijskog sustava za prostorno prikazivanje svih podataka o kvaliteti zraka, emisijama i rezultatima modeliranja;</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w:t>
            </w:r>
            <w:r w:rsidRPr="00C832F1">
              <w:rPr>
                <w:rFonts w:ascii="Times New Roman" w:hAnsi="Times New Roman"/>
                <w:bCs/>
                <w:color w:val="000000"/>
                <w:sz w:val="18"/>
                <w:szCs w:val="18"/>
                <w:lang w:eastAsia="el-GR"/>
              </w:rPr>
              <w:tab/>
              <w:t>jačanje kapaciteta svih nacionalnih i regionalnih tijela koja su odgovorna za provedbu EU legislative o kvaliteti zraka;</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w:t>
            </w:r>
            <w:r w:rsidRPr="00C832F1">
              <w:rPr>
                <w:rFonts w:ascii="Times New Roman" w:hAnsi="Times New Roman"/>
                <w:bCs/>
                <w:color w:val="000000"/>
                <w:sz w:val="18"/>
                <w:szCs w:val="18"/>
                <w:lang w:eastAsia="el-GR"/>
              </w:rPr>
              <w:tab/>
              <w:t>aktivnosti pripreme projekta .</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6e2</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w:t>
            </w:r>
            <w:r w:rsidRPr="00C832F1">
              <w:rPr>
                <w:rFonts w:ascii="Times New Roman" w:hAnsi="Times New Roman"/>
                <w:bCs/>
                <w:color w:val="000000"/>
                <w:sz w:val="18"/>
                <w:szCs w:val="18"/>
                <w:lang w:eastAsia="el-GR"/>
              </w:rPr>
              <w:tab/>
              <w:t>Revitalizacija pojedinih dijelova gradova - industrijskih zona, bivših vojnih objekata  itd.,  koja će omogućiti korištenje već postojećih (fizičkih) resursa unutar urbanih područja bez dodatnog opterećivanja prostora i okoliša;</w:t>
            </w:r>
          </w:p>
          <w:p w:rsidR="00EC613D" w:rsidRPr="00C832F1"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w:t>
            </w:r>
            <w:r w:rsidRPr="00C832F1">
              <w:rPr>
                <w:rFonts w:ascii="Times New Roman" w:hAnsi="Times New Roman"/>
                <w:bCs/>
                <w:color w:val="000000"/>
                <w:sz w:val="18"/>
                <w:szCs w:val="18"/>
                <w:lang w:eastAsia="el-GR"/>
              </w:rPr>
              <w:tab/>
              <w:t>prostorno uređenje povezano sa zasebnim dijelovima grada za koje je određena revitalizacija (urbana preobrazba), uključujući razvoj prostornih planova gradova i općina te detaljnijih prostornih planova za područja bivših industrijskih zona su preduvjet za izradu odgovarajućih planova prenamijene i dosljedno provođenje komplementarnih mjera u urbanim područjima;</w:t>
            </w:r>
          </w:p>
          <w:p w:rsidR="00EC613D" w:rsidRPr="00576C1D"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w:t>
            </w:r>
            <w:r w:rsidRPr="00C832F1">
              <w:rPr>
                <w:rFonts w:ascii="Times New Roman" w:hAnsi="Times New Roman"/>
                <w:bCs/>
                <w:color w:val="000000"/>
                <w:sz w:val="18"/>
                <w:szCs w:val="18"/>
                <w:lang w:eastAsia="el-GR"/>
              </w:rPr>
              <w:tab/>
              <w:t>aktivnosti pripreme i realizacije projekta.</w:t>
            </w:r>
          </w:p>
        </w:tc>
      </w:tr>
    </w:tbl>
    <w:p w:rsidR="00013FAE" w:rsidRDefault="00013FAE"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b/>
          <w:i/>
          <w:iCs/>
          <w:color w:val="000000"/>
          <w:spacing w:val="1"/>
          <w:sz w:val="24"/>
          <w:szCs w:val="24"/>
          <w:lang w:eastAsia="hr-HR"/>
        </w:rPr>
      </w:pPr>
    </w:p>
    <w:p w:rsidR="00FC3F35" w:rsidRDefault="00FC3F35"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b/>
          <w:i/>
          <w:iCs/>
          <w:color w:val="000000"/>
          <w:spacing w:val="1"/>
          <w:sz w:val="24"/>
          <w:szCs w:val="24"/>
          <w:lang w:eastAsia="hr-HR"/>
        </w:rPr>
      </w:pPr>
      <w:r w:rsidRPr="00576C1D">
        <w:rPr>
          <w:rFonts w:ascii="Times New Roman" w:eastAsia="Times New Roman" w:hAnsi="Times New Roman" w:cs="Times New Roman"/>
          <w:b/>
          <w:i/>
          <w:iCs/>
          <w:color w:val="000000"/>
          <w:spacing w:val="1"/>
          <w:sz w:val="24"/>
          <w:szCs w:val="24"/>
          <w:lang w:eastAsia="hr-HR"/>
        </w:rPr>
        <w:t>2.A.6.2 Vodeća načela za odabir operacija</w:t>
      </w:r>
    </w:p>
    <w:tbl>
      <w:tblPr>
        <w:tblStyle w:val="TableGrid"/>
        <w:tblW w:w="0" w:type="auto"/>
        <w:tblLook w:val="04A0" w:firstRow="1" w:lastRow="0" w:firstColumn="1" w:lastColumn="0" w:noHBand="0" w:noVBand="1"/>
      </w:tblPr>
      <w:tblGrid>
        <w:gridCol w:w="4531"/>
        <w:gridCol w:w="11170"/>
      </w:tblGrid>
      <w:tr w:rsidR="00EC613D" w:rsidRPr="005E763C" w:rsidTr="00D57817">
        <w:tc>
          <w:tcPr>
            <w:tcW w:w="4531" w:type="dxa"/>
            <w:vAlign w:val="center"/>
          </w:tcPr>
          <w:p w:rsidR="00EC613D" w:rsidRPr="00576C1D" w:rsidRDefault="00EC613D"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p w:rsidR="00EC613D" w:rsidRPr="00C832F1" w:rsidRDefault="00EC613D" w:rsidP="00A552D9">
            <w:pPr>
              <w:widowControl w:val="0"/>
              <w:shd w:val="clear" w:color="auto" w:fill="FFFFFF"/>
              <w:autoSpaceDE w:val="0"/>
              <w:autoSpaceDN w:val="0"/>
              <w:adjustRightInd w:val="0"/>
              <w:rPr>
                <w:rFonts w:ascii="Times New Roman" w:hAnsi="Times New Roman"/>
              </w:rPr>
            </w:pPr>
          </w:p>
        </w:tc>
        <w:tc>
          <w:tcPr>
            <w:tcW w:w="11170" w:type="dxa"/>
            <w:vAlign w:val="center"/>
          </w:tcPr>
          <w:p w:rsidR="00EC613D" w:rsidRPr="00C832F1" w:rsidRDefault="00EC613D"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bCs/>
                <w:color w:val="000000"/>
                <w:sz w:val="18"/>
                <w:szCs w:val="18"/>
                <w:lang w:eastAsia="el-GR"/>
              </w:rPr>
              <w:t>6e - Aktivnosti kojima se poboljšava urbani okoliš, revitalizacija gradova, obnova i dekontaminacija nekadašnjeg industrijskog zemljišta (uključujući prenamijenjena područja), smanjenje zagađenja zraka i promicanje mjera za smanjenje buke</w:t>
            </w:r>
          </w:p>
        </w:tc>
      </w:tr>
      <w:tr w:rsidR="00EC613D" w:rsidRPr="005E763C" w:rsidTr="00D57817">
        <w:tc>
          <w:tcPr>
            <w:tcW w:w="15701" w:type="dxa"/>
            <w:gridSpan w:val="2"/>
            <w:vAlign w:val="center"/>
          </w:tcPr>
          <w:p w:rsidR="00EC613D" w:rsidRPr="00576C1D" w:rsidRDefault="00EC613D"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C832F1">
              <w:rPr>
                <w:rFonts w:ascii="Times New Roman" w:hAnsi="Times New Roman"/>
                <w:bCs/>
                <w:color w:val="000000"/>
                <w:sz w:val="18"/>
                <w:szCs w:val="18"/>
                <w:lang w:eastAsia="el-GR"/>
              </w:rPr>
              <w:t>Specifični cilj 6e2 provodit će se u sklopu integriranih teritorijalnih ulaganja</w:t>
            </w:r>
          </w:p>
        </w:tc>
      </w:tr>
    </w:tbl>
    <w:p w:rsidR="00013FAE" w:rsidRDefault="00013FAE" w:rsidP="00013FAE">
      <w:pPr>
        <w:widowControl w:val="0"/>
        <w:shd w:val="clear" w:color="auto" w:fill="FFFFFF"/>
        <w:autoSpaceDE w:val="0"/>
        <w:autoSpaceDN w:val="0"/>
        <w:adjustRightInd w:val="0"/>
        <w:spacing w:after="187" w:line="240" w:lineRule="auto"/>
        <w:ind w:left="533"/>
        <w:rPr>
          <w:rFonts w:ascii="Times New Roman" w:eastAsia="Times New Roman" w:hAnsi="Times New Roman" w:cs="Times New Roman"/>
          <w:b/>
          <w:i/>
          <w:iCs/>
          <w:color w:val="000000"/>
          <w:spacing w:val="1"/>
          <w:sz w:val="24"/>
          <w:szCs w:val="24"/>
          <w:lang w:eastAsia="hr-HR"/>
        </w:rPr>
      </w:pPr>
    </w:p>
    <w:p w:rsidR="00FC3F35" w:rsidRDefault="00FC3F35" w:rsidP="00013FAE">
      <w:pPr>
        <w:widowControl w:val="0"/>
        <w:shd w:val="clear" w:color="auto" w:fill="FFFFFF"/>
        <w:autoSpaceDE w:val="0"/>
        <w:autoSpaceDN w:val="0"/>
        <w:adjustRightInd w:val="0"/>
        <w:spacing w:after="187" w:line="240" w:lineRule="auto"/>
        <w:ind w:left="533"/>
        <w:rPr>
          <w:rFonts w:ascii="Times New Roman" w:eastAsia="Times New Roman" w:hAnsi="Times New Roman" w:cs="Times New Roman"/>
          <w:iCs/>
          <w:color w:val="000000"/>
          <w:spacing w:val="1"/>
          <w:sz w:val="24"/>
          <w:szCs w:val="24"/>
          <w:lang w:eastAsia="hr-HR"/>
        </w:rPr>
      </w:pPr>
      <w:r w:rsidRPr="00576C1D">
        <w:rPr>
          <w:rFonts w:ascii="Times New Roman" w:eastAsia="Times New Roman" w:hAnsi="Times New Roman" w:cs="Times New Roman"/>
          <w:b/>
          <w:i/>
          <w:iCs/>
          <w:color w:val="000000"/>
          <w:spacing w:val="1"/>
          <w:sz w:val="24"/>
          <w:szCs w:val="24"/>
          <w:lang w:eastAsia="hr-HR"/>
        </w:rPr>
        <w:t>2.A.6.3 Planirano korištenje financijskih instrumenata</w:t>
      </w:r>
      <w:r w:rsidRPr="00576C1D">
        <w:rPr>
          <w:rFonts w:ascii="Times New Roman" w:eastAsia="Times New Roman" w:hAnsi="Times New Roman" w:cs="Times New Roman"/>
          <w:iCs/>
          <w:color w:val="000000"/>
          <w:spacing w:val="1"/>
          <w:sz w:val="24"/>
          <w:szCs w:val="24"/>
          <w:lang w:eastAsia="hr-HR"/>
        </w:rPr>
        <w:t>(po potrebi)</w:t>
      </w:r>
    </w:p>
    <w:tbl>
      <w:tblPr>
        <w:tblStyle w:val="TableGrid"/>
        <w:tblW w:w="0" w:type="auto"/>
        <w:tblLook w:val="04A0" w:firstRow="1" w:lastRow="0" w:firstColumn="1" w:lastColumn="0" w:noHBand="0" w:noVBand="1"/>
      </w:tblPr>
      <w:tblGrid>
        <w:gridCol w:w="4531"/>
        <w:gridCol w:w="11312"/>
      </w:tblGrid>
      <w:tr w:rsidR="00D57817" w:rsidRPr="005E763C" w:rsidTr="00D57817">
        <w:tc>
          <w:tcPr>
            <w:tcW w:w="4531" w:type="dxa"/>
            <w:vAlign w:val="center"/>
          </w:tcPr>
          <w:p w:rsidR="00D57817" w:rsidRPr="00576C1D" w:rsidRDefault="00D57817"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p w:rsidR="00D57817" w:rsidRPr="00C832F1" w:rsidRDefault="00D57817" w:rsidP="00A552D9">
            <w:pPr>
              <w:widowControl w:val="0"/>
              <w:shd w:val="clear" w:color="auto" w:fill="FFFFFF"/>
              <w:autoSpaceDE w:val="0"/>
              <w:autoSpaceDN w:val="0"/>
              <w:adjustRightInd w:val="0"/>
              <w:rPr>
                <w:rFonts w:ascii="Times New Roman" w:hAnsi="Times New Roman"/>
              </w:rPr>
            </w:pPr>
          </w:p>
        </w:tc>
        <w:tc>
          <w:tcPr>
            <w:tcW w:w="11312"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bCs/>
                <w:color w:val="000000"/>
                <w:sz w:val="18"/>
                <w:szCs w:val="18"/>
                <w:lang w:eastAsia="el-GR"/>
              </w:rPr>
              <w:t>6e - Aktivnosti kojima se poboljšava urbani okoliš, revitalizacija gradova, obnova i dekontaminacija nekadašnjeg industrijskog zemljišta (uključujući prenamijenjena područja), smanjenje zagađenja zraka i promicanje mjera za smanjenje buke</w:t>
            </w:r>
          </w:p>
        </w:tc>
      </w:tr>
      <w:tr w:rsidR="00D57817" w:rsidRPr="005E763C" w:rsidTr="00D57817">
        <w:tc>
          <w:tcPr>
            <w:tcW w:w="15843" w:type="dxa"/>
            <w:gridSpan w:val="2"/>
            <w:vAlign w:val="center"/>
          </w:tcPr>
          <w:p w:rsidR="00D57817" w:rsidRPr="00576C1D" w:rsidRDefault="00D57817"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576C1D">
              <w:rPr>
                <w:rFonts w:ascii="Times New Roman" w:hAnsi="Times New Roman"/>
                <w:color w:val="000000"/>
                <w:spacing w:val="-2"/>
                <w:sz w:val="24"/>
                <w:szCs w:val="24"/>
              </w:rPr>
              <w:t>Nije predviđeno.</w:t>
            </w:r>
          </w:p>
        </w:tc>
      </w:tr>
    </w:tbl>
    <w:p w:rsidR="00013FAE" w:rsidRDefault="00013FAE" w:rsidP="00013FAE">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b/>
          <w:i/>
          <w:iCs/>
          <w:color w:val="000000"/>
          <w:sz w:val="24"/>
          <w:szCs w:val="24"/>
          <w:lang w:eastAsia="hr-HR"/>
        </w:rPr>
      </w:pPr>
    </w:p>
    <w:p w:rsidR="00FC3F35" w:rsidRDefault="00FC3F35" w:rsidP="00013FAE">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iCs/>
          <w:color w:val="000000"/>
          <w:sz w:val="24"/>
          <w:szCs w:val="24"/>
          <w:lang w:eastAsia="hr-HR"/>
        </w:rPr>
      </w:pPr>
      <w:r w:rsidRPr="00576C1D">
        <w:rPr>
          <w:rFonts w:ascii="Times New Roman" w:eastAsia="Times New Roman" w:hAnsi="Times New Roman" w:cs="Times New Roman"/>
          <w:b/>
          <w:i/>
          <w:iCs/>
          <w:color w:val="000000"/>
          <w:sz w:val="24"/>
          <w:szCs w:val="24"/>
          <w:lang w:eastAsia="hr-HR"/>
        </w:rPr>
        <w:t>2.A.6.4 Planirano korištenje velikih projekata</w:t>
      </w:r>
      <w:r w:rsidRPr="00576C1D">
        <w:rPr>
          <w:rFonts w:ascii="Times New Roman" w:eastAsia="Times New Roman" w:hAnsi="Times New Roman" w:cs="Times New Roman"/>
          <w:iCs/>
          <w:color w:val="000000"/>
          <w:sz w:val="24"/>
          <w:szCs w:val="24"/>
          <w:lang w:eastAsia="hr-HR"/>
        </w:rPr>
        <w:t>(po potrebi)</w:t>
      </w:r>
    </w:p>
    <w:tbl>
      <w:tblPr>
        <w:tblStyle w:val="TableGrid"/>
        <w:tblW w:w="0" w:type="auto"/>
        <w:tblLook w:val="04A0" w:firstRow="1" w:lastRow="0" w:firstColumn="1" w:lastColumn="0" w:noHBand="0" w:noVBand="1"/>
      </w:tblPr>
      <w:tblGrid>
        <w:gridCol w:w="4531"/>
        <w:gridCol w:w="11312"/>
      </w:tblGrid>
      <w:tr w:rsidR="00D57817" w:rsidRPr="005E763C" w:rsidTr="00A552D9">
        <w:tc>
          <w:tcPr>
            <w:tcW w:w="4531" w:type="dxa"/>
            <w:vAlign w:val="center"/>
          </w:tcPr>
          <w:p w:rsidR="00D57817" w:rsidRPr="00576C1D" w:rsidRDefault="00D57817"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p w:rsidR="00D57817" w:rsidRPr="00C832F1" w:rsidRDefault="00D57817" w:rsidP="00A552D9">
            <w:pPr>
              <w:widowControl w:val="0"/>
              <w:shd w:val="clear" w:color="auto" w:fill="FFFFFF"/>
              <w:autoSpaceDE w:val="0"/>
              <w:autoSpaceDN w:val="0"/>
              <w:adjustRightInd w:val="0"/>
              <w:rPr>
                <w:rFonts w:ascii="Times New Roman" w:hAnsi="Times New Roman"/>
              </w:rPr>
            </w:pPr>
          </w:p>
        </w:tc>
        <w:tc>
          <w:tcPr>
            <w:tcW w:w="11312"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bCs/>
                <w:color w:val="000000"/>
                <w:sz w:val="18"/>
                <w:szCs w:val="18"/>
                <w:lang w:eastAsia="el-GR"/>
              </w:rPr>
              <w:t>6e - Aktivnosti kojima se poboljšava urbani okoliš, revitalizacija gradova, obnova i dekontaminacija nekadašnjeg industrijskog zemljišta (uključujući prenamijenjena područja), smanjenje zagađenja zraka i promicanje mjera za smanjenje buke</w:t>
            </w:r>
          </w:p>
        </w:tc>
      </w:tr>
      <w:tr w:rsidR="00D57817" w:rsidRPr="005E763C" w:rsidTr="00A552D9">
        <w:tc>
          <w:tcPr>
            <w:tcW w:w="15843" w:type="dxa"/>
            <w:gridSpan w:val="2"/>
            <w:vAlign w:val="center"/>
          </w:tcPr>
          <w:p w:rsidR="00D57817" w:rsidRPr="00576C1D" w:rsidRDefault="00D57817" w:rsidP="00A552D9">
            <w:pPr>
              <w:widowControl w:val="0"/>
              <w:shd w:val="clear" w:color="auto" w:fill="FFFFFF"/>
              <w:autoSpaceDE w:val="0"/>
              <w:autoSpaceDN w:val="0"/>
              <w:adjustRightInd w:val="0"/>
              <w:rPr>
                <w:rFonts w:ascii="Times New Roman" w:hAnsi="Times New Roman"/>
                <w:bCs/>
                <w:color w:val="000000"/>
                <w:sz w:val="18"/>
                <w:szCs w:val="18"/>
                <w:lang w:eastAsia="el-GR"/>
              </w:rPr>
            </w:pPr>
            <w:r w:rsidRPr="00576C1D">
              <w:rPr>
                <w:rFonts w:ascii="Times New Roman" w:hAnsi="Times New Roman"/>
                <w:color w:val="000000"/>
                <w:spacing w:val="-2"/>
                <w:sz w:val="24"/>
                <w:szCs w:val="24"/>
              </w:rPr>
              <w:t>Nije predviđeno.</w:t>
            </w:r>
          </w:p>
        </w:tc>
      </w:tr>
    </w:tbl>
    <w:p w:rsidR="00013FAE" w:rsidRDefault="00013FAE"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i/>
          <w:iCs/>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2.A.6.5 Pokazatelji neposrednih rezultata po investicijskom prioritetu i, po potrebi, po kategoriji regije</w:t>
      </w:r>
    </w:p>
    <w:p w:rsidR="00FC3F35" w:rsidRPr="00576C1D" w:rsidRDefault="00FC3F35" w:rsidP="00013FAE">
      <w:pPr>
        <w:widowControl w:val="0"/>
        <w:shd w:val="clear" w:color="auto" w:fill="FFFFFF"/>
        <w:autoSpaceDE w:val="0"/>
        <w:autoSpaceDN w:val="0"/>
        <w:adjustRightInd w:val="0"/>
        <w:spacing w:after="0" w:line="274" w:lineRule="exact"/>
        <w:ind w:left="539" w:right="88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824"/>
      </w:tblGrid>
      <w:tr w:rsidR="00FC3F35" w:rsidRPr="00576C1D" w:rsidTr="00013FAE">
        <w:trPr>
          <w:trHeight w:hRule="exact" w:val="634"/>
        </w:trPr>
        <w:tc>
          <w:tcPr>
            <w:tcW w:w="2285" w:type="dxa"/>
            <w:gridSpan w:val="2"/>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3450" w:type="dxa"/>
            <w:gridSpan w:val="8"/>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187" w:lineRule="exact"/>
              <w:ind w:right="14" w:hanging="10"/>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bCs/>
                <w:color w:val="000000"/>
                <w:sz w:val="16"/>
                <w:szCs w:val="16"/>
                <w:lang w:eastAsia="hr-HR"/>
              </w:rPr>
              <w:t xml:space="preserve">6e </w:t>
            </w:r>
            <w:r w:rsidRPr="00576C1D">
              <w:rPr>
                <w:rFonts w:ascii="Times New Roman" w:eastAsia="Times New Roman" w:hAnsi="Times New Roman" w:cs="Times New Roman"/>
                <w:b/>
                <w:color w:val="000000"/>
                <w:sz w:val="16"/>
                <w:szCs w:val="16"/>
                <w:lang w:eastAsia="hr-HR"/>
              </w:rPr>
              <w:t xml:space="preserve">- </w:t>
            </w:r>
            <w:r w:rsidRPr="00576C1D">
              <w:rPr>
                <w:rFonts w:ascii="Times New Roman" w:eastAsia="Times New Roman" w:hAnsi="Times New Roman" w:cs="Times New Roman"/>
                <w:b/>
                <w:bCs/>
                <w:color w:val="000000"/>
                <w:sz w:val="18"/>
                <w:szCs w:val="18"/>
                <w:lang w:eastAsia="el-GR"/>
              </w:rPr>
              <w:t>Aktivnosti kojima se poboljšava urbani okoliš, revitalizacija gradova, obnova i dekontaminacija nekadašnjeg industrijskog zemljišta (uključujući prenamijenjena područja), smanjenje zagađenja zraka i promicanje mjera za smanjenje buke</w:t>
            </w:r>
          </w:p>
        </w:tc>
      </w:tr>
      <w:tr w:rsidR="00FC3F35" w:rsidRPr="00576C1D" w:rsidTr="00013FAE">
        <w:trPr>
          <w:trHeight w:hRule="exact" w:val="432"/>
        </w:trPr>
        <w:tc>
          <w:tcPr>
            <w:tcW w:w="912" w:type="dxa"/>
            <w:tcBorders>
              <w:top w:val="single" w:sz="6" w:space="0" w:color="auto"/>
              <w:left w:val="single" w:sz="6" w:space="0" w:color="auto"/>
              <w:bottom w:val="nil"/>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824" w:type="dxa"/>
            <w:tcBorders>
              <w:top w:val="single" w:sz="6" w:space="0" w:color="auto"/>
              <w:left w:val="single" w:sz="6" w:space="0" w:color="auto"/>
              <w:bottom w:val="nil"/>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013FAE">
        <w:trPr>
          <w:trHeight w:hRule="exact" w:val="432"/>
        </w:trPr>
        <w:tc>
          <w:tcPr>
            <w:tcW w:w="912" w:type="dxa"/>
            <w:tcBorders>
              <w:top w:val="nil"/>
              <w:left w:val="single" w:sz="6" w:space="0" w:color="auto"/>
              <w:bottom w:val="single" w:sz="6" w:space="0" w:color="auto"/>
              <w:right w:val="single" w:sz="6" w:space="0" w:color="auto"/>
            </w:tcBorders>
            <w:shd w:val="clear" w:color="auto" w:fill="auto"/>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auto"/>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auto"/>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auto"/>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auto"/>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824" w:type="dxa"/>
            <w:tcBorders>
              <w:top w:val="nil"/>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013FAE">
        <w:trPr>
          <w:trHeight w:hRule="exact" w:val="1354"/>
        </w:trPr>
        <w:tc>
          <w:tcPr>
            <w:tcW w:w="912"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CO38</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182" w:lineRule="exact"/>
              <w:ind w:right="18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Urbani razvoj: prostor stvoren ili obnovljen u urbanim područjima</w:t>
            </w:r>
          </w:p>
        </w:tc>
        <w:tc>
          <w:tcPr>
            <w:tcW w:w="155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Kvadratni metar</w:t>
            </w:r>
          </w:p>
        </w:tc>
        <w:tc>
          <w:tcPr>
            <w:tcW w:w="156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50.000,00</w:t>
            </w:r>
          </w:p>
        </w:tc>
        <w:tc>
          <w:tcPr>
            <w:tcW w:w="1277"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824"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013FAE">
        <w:trPr>
          <w:trHeight w:hRule="exact" w:val="998"/>
        </w:trPr>
        <w:tc>
          <w:tcPr>
            <w:tcW w:w="912"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6el2</w:t>
            </w:r>
          </w:p>
        </w:tc>
        <w:tc>
          <w:tcPr>
            <w:tcW w:w="1373"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182" w:lineRule="exact"/>
              <w:ind w:righ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Nove i nadograđene postaje za mjerenje zraka</w:t>
            </w:r>
          </w:p>
        </w:tc>
        <w:tc>
          <w:tcPr>
            <w:tcW w:w="155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ind w:left="9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28,00</w:t>
            </w:r>
          </w:p>
        </w:tc>
        <w:tc>
          <w:tcPr>
            <w:tcW w:w="1277"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824" w:type="dxa"/>
            <w:tcBorders>
              <w:top w:val="single" w:sz="6" w:space="0" w:color="auto"/>
              <w:left w:val="single" w:sz="6" w:space="0" w:color="auto"/>
              <w:bottom w:val="single" w:sz="6" w:space="0" w:color="auto"/>
              <w:right w:val="single" w:sz="6" w:space="0" w:color="auto"/>
            </w:tcBorders>
            <w:shd w:val="clear" w:color="auto" w:fill="auto"/>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FC3F35" w:rsidRDefault="00FC3F35" w:rsidP="00FC3F35">
      <w:pPr>
        <w:widowControl w:val="0"/>
        <w:shd w:val="clear" w:color="auto" w:fill="FFFFFF"/>
        <w:autoSpaceDE w:val="0"/>
        <w:autoSpaceDN w:val="0"/>
        <w:adjustRightInd w:val="0"/>
        <w:spacing w:before="514" w:after="182" w:line="240" w:lineRule="auto"/>
        <w:ind w:left="538"/>
        <w:rPr>
          <w:rFonts w:ascii="Times New Roman" w:eastAsia="Times New Roman" w:hAnsi="Times New Roman" w:cs="Times New Roman"/>
          <w:b/>
          <w:bCs/>
          <w:color w:val="000000"/>
          <w:spacing w:val="-2"/>
          <w:sz w:val="24"/>
          <w:szCs w:val="24"/>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bl>
      <w:tblPr>
        <w:tblStyle w:val="TableGrid"/>
        <w:tblW w:w="0" w:type="auto"/>
        <w:tblLook w:val="04A0" w:firstRow="1" w:lastRow="0" w:firstColumn="1" w:lastColumn="0" w:noHBand="0" w:noVBand="1"/>
      </w:tblPr>
      <w:tblGrid>
        <w:gridCol w:w="4531"/>
        <w:gridCol w:w="11312"/>
      </w:tblGrid>
      <w:tr w:rsidR="00D57817" w:rsidRPr="005E763C" w:rsidTr="00013FAE">
        <w:tc>
          <w:tcPr>
            <w:tcW w:w="4531"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b/>
                <w:bCs/>
                <w:color w:val="000000"/>
                <w:spacing w:val="-1"/>
                <w:sz w:val="18"/>
                <w:szCs w:val="18"/>
              </w:rPr>
              <w:t xml:space="preserve">Oznaka investicijskog prioriteta </w:t>
            </w:r>
          </w:p>
        </w:tc>
        <w:tc>
          <w:tcPr>
            <w:tcW w:w="11312"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bCs/>
                <w:color w:val="000000"/>
                <w:sz w:val="18"/>
                <w:szCs w:val="18"/>
                <w:lang w:eastAsia="el-GR"/>
              </w:rPr>
              <w:t>6</w:t>
            </w:r>
            <w:r>
              <w:rPr>
                <w:rFonts w:ascii="Times New Roman" w:hAnsi="Times New Roman"/>
                <w:bCs/>
                <w:color w:val="000000"/>
                <w:sz w:val="18"/>
                <w:szCs w:val="18"/>
                <w:lang w:eastAsia="el-GR"/>
              </w:rPr>
              <w:t>i</w:t>
            </w:r>
          </w:p>
        </w:tc>
      </w:tr>
      <w:tr w:rsidR="00D57817" w:rsidRPr="005E763C" w:rsidTr="00013FAE">
        <w:tc>
          <w:tcPr>
            <w:tcW w:w="4531" w:type="dxa"/>
            <w:vAlign w:val="center"/>
          </w:tcPr>
          <w:p w:rsidR="00D57817" w:rsidRPr="00576C1D" w:rsidRDefault="00D57817" w:rsidP="00A552D9">
            <w:pPr>
              <w:widowControl w:val="0"/>
              <w:shd w:val="clear" w:color="auto" w:fill="FFFFFF"/>
              <w:autoSpaceDE w:val="0"/>
              <w:autoSpaceDN w:val="0"/>
              <w:adjustRightInd w:val="0"/>
              <w:rPr>
                <w:rFonts w:ascii="Times New Roman" w:hAnsi="Times New Roman"/>
                <w:b/>
                <w:bCs/>
                <w:color w:val="000000"/>
                <w:sz w:val="18"/>
                <w:szCs w:val="18"/>
              </w:rPr>
            </w:pPr>
            <w:r w:rsidRPr="00576C1D">
              <w:rPr>
                <w:rFonts w:ascii="Times New Roman" w:hAnsi="Times New Roman"/>
                <w:b/>
                <w:bCs/>
                <w:color w:val="000000"/>
                <w:spacing w:val="-1"/>
                <w:sz w:val="18"/>
                <w:szCs w:val="18"/>
              </w:rPr>
              <w:t>Naziv investicijskog prioriteta</w:t>
            </w:r>
          </w:p>
        </w:tc>
        <w:tc>
          <w:tcPr>
            <w:tcW w:w="11312" w:type="dxa"/>
            <w:vAlign w:val="center"/>
          </w:tcPr>
          <w:p w:rsidR="00D57817" w:rsidRPr="00576C1D"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576C1D">
              <w:rPr>
                <w:rFonts w:ascii="Times New Roman" w:hAnsi="Times New Roman"/>
                <w:bCs/>
                <w:color w:val="000000"/>
                <w:sz w:val="18"/>
                <w:szCs w:val="18"/>
                <w:lang w:eastAsia="el-GR"/>
              </w:rPr>
              <w:t>Ulaganje u sektor otpada kako bi se ispunili zahtjevi pravne stečevine Unije u području okoliša i zadovoljile potrebe koje su utvrdile države članice za ulaganjem koje nadilazi te zahtjeve</w:t>
            </w:r>
          </w:p>
        </w:tc>
      </w:tr>
    </w:tbl>
    <w:p w:rsidR="00FC3F35" w:rsidRDefault="00FC3F35" w:rsidP="00FC3F35">
      <w:pPr>
        <w:widowControl w:val="0"/>
        <w:shd w:val="clear" w:color="auto" w:fill="FFFFFF"/>
        <w:autoSpaceDE w:val="0"/>
        <w:autoSpaceDN w:val="0"/>
        <w:adjustRightInd w:val="0"/>
        <w:spacing w:before="566" w:after="0"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tbl>
      <w:tblPr>
        <w:tblStyle w:val="TableGrid"/>
        <w:tblW w:w="0" w:type="auto"/>
        <w:tblLook w:val="04A0" w:firstRow="1" w:lastRow="0" w:firstColumn="1" w:lastColumn="0" w:noHBand="0" w:noVBand="1"/>
      </w:tblPr>
      <w:tblGrid>
        <w:gridCol w:w="1066"/>
        <w:gridCol w:w="14777"/>
      </w:tblGrid>
      <w:tr w:rsidR="00D57817" w:rsidRPr="005E763C" w:rsidTr="00013FAE">
        <w:tc>
          <w:tcPr>
            <w:tcW w:w="1066"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z w:val="18"/>
                <w:szCs w:val="18"/>
              </w:rPr>
              <w:t>Oznaka specifičnog cilja</w:t>
            </w:r>
          </w:p>
        </w:tc>
        <w:tc>
          <w:tcPr>
            <w:tcW w:w="14777"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bCs/>
                <w:color w:val="000000"/>
                <w:sz w:val="18"/>
                <w:szCs w:val="18"/>
                <w:lang w:eastAsia="el-GR"/>
              </w:rPr>
              <w:t>6</w:t>
            </w:r>
            <w:r>
              <w:rPr>
                <w:rFonts w:ascii="Times New Roman" w:hAnsi="Times New Roman"/>
                <w:bCs/>
                <w:color w:val="000000"/>
                <w:sz w:val="18"/>
                <w:szCs w:val="18"/>
                <w:lang w:eastAsia="el-GR"/>
              </w:rPr>
              <w:t>i1</w:t>
            </w:r>
          </w:p>
        </w:tc>
      </w:tr>
      <w:tr w:rsidR="00D57817" w:rsidRPr="005E763C" w:rsidTr="00013FAE">
        <w:tc>
          <w:tcPr>
            <w:tcW w:w="1066" w:type="dxa"/>
            <w:vAlign w:val="center"/>
          </w:tcPr>
          <w:p w:rsidR="00D57817" w:rsidRPr="00576C1D" w:rsidRDefault="00D57817" w:rsidP="00A552D9">
            <w:pPr>
              <w:widowControl w:val="0"/>
              <w:shd w:val="clear" w:color="auto" w:fill="FFFFFF"/>
              <w:autoSpaceDE w:val="0"/>
              <w:autoSpaceDN w:val="0"/>
              <w:adjustRightInd w:val="0"/>
              <w:rPr>
                <w:rFonts w:ascii="Times New Roman" w:hAnsi="Times New Roman"/>
                <w:b/>
                <w:bCs/>
                <w:color w:val="000000"/>
                <w:sz w:val="18"/>
                <w:szCs w:val="18"/>
              </w:rPr>
            </w:pPr>
            <w:r w:rsidRPr="00576C1D">
              <w:rPr>
                <w:rFonts w:ascii="Times New Roman" w:hAnsi="Times New Roman"/>
                <w:b/>
                <w:bCs/>
                <w:color w:val="000000"/>
                <w:sz w:val="18"/>
                <w:szCs w:val="18"/>
              </w:rPr>
              <w:t>Naziv specifičnog cilja</w:t>
            </w:r>
          </w:p>
        </w:tc>
        <w:tc>
          <w:tcPr>
            <w:tcW w:w="14777" w:type="dxa"/>
            <w:vAlign w:val="center"/>
          </w:tcPr>
          <w:p w:rsidR="00D57817" w:rsidRPr="00576C1D"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576C1D">
              <w:rPr>
                <w:rFonts w:ascii="Times New Roman" w:hAnsi="Times New Roman"/>
                <w:sz w:val="18"/>
                <w:szCs w:val="18"/>
              </w:rPr>
              <w:t>Smanjeno stvaranje otpada i povećano recikliranje, ponovno korištenje i oporaba otpada</w:t>
            </w:r>
          </w:p>
        </w:tc>
      </w:tr>
      <w:tr w:rsidR="00D57817" w:rsidRPr="005E763C" w:rsidTr="00013FAE">
        <w:tc>
          <w:tcPr>
            <w:tcW w:w="1066" w:type="dxa"/>
            <w:vAlign w:val="center"/>
          </w:tcPr>
          <w:p w:rsidR="00D57817" w:rsidRPr="00593567" w:rsidRDefault="00D57817" w:rsidP="00A552D9">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Rezultati koje država članica nastoji postići uz potporu Unije</w:t>
            </w:r>
          </w:p>
        </w:tc>
        <w:tc>
          <w:tcPr>
            <w:tcW w:w="14777"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Aktivnosti ovog specifičnog cilja bit će usmjerene na uspostavu sustava odvojenog prikupljanja otpada s ciljem povećanja stope ponovne upotrebe i recikliranja te ulaganja u opremu za odvojeno prikupljanje, reciklažna dvorišta, postrojenja za recikliranje i ponovno korištenje i slična postrojenja. Prema Zakonu o održivom gospodarenju otpadom, jedinice lokalne samouprave u Hrvatskoj obvezne su uspostaviti sustav odvojenog prikupljanja otpada. Financiranje iz Kohezijskog fonda kombinirat će se s nacionalnim izvorima s ciljem uspostave sustava odvojenog prikupljanja otpada u svakoj jedinici lokale samouprave u Hrvatskoj, što će, u kombinaciji s mjerama smanjenja stvaranja otpada, rezultirati povećanjem količine komunalnog otpada koji se šalje na reciklažu, ponovnu upotrebu ili oporabu.</w:t>
            </w:r>
          </w:p>
          <w:p w:rsidR="00D57817" w:rsidRPr="00593567" w:rsidRDefault="00D57817"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rPr>
              <w:t>Stoga će ovaj investicijski prioritet pridonijeti promjeni trenutnog sustava gospodarenja otpadom u skladu s hijerarhijom otpada prema Zakonu o održivom gospodarenju otpadom i strategiji, tj. 1. poticanje i povećanje prevencije, 2. ponovna upotreba, 3. recikliranje i ostala oporaba i 4. na kraju, odlaganje (navoženje smeća). Smanjenje količine nastalog otpada želi se postići uglavnom kroz razne projekte podizanja javne svijesti, upravljanja ambalažnim otpadom, ekološkim dizajnom, ekološki prihvatljivim proizvodima, itd. Sustav odvojenog sakupljanja uspostavit će se kako bi se povećala stopa ponovne upotrebe i recikliranja zajedno s ulaganjima u reciklažna dvorišta, postrojenja i slične objekteDaljnjim mjerama planira se povećati reciklažni kapacitet kako bi se mogla smjestiti povećana količina otpada poslana na oporabu ili ponovnu upotrebu. Kombinirani učinak ovih rezultata pridonijet će postizanju glavnog cilja, što je dosezanje cilja od 50% reciklažne stope u kućnog i sličnog otpada (papir, staklo, metal, plastika).</w:t>
            </w:r>
          </w:p>
        </w:tc>
      </w:tr>
      <w:tr w:rsidR="00D57817" w:rsidRPr="005E763C" w:rsidTr="00013FAE">
        <w:tc>
          <w:tcPr>
            <w:tcW w:w="1066" w:type="dxa"/>
            <w:vAlign w:val="center"/>
          </w:tcPr>
          <w:p w:rsidR="00D57817" w:rsidRPr="00576C1D" w:rsidRDefault="00D57817" w:rsidP="00A552D9">
            <w:pPr>
              <w:widowControl w:val="0"/>
              <w:shd w:val="clear" w:color="auto" w:fill="FFFFFF"/>
              <w:autoSpaceDE w:val="0"/>
              <w:autoSpaceDN w:val="0"/>
              <w:adjustRightInd w:val="0"/>
              <w:rPr>
                <w:rFonts w:ascii="Times New Roman" w:hAnsi="Times New Roman"/>
                <w:b/>
                <w:bCs/>
                <w:color w:val="000000"/>
                <w:spacing w:val="8"/>
                <w:sz w:val="16"/>
                <w:szCs w:val="16"/>
              </w:rPr>
            </w:pPr>
          </w:p>
        </w:tc>
        <w:tc>
          <w:tcPr>
            <w:tcW w:w="14777"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rPr>
            </w:pPr>
          </w:p>
        </w:tc>
      </w:tr>
      <w:tr w:rsidR="00D57817" w:rsidRPr="005E763C" w:rsidTr="00013FAE">
        <w:tc>
          <w:tcPr>
            <w:tcW w:w="1066"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z w:val="18"/>
                <w:szCs w:val="18"/>
              </w:rPr>
              <w:t xml:space="preserve">Oznaka </w:t>
            </w:r>
            <w:r w:rsidRPr="00576C1D">
              <w:rPr>
                <w:rFonts w:ascii="Times New Roman" w:hAnsi="Times New Roman"/>
                <w:b/>
                <w:bCs/>
                <w:color w:val="000000"/>
                <w:sz w:val="18"/>
                <w:szCs w:val="18"/>
              </w:rPr>
              <w:lastRenderedPageBreak/>
              <w:t>specifičnog cilja</w:t>
            </w:r>
          </w:p>
        </w:tc>
        <w:tc>
          <w:tcPr>
            <w:tcW w:w="14777"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bCs/>
                <w:color w:val="000000"/>
                <w:sz w:val="18"/>
                <w:szCs w:val="18"/>
                <w:lang w:eastAsia="el-GR"/>
              </w:rPr>
              <w:lastRenderedPageBreak/>
              <w:t>6</w:t>
            </w:r>
            <w:r>
              <w:rPr>
                <w:rFonts w:ascii="Times New Roman" w:hAnsi="Times New Roman"/>
                <w:bCs/>
                <w:color w:val="000000"/>
                <w:sz w:val="18"/>
                <w:szCs w:val="18"/>
                <w:lang w:eastAsia="el-GR"/>
              </w:rPr>
              <w:t>i2</w:t>
            </w:r>
          </w:p>
        </w:tc>
      </w:tr>
      <w:tr w:rsidR="00D57817" w:rsidRPr="005E763C" w:rsidTr="00013FAE">
        <w:tc>
          <w:tcPr>
            <w:tcW w:w="1066" w:type="dxa"/>
            <w:vAlign w:val="center"/>
          </w:tcPr>
          <w:p w:rsidR="00D57817" w:rsidRPr="00576C1D" w:rsidRDefault="00D57817" w:rsidP="00A552D9">
            <w:pPr>
              <w:widowControl w:val="0"/>
              <w:shd w:val="clear" w:color="auto" w:fill="FFFFFF"/>
              <w:autoSpaceDE w:val="0"/>
              <w:autoSpaceDN w:val="0"/>
              <w:adjustRightInd w:val="0"/>
              <w:rPr>
                <w:rFonts w:ascii="Times New Roman" w:hAnsi="Times New Roman"/>
                <w:b/>
                <w:sz w:val="16"/>
                <w:szCs w:val="16"/>
              </w:rPr>
            </w:pPr>
            <w:r>
              <w:rPr>
                <w:rFonts w:ascii="Times New Roman" w:hAnsi="Times New Roman"/>
                <w:b/>
                <w:sz w:val="16"/>
                <w:szCs w:val="16"/>
              </w:rPr>
              <w:lastRenderedPageBreak/>
              <w:t>Naziv specifičnog cilja</w:t>
            </w:r>
          </w:p>
        </w:tc>
        <w:tc>
          <w:tcPr>
            <w:tcW w:w="14777" w:type="dxa"/>
            <w:vAlign w:val="center"/>
          </w:tcPr>
          <w:p w:rsidR="00D57817" w:rsidRPr="00576C1D" w:rsidRDefault="00D57817" w:rsidP="00A552D9">
            <w:pPr>
              <w:widowControl w:val="0"/>
              <w:shd w:val="clear" w:color="auto" w:fill="FFFFFF"/>
              <w:autoSpaceDE w:val="0"/>
              <w:autoSpaceDN w:val="0"/>
              <w:adjustRightInd w:val="0"/>
              <w:rPr>
                <w:rFonts w:ascii="Times New Roman" w:hAnsi="Times New Roman"/>
                <w:sz w:val="18"/>
                <w:szCs w:val="18"/>
              </w:rPr>
            </w:pPr>
            <w:r w:rsidRPr="00576C1D">
              <w:rPr>
                <w:rFonts w:ascii="Times New Roman" w:hAnsi="Times New Roman"/>
                <w:sz w:val="18"/>
                <w:szCs w:val="18"/>
              </w:rPr>
              <w:t>Uspostava integriranog sustava upravljanja otpadom u cilju smanjenja otpada koji se odlaže na odlagalištu i rizika vezanih uz otpad</w:t>
            </w:r>
          </w:p>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p>
        </w:tc>
      </w:tr>
      <w:tr w:rsidR="00D57817" w:rsidRPr="005E763C" w:rsidTr="00013FAE">
        <w:tc>
          <w:tcPr>
            <w:tcW w:w="1066" w:type="dxa"/>
            <w:vAlign w:val="center"/>
          </w:tcPr>
          <w:p w:rsidR="00D57817" w:rsidRPr="00593567" w:rsidRDefault="00D57817" w:rsidP="00A552D9">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Rezultati koje država članica nastoji postići uz potporu Unije</w:t>
            </w:r>
          </w:p>
        </w:tc>
        <w:tc>
          <w:tcPr>
            <w:tcW w:w="14777"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U skladu s ovim ciljevima također postoji potreba usklađivanja s odredbama relevantnih direktiva EU-a (posebice Direktive o odlaganju otpada). Točnije, Hrvatska se Ugovorom o pristupanju obvezala s jedne strane osigurati postupno smanjenje navoženja biorazgradivog otpada u usporedbi s 1997. (na 50% do kraja 2016. i na 30% do kraja 2020.), a s druge strane osigurati usklađenost svih postojećih odlagališta otpada s europskim direktivama do kraja 2018., usporedno s postupnim smanjenjem navoženja otpada na neusklađenim odlagalištima u razdoblju 2013.-2018.Pitanje mješovitog komunalnog otpada ostaje i nakon što se korisne sirovine zasebno prikupe. Miješani komunalni otpad treba tretirati, pripremiti za oporabu ako je moguće te ostatak zbrinuti na odgovarajući način. Kako bi se to osiguralo, potrebno je sagraditi centre za gospodarenje otpadom (CGO-ovi) s odgovarajućim postrojenjem za obradu otpada. CGO se definira kao skup funkcionalno i tehnološki spojenih zgrada i postrojenja za obradu otpada. Osnovni zadatak CGO-a je prihvatiti preostali mješoviti otpad, iz njega izdvojiti korisne sirovine za recikliranje i/ili energetsko iskorištavanje, te obraditi otpad na način da se minimizira otpad za trajno odlaganje.</w:t>
            </w:r>
          </w:p>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Sav komunalni otpad koji se ne reciklira ili ponovno upotrebljava tretirat će se prije konačnog odlaganja i u tu svrhu će se dalje razvijati odgovarajuća infrastruktura integriranog sustava gospodarenja otpadom koja se sastoji od županijskih/regionalnih centara za gospodarenje otpadom te će se sanirati, rehabilitirati i zatvoriti postojeća neusklađena postrojenja za gospodarenje otpadom (odlagališta). U Hrvatskoj je predviđena izgradnja do 13 CGO-ova (uključujući energanu na otpad u Gradu Zagrebu)</w:t>
            </w:r>
          </w:p>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Cjelokupni sustav gospodarenja otpadom poboljšat će se kroz praćenje otpada, kao i planiranjem i upravljanjem krutim otpadom.</w:t>
            </w:r>
          </w:p>
          <w:p w:rsidR="00D57817" w:rsidRPr="00576C1D"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Posebnim tokovima otpada i opasnim otpadom upravljat će se na odgovarajući način u skladu s pravnom stečevinom (npr. medicinski otpad, gume, građevinski otpad itd.). Uspostaviti će se središnji sustav za praćenje otpada koji će pružati izravne i pouzdane informacije o svim tokovima otpada.  Ciljevi i ulaganja ovog investicijskog prioriteta predstavljaju nastavak aktivnosti pod Operativnim programom Zaštita okoliša 2007.-2013. te kao takvi predstavljaju jedan od dva najviša prioriteta (uz upravljanje vodom) unutar Prioritetne osi 6 ovog Operativnog programa.</w:t>
            </w:r>
          </w:p>
        </w:tc>
      </w:tr>
    </w:tbl>
    <w:p w:rsidR="00D57817" w:rsidRDefault="00D57817" w:rsidP="00FC3F35">
      <w:pPr>
        <w:widowControl w:val="0"/>
        <w:shd w:val="clear" w:color="auto" w:fill="FFFFFF"/>
        <w:autoSpaceDE w:val="0"/>
        <w:autoSpaceDN w:val="0"/>
        <w:adjustRightInd w:val="0"/>
        <w:spacing w:before="566" w:after="0" w:line="240" w:lineRule="auto"/>
        <w:ind w:left="538"/>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18"/>
                <w:szCs w:val="18"/>
                <w:lang w:eastAsia="hr-HR"/>
              </w:rPr>
            </w:pPr>
            <w:r w:rsidRPr="00576C1D">
              <w:rPr>
                <w:rFonts w:ascii="Times New Roman" w:eastAsia="Times New Roman" w:hAnsi="Times New Roman" w:cs="Times New Roman"/>
                <w:b/>
                <w:color w:val="000000"/>
                <w:spacing w:val="-4"/>
                <w:sz w:val="18"/>
                <w:szCs w:val="18"/>
                <w:lang w:eastAsia="hr-HR"/>
              </w:rPr>
              <w:t xml:space="preserve">6i1 - </w:t>
            </w:r>
            <w:r w:rsidRPr="00576C1D">
              <w:rPr>
                <w:rFonts w:ascii="Times New Roman" w:eastAsia="Times New Roman" w:hAnsi="Times New Roman" w:cs="Times New Roman"/>
                <w:b/>
                <w:sz w:val="18"/>
                <w:szCs w:val="18"/>
                <w:lang w:eastAsia="hr-HR"/>
              </w:rPr>
              <w:t>Smanjenjo stvaranje otpada i povećano recikliranje, ponovno korištenje i oporaba otpada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396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                Kategorija regije (po potrebi)</w:t>
            </w:r>
          </w:p>
          <w:p w:rsidR="00FC3F35" w:rsidRPr="00576C1D" w:rsidRDefault="00FC3F35" w:rsidP="00FC3F35">
            <w:pPr>
              <w:widowControl w:val="0"/>
              <w:shd w:val="clear" w:color="auto" w:fill="FFFFFF"/>
              <w:tabs>
                <w:tab w:val="left" w:pos="2012"/>
              </w:tabs>
              <w:autoSpaceDE w:val="0"/>
              <w:autoSpaceDN w:val="0"/>
              <w:adjustRightInd w:val="0"/>
              <w:spacing w:after="0" w:line="182" w:lineRule="exact"/>
              <w:ind w:left="125" w:right="130" w:hanging="5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69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sz w:val="16"/>
                <w:szCs w:val="16"/>
                <w:lang w:eastAsia="hr-HR"/>
              </w:rPr>
              <w:t>6call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Udio komunalnog otpada poslan na oporabu ili ponovnu upotrebu</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15,00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65,00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02"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Hrvatska Agencija za zaštitu okoliša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16"/>
                <w:szCs w:val="16"/>
                <w:lang w:eastAsia="hr-HR"/>
              </w:rPr>
            </w:pPr>
            <w:r w:rsidRPr="00576C1D">
              <w:rPr>
                <w:rFonts w:ascii="Times New Roman" w:eastAsia="Times New Roman" w:hAnsi="Times New Roman" w:cs="Times New Roman"/>
                <w:b/>
                <w:color w:val="000000"/>
                <w:spacing w:val="-7"/>
                <w:sz w:val="16"/>
                <w:szCs w:val="16"/>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18"/>
                <w:szCs w:val="18"/>
                <w:lang w:eastAsia="hr-HR"/>
              </w:rPr>
            </w:pPr>
            <w:r w:rsidRPr="00576C1D">
              <w:rPr>
                <w:rFonts w:ascii="Times New Roman" w:eastAsia="Times New Roman" w:hAnsi="Times New Roman" w:cs="Times New Roman"/>
                <w:b/>
                <w:color w:val="000000"/>
                <w:spacing w:val="-4"/>
                <w:sz w:val="18"/>
                <w:szCs w:val="18"/>
                <w:lang w:eastAsia="hr-HR"/>
              </w:rPr>
              <w:t xml:space="preserve">6i2 - </w:t>
            </w:r>
            <w:r w:rsidRPr="00576C1D">
              <w:rPr>
                <w:rFonts w:ascii="Times New Roman" w:eastAsia="Times New Roman" w:hAnsi="Times New Roman" w:cs="Times New Roman"/>
                <w:b/>
                <w:sz w:val="18"/>
                <w:szCs w:val="18"/>
                <w:lang w:eastAsia="hr-HR"/>
              </w:rPr>
              <w:t>Uspostava integriranog sustava upravljanja otpadom u cilju smanjenja otpada koji se odlaže na odlagalištu i rizika vezanih uz otpad</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16"/>
                <w:szCs w:val="16"/>
                <w:lang w:eastAsia="hr-HR"/>
              </w:rPr>
            </w:pPr>
          </w:p>
        </w:tc>
      </w:tr>
      <w:tr w:rsidR="00FC3F35" w:rsidRPr="00576C1D" w:rsidTr="00FC3F35">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53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6ca24</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Udio komunalnog otpada deponiran na ili u zemlju</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92,00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7"/>
                <w:sz w:val="16"/>
                <w:szCs w:val="16"/>
                <w:lang w:eastAsia="hr-HR"/>
              </w:rPr>
              <w:t>2011.</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35,00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Eurostat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4" w:right="541" w:bottom="360" w:left="540" w:header="720" w:footer="720" w:gutter="0"/>
          <w:cols w:num="3" w:space="720" w:equalWidth="0">
            <w:col w:w="720" w:space="6946"/>
            <w:col w:w="720" w:space="6648"/>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sz w:val="24"/>
          <w:szCs w:val="24"/>
          <w:lang w:eastAsia="hr-HR"/>
        </w:rPr>
        <w:lastRenderedPageBreak/>
        <w:t>2.A.6</w:t>
      </w:r>
      <w:r w:rsidRPr="00576C1D">
        <w:rPr>
          <w:rFonts w:ascii="Times New Roman" w:eastAsia="Times New Roman" w:hAnsi="Times New Roman" w:cs="Times New Roman"/>
          <w:b/>
          <w:bCs/>
          <w:color w:val="000000"/>
          <w:sz w:val="24"/>
          <w:szCs w:val="24"/>
          <w:lang w:eastAsia="hr-HR"/>
        </w:rPr>
        <w:t xml:space="preserve"> Aktivnosti koje će biti podržane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b/>
          <w:bCs/>
          <w:i/>
          <w:iCs/>
          <w:color w:val="000000"/>
          <w:spacing w:val="-2"/>
          <w:sz w:val="24"/>
          <w:szCs w:val="24"/>
          <w:lang w:eastAsia="hr-HR"/>
        </w:rPr>
      </w:pPr>
      <w:r w:rsidRPr="00576C1D">
        <w:rPr>
          <w:rFonts w:ascii="Times New Roman" w:eastAsia="Times New Roman" w:hAnsi="Times New Roman" w:cs="Times New Roman"/>
          <w:b/>
          <w:bCs/>
          <w:i/>
          <w:iCs/>
          <w:color w:val="000000"/>
          <w:spacing w:val="-2"/>
          <w:sz w:val="24"/>
          <w:szCs w:val="24"/>
          <w:lang w:eastAsia="hr-HR"/>
        </w:rPr>
        <w:lastRenderedPageBreak/>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1171"/>
        <w:gridCol w:w="14530"/>
      </w:tblGrid>
      <w:tr w:rsidR="00D57817" w:rsidRPr="005E763C" w:rsidTr="00D57817">
        <w:tc>
          <w:tcPr>
            <w:tcW w:w="1171"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tc>
        <w:tc>
          <w:tcPr>
            <w:tcW w:w="14530" w:type="dxa"/>
            <w:vAlign w:val="center"/>
          </w:tcPr>
          <w:p w:rsidR="00D57817" w:rsidRPr="00C832F1" w:rsidRDefault="00D57817" w:rsidP="00A552D9">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color w:val="000000"/>
                <w:spacing w:val="-1"/>
                <w:sz w:val="18"/>
                <w:szCs w:val="18"/>
              </w:rPr>
              <w:t xml:space="preserve">6i - </w:t>
            </w:r>
            <w:r w:rsidRPr="00576C1D">
              <w:rPr>
                <w:rFonts w:ascii="Times New Roman" w:hAnsi="Times New Roman"/>
                <w:bCs/>
                <w:color w:val="000000"/>
                <w:lang w:eastAsia="el-GR"/>
              </w:rPr>
              <w:t>Ulaganje u sektor otpada kako bi se ispunili zahtjevi pravne stečevine Unije u području okoliša i zadovoljile potrebe koje su utvrdile države članice za ulaganjem koje nadilazi te zahtjeve</w:t>
            </w:r>
          </w:p>
        </w:tc>
      </w:tr>
      <w:tr w:rsidR="00D57817" w:rsidRPr="005E763C" w:rsidTr="00D57817">
        <w:tc>
          <w:tcPr>
            <w:tcW w:w="15701" w:type="dxa"/>
            <w:gridSpan w:val="2"/>
            <w:vAlign w:val="center"/>
          </w:tcPr>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Glavne ciljne skupine i korisnici</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Državna tijela i organizacije odgovorne za planiranje i praćenje gospodarenja otpadom; tijela lokalne vlasti, komunalne tvrtke, poduzeća, NVO-ovi</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Primjeri aktivnosti koje se financiraju kako bi se postigli specifični ciljevi</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Aktivnosti za uvođenje i poboljšanje odvojenog skupljanja, oporabe, recikliranja i ponovne upotrebe otpada koje će stoga omogućiti učinkovitije upravljanje resursima i smanjenje štete za okoliš (uključujući emisije);</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ulaganja u postrojenja za reciklažu i oporabu, reciklažne centre i dvorišta s ciljem omogućavanja učinkovitog i povoljnog sustava za ponovno korištenje, reciklažu i oporabu (koji uključuje sve tokove otpada, primjerice medicinski otpad, baterije, građevinski otpad i šuta, itd.);</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opsežne aktivnosti podizanja javne svijesti s ciljem smanjenja stvaranja otpada, povećanja odvojenog skupljanja i ponovnog korištenja;</w:t>
            </w:r>
          </w:p>
          <w:p w:rsidR="00D57817"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aktivnosti pripreme projekata.</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Izgradnja nove infrastrukture za gospodarenje otpadom uključujući centre za gospodarenje otpadom na razini županije/regije (postrojenja za obradu otpada, pretovarne stanice, itd.) (predviđeno je 13 CGO-ova);</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izgradnja spalionica otpada (postrojenja za dobivanje energije iz otpada);</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nabava posebne opreme (kompaktori, posebna vozila za odvoz smeća, buldožeri, i ostala oprema u funkciji CGO-a);</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prilagođavanje i sanacija/zatvaranje/rehabilitacija postojećih odlagališta komunalnog otpada, nelegalnih deponija i “crnih točaka” koje će pridonijeti smanjenju štetnih okolišnih utjecaja neadekvatnog gospodarenja otpadom;</w:t>
            </w:r>
          </w:p>
          <w:p w:rsidR="00D57817" w:rsidRPr="00C832F1"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aktivnosti pripreme projekta .</w:t>
            </w:r>
          </w:p>
          <w:p w:rsidR="00D57817" w:rsidRPr="00576C1D" w:rsidRDefault="00D57817"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6i2</w:t>
            </w:r>
          </w:p>
        </w:tc>
      </w:tr>
    </w:tbl>
    <w:p w:rsidR="00FC1F9B" w:rsidRDefault="00FC1F9B" w:rsidP="00FC1F9B">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1"/>
          <w:sz w:val="24"/>
          <w:szCs w:val="24"/>
          <w:lang w:eastAsia="hr-HR"/>
        </w:rPr>
      </w:pPr>
    </w:p>
    <w:p w:rsidR="00FC1F9B" w:rsidRDefault="00FC1F9B" w:rsidP="00FC1F9B">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1"/>
          <w:sz w:val="24"/>
          <w:szCs w:val="24"/>
          <w:lang w:eastAsia="hr-HR"/>
        </w:rPr>
      </w:pPr>
    </w:p>
    <w:p w:rsidR="00FC3F35" w:rsidRDefault="00FC3F35" w:rsidP="00FC1F9B">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lang w:eastAsia="hr-HR"/>
        </w:rPr>
      </w:pPr>
      <w:r w:rsidRPr="00576C1D">
        <w:rPr>
          <w:rFonts w:ascii="Times New Roman" w:eastAsia="Times New Roman" w:hAnsi="Times New Roman" w:cs="Times New Roman"/>
          <w:b/>
          <w:i/>
          <w:iCs/>
          <w:color w:val="000000"/>
          <w:spacing w:val="1"/>
          <w:sz w:val="24"/>
          <w:szCs w:val="24"/>
          <w:lang w:eastAsia="hr-HR"/>
        </w:rPr>
        <w:t xml:space="preserve">2.A.6.2 </w:t>
      </w:r>
      <w:r w:rsidRPr="00576C1D">
        <w:rPr>
          <w:rFonts w:ascii="Times New Roman" w:eastAsia="Times New Roman" w:hAnsi="Times New Roman" w:cs="Times New Roman"/>
          <w:b/>
          <w:i/>
          <w:sz w:val="24"/>
          <w:szCs w:val="24"/>
          <w:lang w:eastAsia="hr-HR"/>
        </w:rPr>
        <w:t>Vodeća načela za odabir operacija</w:t>
      </w:r>
    </w:p>
    <w:tbl>
      <w:tblPr>
        <w:tblStyle w:val="TableGrid"/>
        <w:tblW w:w="0" w:type="auto"/>
        <w:tblLook w:val="04A0" w:firstRow="1" w:lastRow="0" w:firstColumn="1" w:lastColumn="0" w:noHBand="0" w:noVBand="1"/>
      </w:tblPr>
      <w:tblGrid>
        <w:gridCol w:w="1171"/>
        <w:gridCol w:w="14530"/>
      </w:tblGrid>
      <w:tr w:rsidR="00FC1F9B" w:rsidRPr="005E763C" w:rsidTr="00FC1F9B">
        <w:tc>
          <w:tcPr>
            <w:tcW w:w="1171" w:type="dxa"/>
            <w:vAlign w:val="center"/>
          </w:tcPr>
          <w:p w:rsidR="00FC1F9B" w:rsidRPr="00C832F1" w:rsidRDefault="00FC1F9B"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tc>
        <w:tc>
          <w:tcPr>
            <w:tcW w:w="14530" w:type="dxa"/>
            <w:vAlign w:val="center"/>
          </w:tcPr>
          <w:p w:rsidR="00FC1F9B" w:rsidRPr="00C832F1" w:rsidRDefault="00FC1F9B" w:rsidP="00A552D9">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color w:val="000000"/>
                <w:spacing w:val="-1"/>
                <w:sz w:val="18"/>
                <w:szCs w:val="18"/>
              </w:rPr>
              <w:t xml:space="preserve">6i - </w:t>
            </w:r>
            <w:r w:rsidRPr="00576C1D">
              <w:rPr>
                <w:rFonts w:ascii="Times New Roman" w:hAnsi="Times New Roman"/>
                <w:bCs/>
                <w:color w:val="000000"/>
                <w:lang w:eastAsia="el-GR"/>
              </w:rPr>
              <w:t>Ulaganje u sektor otpada kako bi se ispunili zahtjevi pravne stečevine Unije u području okoliša i zadovoljile potrebe koje su utvrdile države članice za ulaganjem koje nadilazi te zahtjeve</w:t>
            </w:r>
          </w:p>
        </w:tc>
      </w:tr>
      <w:tr w:rsidR="00FC1F9B" w:rsidRPr="005E763C" w:rsidTr="00FC1F9B">
        <w:tc>
          <w:tcPr>
            <w:tcW w:w="15701" w:type="dxa"/>
            <w:gridSpan w:val="2"/>
            <w:vAlign w:val="center"/>
          </w:tcPr>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p>
        </w:tc>
      </w:tr>
      <w:tr w:rsidR="00FC1F9B" w:rsidRPr="005E763C" w:rsidTr="00FC1F9B">
        <w:tc>
          <w:tcPr>
            <w:tcW w:w="15701" w:type="dxa"/>
            <w:gridSpan w:val="2"/>
            <w:vAlign w:val="center"/>
          </w:tcPr>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 xml:space="preserve">Konkretno, odabir operacija temelji se na odgovarajućoj i objektivnoj procjeni prijedloga, nakon transparentnih poziva. Glavni kriterij će biti: </w:t>
            </w:r>
          </w:p>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doprinos operacije specifičnom cilju za odgovarajući  investicijski prioritet.</w:t>
            </w:r>
          </w:p>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Ostali kriteriji koji će se razmatrati:</w:t>
            </w:r>
          </w:p>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zrelost, smanjenje rizika vezano uz odgovarajuću provedbu i značajne rezultate;</w:t>
            </w:r>
          </w:p>
          <w:p w:rsidR="00FC1F9B"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integracija postojećih struktura ili infrastrukture uključivanjem projekata koji predstavljaju fazu šire intervencije unutar prethodnog programskog razdoblja (podjela na faze);</w:t>
            </w:r>
          </w:p>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usklađenost s europskim i nacionalnim zakonodavstvom (sektorske ili horizontalne politike itd.);</w:t>
            </w:r>
          </w:p>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hitnost osiguravanja odgovarajućih postrojenja za gospodarenje otpadom zbog sprečavanja rizika za okoliš i ispunjenja zakonskih uvjeta;</w:t>
            </w:r>
          </w:p>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ekonomičnost (najbolja vrijednost za novac);</w:t>
            </w:r>
          </w:p>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kvaliteta rezultata i održivost, osobito s obzirom na buduće smanjenje stvaranja otpada;</w:t>
            </w:r>
          </w:p>
          <w:p w:rsidR="00FC1F9B" w:rsidRPr="00576C1D"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w:t>
            </w:r>
            <w:r w:rsidRPr="00C832F1">
              <w:rPr>
                <w:rFonts w:ascii="Times New Roman" w:eastAsia="AngsanaUPC" w:hAnsi="Times New Roman"/>
                <w:bCs/>
                <w:sz w:val="18"/>
                <w:szCs w:val="18"/>
                <w:lang w:eastAsia="lt-LT"/>
              </w:rPr>
              <w:tab/>
              <w:t>ulaganja u reciklažna postrojenja samo gdje postoji tržišni neuspjeh, tj. recikliranje materijala koji nisu podobni za komercijalnu eksploataciju.</w:t>
            </w:r>
          </w:p>
        </w:tc>
      </w:tr>
    </w:tbl>
    <w:p w:rsidR="00FC3F35" w:rsidRPr="00576C1D" w:rsidRDefault="00FC3F35"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p>
    <w:p w:rsidR="00013FAE" w:rsidRDefault="00013FAE" w:rsidP="00FC1F9B">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1"/>
          <w:sz w:val="24"/>
          <w:szCs w:val="24"/>
          <w:lang w:eastAsia="hr-HR"/>
        </w:rPr>
      </w:pPr>
    </w:p>
    <w:p w:rsidR="00FC3F35" w:rsidRDefault="00FC3F35" w:rsidP="00FC1F9B">
      <w:pPr>
        <w:widowControl w:val="0"/>
        <w:shd w:val="clear" w:color="auto" w:fill="FFFFFF"/>
        <w:autoSpaceDE w:val="0"/>
        <w:autoSpaceDN w:val="0"/>
        <w:adjustRightInd w:val="0"/>
        <w:spacing w:after="0" w:line="240" w:lineRule="auto"/>
        <w:rPr>
          <w:rFonts w:ascii="Times New Roman" w:eastAsia="Times New Roman" w:hAnsi="Times New Roman" w:cs="Times New Roman"/>
          <w:iCs/>
          <w:color w:val="000000"/>
          <w:spacing w:val="1"/>
          <w:sz w:val="24"/>
          <w:szCs w:val="24"/>
          <w:lang w:eastAsia="hr-HR"/>
        </w:rPr>
      </w:pPr>
      <w:r w:rsidRPr="00576C1D">
        <w:rPr>
          <w:rFonts w:ascii="Times New Roman" w:eastAsia="Times New Roman" w:hAnsi="Times New Roman" w:cs="Times New Roman"/>
          <w:b/>
          <w:i/>
          <w:iCs/>
          <w:color w:val="000000"/>
          <w:spacing w:val="1"/>
          <w:sz w:val="24"/>
          <w:szCs w:val="24"/>
          <w:lang w:eastAsia="hr-HR"/>
        </w:rPr>
        <w:t>2.A.6.3 Planirano korištenje financijskih instrumenata</w:t>
      </w:r>
      <w:r w:rsidRPr="00576C1D">
        <w:rPr>
          <w:rFonts w:ascii="Times New Roman" w:eastAsia="Times New Roman" w:hAnsi="Times New Roman" w:cs="Times New Roman"/>
          <w:iCs/>
          <w:color w:val="000000"/>
          <w:spacing w:val="1"/>
          <w:sz w:val="24"/>
          <w:szCs w:val="24"/>
          <w:lang w:eastAsia="hr-HR"/>
        </w:rPr>
        <w:t>(po potrebi)</w:t>
      </w:r>
    </w:p>
    <w:tbl>
      <w:tblPr>
        <w:tblStyle w:val="TableGrid"/>
        <w:tblW w:w="0" w:type="auto"/>
        <w:tblLook w:val="04A0" w:firstRow="1" w:lastRow="0" w:firstColumn="1" w:lastColumn="0" w:noHBand="0" w:noVBand="1"/>
      </w:tblPr>
      <w:tblGrid>
        <w:gridCol w:w="1171"/>
        <w:gridCol w:w="14530"/>
      </w:tblGrid>
      <w:tr w:rsidR="00FC1F9B" w:rsidRPr="005E763C" w:rsidTr="00FC1F9B">
        <w:tc>
          <w:tcPr>
            <w:tcW w:w="1171" w:type="dxa"/>
            <w:vAlign w:val="center"/>
          </w:tcPr>
          <w:p w:rsidR="00FC1F9B" w:rsidRPr="00C832F1" w:rsidRDefault="00FC1F9B"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tc>
        <w:tc>
          <w:tcPr>
            <w:tcW w:w="14530" w:type="dxa"/>
            <w:vAlign w:val="center"/>
          </w:tcPr>
          <w:p w:rsidR="00FC1F9B" w:rsidRPr="00C832F1" w:rsidRDefault="00FC1F9B" w:rsidP="00A552D9">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color w:val="000000"/>
                <w:spacing w:val="-1"/>
                <w:sz w:val="18"/>
                <w:szCs w:val="18"/>
              </w:rPr>
              <w:t xml:space="preserve">6i - </w:t>
            </w:r>
            <w:r w:rsidRPr="00576C1D">
              <w:rPr>
                <w:rFonts w:ascii="Times New Roman" w:hAnsi="Times New Roman"/>
                <w:bCs/>
                <w:color w:val="000000"/>
                <w:lang w:eastAsia="el-GR"/>
              </w:rPr>
              <w:t>Ulaganje u sektor otpada kako bi se ispunili zahtjevi pravne stečevine Unije u području okoliša i zadovoljile potrebe koje su utvrdile države članice za ulaganjem koje nadilazi te zahtjeve</w:t>
            </w:r>
          </w:p>
        </w:tc>
      </w:tr>
      <w:tr w:rsidR="00FC1F9B" w:rsidRPr="005E763C" w:rsidTr="00FC1F9B">
        <w:tc>
          <w:tcPr>
            <w:tcW w:w="15701" w:type="dxa"/>
            <w:gridSpan w:val="2"/>
            <w:vAlign w:val="center"/>
          </w:tcPr>
          <w:p w:rsidR="00FC1F9B" w:rsidRPr="00576C1D"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Nije predviđeno</w:t>
            </w:r>
            <w:r>
              <w:rPr>
                <w:rFonts w:ascii="Times New Roman" w:eastAsia="AngsanaUPC" w:hAnsi="Times New Roman"/>
                <w:bCs/>
                <w:sz w:val="18"/>
                <w:szCs w:val="18"/>
                <w:lang w:eastAsia="lt-LT"/>
              </w:rPr>
              <w:t>.</w:t>
            </w:r>
          </w:p>
        </w:tc>
      </w:tr>
    </w:tbl>
    <w:p w:rsidR="00FC1F9B" w:rsidRPr="00576C1D" w:rsidRDefault="00FC1F9B" w:rsidP="00FC3F35">
      <w:pPr>
        <w:widowControl w:val="0"/>
        <w:shd w:val="clear" w:color="auto" w:fill="FFFFFF"/>
        <w:autoSpaceDE w:val="0"/>
        <w:autoSpaceDN w:val="0"/>
        <w:adjustRightInd w:val="0"/>
        <w:spacing w:before="970" w:after="187" w:line="240" w:lineRule="auto"/>
        <w:ind w:left="533"/>
        <w:rPr>
          <w:rFonts w:ascii="Times New Roman" w:eastAsia="Times New Roman" w:hAnsi="Times New Roman" w:cs="Times New Roman"/>
          <w:sz w:val="20"/>
          <w:szCs w:val="20"/>
          <w:lang w:eastAsia="hr-HR"/>
        </w:rPr>
        <w:sectPr w:rsidR="00FC1F9B" w:rsidRPr="00576C1D">
          <w:type w:val="continuous"/>
          <w:pgSz w:w="16834" w:h="11909" w:orient="landscape"/>
          <w:pgMar w:top="1205" w:right="541" w:bottom="360" w:left="540" w:header="720" w:footer="720" w:gutter="0"/>
          <w:cols w:space="60"/>
          <w:noEndnote/>
        </w:sectPr>
      </w:pPr>
    </w:p>
    <w:p w:rsidR="00013FAE" w:rsidRDefault="00013FAE" w:rsidP="00FC1F9B">
      <w:pPr>
        <w:widowControl w:val="0"/>
        <w:shd w:val="clear" w:color="auto" w:fill="FFFFFF"/>
        <w:autoSpaceDE w:val="0"/>
        <w:autoSpaceDN w:val="0"/>
        <w:adjustRightInd w:val="0"/>
        <w:spacing w:after="182" w:line="240" w:lineRule="auto"/>
        <w:rPr>
          <w:rFonts w:ascii="Times New Roman" w:eastAsia="Times New Roman" w:hAnsi="Times New Roman" w:cs="Times New Roman"/>
          <w:b/>
          <w:i/>
          <w:iCs/>
          <w:color w:val="000000"/>
          <w:sz w:val="24"/>
          <w:szCs w:val="24"/>
          <w:lang w:eastAsia="hr-HR"/>
        </w:rPr>
      </w:pPr>
    </w:p>
    <w:p w:rsidR="00FC3F35" w:rsidRDefault="00FC3F35" w:rsidP="00013FAE">
      <w:pPr>
        <w:widowControl w:val="0"/>
        <w:shd w:val="clear" w:color="auto" w:fill="FFFFFF"/>
        <w:autoSpaceDE w:val="0"/>
        <w:autoSpaceDN w:val="0"/>
        <w:adjustRightInd w:val="0"/>
        <w:spacing w:after="0" w:line="240" w:lineRule="auto"/>
        <w:rPr>
          <w:rFonts w:ascii="Times New Roman" w:eastAsia="Times New Roman" w:hAnsi="Times New Roman" w:cs="Times New Roman"/>
          <w:iCs/>
          <w:color w:val="000000"/>
          <w:sz w:val="24"/>
          <w:szCs w:val="24"/>
          <w:lang w:eastAsia="hr-HR"/>
        </w:rPr>
      </w:pPr>
      <w:r w:rsidRPr="00576C1D">
        <w:rPr>
          <w:rFonts w:ascii="Times New Roman" w:eastAsia="Times New Roman" w:hAnsi="Times New Roman" w:cs="Times New Roman"/>
          <w:b/>
          <w:i/>
          <w:iCs/>
          <w:color w:val="000000"/>
          <w:sz w:val="24"/>
          <w:szCs w:val="24"/>
          <w:lang w:eastAsia="hr-HR"/>
        </w:rPr>
        <w:t>2.A.6.4 Planirano korištenje velikih projekata</w:t>
      </w:r>
      <w:r w:rsidRPr="00576C1D">
        <w:rPr>
          <w:rFonts w:ascii="Times New Roman" w:eastAsia="Times New Roman" w:hAnsi="Times New Roman" w:cs="Times New Roman"/>
          <w:iCs/>
          <w:color w:val="000000"/>
          <w:sz w:val="24"/>
          <w:szCs w:val="24"/>
          <w:lang w:eastAsia="hr-HR"/>
        </w:rPr>
        <w:t>(po potrebi)</w:t>
      </w:r>
    </w:p>
    <w:tbl>
      <w:tblPr>
        <w:tblStyle w:val="TableGrid"/>
        <w:tblW w:w="0" w:type="auto"/>
        <w:tblInd w:w="108" w:type="dxa"/>
        <w:tblLook w:val="04A0" w:firstRow="1" w:lastRow="0" w:firstColumn="1" w:lastColumn="0" w:noHBand="0" w:noVBand="1"/>
      </w:tblPr>
      <w:tblGrid>
        <w:gridCol w:w="1237"/>
        <w:gridCol w:w="14530"/>
      </w:tblGrid>
      <w:tr w:rsidR="00FC1F9B" w:rsidRPr="00FC1F9B" w:rsidTr="00FC1F9B">
        <w:tc>
          <w:tcPr>
            <w:tcW w:w="1129" w:type="dxa"/>
            <w:vAlign w:val="center"/>
          </w:tcPr>
          <w:p w:rsidR="00FC1F9B" w:rsidRPr="00FC1F9B" w:rsidRDefault="00FC1F9B" w:rsidP="00A552D9">
            <w:pPr>
              <w:widowControl w:val="0"/>
              <w:shd w:val="clear" w:color="auto" w:fill="FFFFFF"/>
              <w:autoSpaceDE w:val="0"/>
              <w:autoSpaceDN w:val="0"/>
              <w:adjustRightInd w:val="0"/>
              <w:rPr>
                <w:rFonts w:ascii="Times New Roman" w:hAnsi="Times New Roman"/>
              </w:rPr>
            </w:pPr>
            <w:r w:rsidRPr="00FC1F9B">
              <w:rPr>
                <w:rFonts w:ascii="Times New Roman" w:hAnsi="Times New Roman"/>
                <w:b/>
                <w:bCs/>
                <w:color w:val="000000"/>
                <w:spacing w:val="-1"/>
              </w:rPr>
              <w:t>Investicijski prioritet</w:t>
            </w:r>
          </w:p>
        </w:tc>
        <w:tc>
          <w:tcPr>
            <w:tcW w:w="14530" w:type="dxa"/>
            <w:vAlign w:val="center"/>
          </w:tcPr>
          <w:p w:rsidR="00FC1F9B" w:rsidRPr="00FC1F9B" w:rsidRDefault="00FC1F9B" w:rsidP="00A552D9">
            <w:pPr>
              <w:widowControl w:val="0"/>
              <w:shd w:val="clear" w:color="auto" w:fill="FFFFFF"/>
              <w:autoSpaceDE w:val="0"/>
              <w:autoSpaceDN w:val="0"/>
              <w:adjustRightInd w:val="0"/>
              <w:rPr>
                <w:rFonts w:ascii="Times New Roman" w:hAnsi="Times New Roman"/>
                <w:color w:val="000000"/>
                <w:spacing w:val="-1"/>
              </w:rPr>
            </w:pPr>
            <w:r w:rsidRPr="00FC1F9B">
              <w:rPr>
                <w:rFonts w:ascii="Times New Roman" w:hAnsi="Times New Roman"/>
                <w:color w:val="000000"/>
                <w:spacing w:val="-1"/>
              </w:rPr>
              <w:t xml:space="preserve">6i - </w:t>
            </w:r>
            <w:r w:rsidRPr="00FC1F9B">
              <w:rPr>
                <w:rFonts w:ascii="Times New Roman" w:hAnsi="Times New Roman"/>
                <w:bCs/>
                <w:color w:val="000000"/>
                <w:lang w:eastAsia="el-GR"/>
              </w:rPr>
              <w:t>Ulaganje u sektor otpada kako bi se ispunili zahtjevi pravne stečevine Unije u području okoliša i zadovoljile potrebe koje su utvrdile države članice za ulaganjem koje nadilazi te zahtjeve</w:t>
            </w:r>
          </w:p>
        </w:tc>
      </w:tr>
      <w:tr w:rsidR="00FC1F9B" w:rsidRPr="00FC1F9B" w:rsidTr="00FC1F9B">
        <w:tc>
          <w:tcPr>
            <w:tcW w:w="15659" w:type="dxa"/>
            <w:gridSpan w:val="2"/>
            <w:vAlign w:val="center"/>
          </w:tcPr>
          <w:p w:rsidR="00013FAE" w:rsidRDefault="00FC1F9B" w:rsidP="00013FAE">
            <w:pPr>
              <w:widowControl w:val="0"/>
              <w:shd w:val="clear" w:color="auto" w:fill="FFFFFF"/>
              <w:autoSpaceDE w:val="0"/>
              <w:autoSpaceDN w:val="0"/>
              <w:adjustRightInd w:val="0"/>
              <w:rPr>
                <w:rFonts w:ascii="Times New Roman" w:eastAsia="AngsanaUPC" w:hAnsi="Times New Roman"/>
                <w:bCs/>
                <w:lang w:eastAsia="lt-LT"/>
              </w:rPr>
            </w:pPr>
            <w:r w:rsidRPr="00FC1F9B">
              <w:rPr>
                <w:rFonts w:ascii="Times New Roman" w:eastAsia="AngsanaUPC" w:hAnsi="Times New Roman"/>
                <w:bCs/>
                <w:lang w:eastAsia="lt-LT"/>
              </w:rPr>
              <w:t>Veliki projekti su predviđeni ovim investicijskim prioritetom koji se odnosi na gradnju centara za gospodarenje otpadom (CGO-ova), sanaciju lokacija izrazito zagađenih otpadom (“crne točke”) i sanaciju odlagališta komunalnog otpada.</w:t>
            </w:r>
          </w:p>
          <w:p w:rsidR="00FC1F9B" w:rsidRPr="00FC1F9B" w:rsidRDefault="00FC1F9B" w:rsidP="00013FAE">
            <w:pPr>
              <w:widowControl w:val="0"/>
              <w:shd w:val="clear" w:color="auto" w:fill="FFFFFF"/>
              <w:autoSpaceDE w:val="0"/>
              <w:autoSpaceDN w:val="0"/>
              <w:adjustRightInd w:val="0"/>
              <w:rPr>
                <w:rFonts w:ascii="Times New Roman" w:hAnsi="Times New Roman"/>
              </w:rPr>
            </w:pPr>
            <w:r w:rsidRPr="00FC1F9B">
              <w:rPr>
                <w:rFonts w:ascii="Times New Roman" w:eastAsia="AngsanaUPC" w:hAnsi="Times New Roman"/>
                <w:bCs/>
                <w:lang w:eastAsia="lt-LT"/>
              </w:rPr>
              <w:t xml:space="preserve">Gradnja postrojenja za obradu otpada unutar CGO-ova će osigurati smanjenje odlaganja biorazgradivog otpada na deponije, smanjenje udjela komunalnog </w:t>
            </w:r>
            <w:r w:rsidRPr="00FC1F9B">
              <w:rPr>
                <w:rFonts w:ascii="Times New Roman" w:hAnsi="Times New Roman"/>
              </w:rPr>
              <w:t>otpada koji se odlaže na ili u zemlju te dodatno odvajanje otpada, koje će također doprinijeti specifičnom cilju vezanom za količinu komunalnog otpada koji se šalje na reciklažu, ponovnu upotrebu ili oporabu</w:t>
            </w:r>
            <w:r w:rsidRPr="00FC1F9B">
              <w:rPr>
                <w:rFonts w:ascii="Times New Roman" w:hAnsi="Times New Roman"/>
                <w:color w:val="000000"/>
              </w:rPr>
              <w:t>.</w:t>
            </w:r>
          </w:p>
          <w:p w:rsidR="00FC1F9B" w:rsidRPr="00FC1F9B" w:rsidRDefault="00FC1F9B" w:rsidP="00A552D9">
            <w:pPr>
              <w:widowControl w:val="0"/>
              <w:shd w:val="clear" w:color="auto" w:fill="FFFFFF"/>
              <w:autoSpaceDE w:val="0"/>
              <w:autoSpaceDN w:val="0"/>
              <w:adjustRightInd w:val="0"/>
              <w:rPr>
                <w:rFonts w:ascii="Times New Roman" w:eastAsia="AngsanaUPC" w:hAnsi="Times New Roman"/>
                <w:bCs/>
                <w:lang w:eastAsia="lt-LT"/>
              </w:rPr>
            </w:pPr>
          </w:p>
        </w:tc>
      </w:tr>
    </w:tbl>
    <w:p w:rsidR="00FC3F35" w:rsidRPr="00576C1D" w:rsidRDefault="00FC3F35"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 xml:space="preserve">2.A.6.5 </w:t>
      </w:r>
      <w:r w:rsidRPr="00576C1D">
        <w:rPr>
          <w:rFonts w:ascii="Times New Roman" w:eastAsia="Times New Roman" w:hAnsi="Times New Roman" w:cs="Times New Roman"/>
          <w:b/>
          <w:i/>
          <w:iCs/>
          <w:sz w:val="24"/>
          <w:szCs w:val="24"/>
          <w:lang w:eastAsia="hr-HR"/>
        </w:rPr>
        <w:t>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4" w:after="0" w:line="278" w:lineRule="exact"/>
        <w:ind w:left="538" w:right="883"/>
        <w:rPr>
          <w:rFonts w:ascii="Times New Roman" w:eastAsia="Times New Roman" w:hAnsi="Times New Roman" w:cs="Times New Roman"/>
          <w:sz w:val="2"/>
          <w:szCs w:val="2"/>
          <w:lang w:eastAsia="hr-HR"/>
        </w:rPr>
      </w:pPr>
      <w:r w:rsidRPr="00576C1D">
        <w:rPr>
          <w:rFonts w:ascii="Times New Roman" w:eastAsia="Times New Roman" w:hAnsi="Times New Roman" w:cs="Times New Roman"/>
          <w:b/>
          <w:bCs/>
          <w:color w:val="000000"/>
          <w:spacing w:val="-1"/>
          <w:sz w:val="24"/>
          <w:szCs w:val="24"/>
          <w:lang w:eastAsia="hr-HR"/>
        </w:rPr>
        <w:t xml:space="preserve">Tablica 5: </w:t>
      </w:r>
      <w:r w:rsidRPr="00576C1D">
        <w:rPr>
          <w:rFonts w:ascii="Times New Roman" w:eastAsia="Times New Roman" w:hAnsi="Times New Roman" w:cs="Times New Roman"/>
          <w:b/>
          <w:sz w:val="24"/>
          <w:szCs w:val="24"/>
          <w:lang w:eastAsia="hr-HR"/>
        </w:rPr>
        <w:t xml:space="preserve">Zajednički i specifični pokazatelji neposrednih rezultata </w:t>
      </w:r>
      <w:r w:rsidRPr="00576C1D">
        <w:rPr>
          <w:rFonts w:ascii="Times New Roman" w:eastAsia="Times New Roman" w:hAnsi="Times New Roman" w:cs="Times New Roman"/>
          <w:sz w:val="24"/>
          <w:szCs w:val="24"/>
          <w:lang w:eastAsia="hr-HR"/>
        </w:rPr>
        <w:t>(po investicijskom prioritetu, podijeljeni na kategorije regije za ESF i, po potrebi, za EFRR)</w:t>
      </w: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824"/>
      </w:tblGrid>
      <w:tr w:rsidR="00FC3F35" w:rsidRPr="00576C1D" w:rsidTr="00FC1F9B">
        <w:trPr>
          <w:trHeight w:hRule="exact" w:val="624"/>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3450"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bCs/>
                <w:color w:val="000000"/>
                <w:sz w:val="16"/>
                <w:szCs w:val="16"/>
                <w:lang w:eastAsia="hr-HR"/>
              </w:rPr>
              <w:t xml:space="preserve">6i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8"/>
                <w:szCs w:val="18"/>
                <w:lang w:eastAsia="el-GR"/>
              </w:rPr>
              <w:t>Ulaganje u sektor otpada kako bi se ispunili zahtjevi pravne stečevine Unije u području okoliša i zadovoljile potrebe koje su utvrdile države članice za ulaganjem koje nadilazi te zahtjeve</w:t>
            </w:r>
          </w:p>
          <w:p w:rsidR="00FC3F35" w:rsidRPr="00576C1D" w:rsidRDefault="00FC3F35" w:rsidP="00FC3F35">
            <w:pPr>
              <w:widowControl w:val="0"/>
              <w:shd w:val="clear" w:color="auto" w:fill="FFFFFF"/>
              <w:autoSpaceDE w:val="0"/>
              <w:autoSpaceDN w:val="0"/>
              <w:adjustRightInd w:val="0"/>
              <w:spacing w:after="0" w:line="182" w:lineRule="exact"/>
              <w:ind w:right="14" w:hanging="5"/>
              <w:rPr>
                <w:rFonts w:ascii="Times New Roman" w:eastAsia="Times New Roman" w:hAnsi="Times New Roman" w:cs="Times New Roman"/>
                <w:sz w:val="20"/>
                <w:szCs w:val="20"/>
                <w:lang w:eastAsia="hr-HR"/>
              </w:rPr>
            </w:pPr>
          </w:p>
        </w:tc>
      </w:tr>
      <w:tr w:rsidR="00FC3F35" w:rsidRPr="00576C1D" w:rsidTr="00FC1F9B">
        <w:trPr>
          <w:trHeight w:hRule="exact" w:val="442"/>
        </w:trPr>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82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izvještavanja</w:t>
            </w:r>
          </w:p>
        </w:tc>
      </w:tr>
      <w:tr w:rsidR="00FC3F35" w:rsidRPr="00576C1D" w:rsidTr="00FC1F9B">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82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1F9B">
        <w:trPr>
          <w:trHeight w:hRule="exact" w:val="1171"/>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CO22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Obnova zemlje: Ukupna površina područja  sanirane zemlje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Hektari</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350,00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1F9B">
        <w:trPr>
          <w:trHeight w:hRule="exact" w:val="1162"/>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6ca25</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9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Uspostavljeni i u potpunosti funkcionalni novi centri za gospodarenje otpadom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r w:rsidR="00FC3F35" w:rsidRPr="00576C1D" w:rsidTr="00FC1F9B">
        <w:trPr>
          <w:trHeight w:hRule="exact" w:val="82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6cal2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3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Zatvorena  i sanirana odlagališta otpada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6"/>
                <w:szCs w:val="16"/>
                <w:lang w:eastAsia="hr-HR"/>
              </w:rPr>
              <w:t>ISU</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Jednom godišnje</w:t>
            </w:r>
          </w:p>
        </w:tc>
      </w:tr>
    </w:tbl>
    <w:p w:rsidR="00013FAE" w:rsidRDefault="00013FAE"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2"/>
          <w:sz w:val="24"/>
          <w:szCs w:val="24"/>
          <w:lang w:eastAsia="hr-HR"/>
        </w:rPr>
      </w:pPr>
    </w:p>
    <w:p w:rsidR="00013FAE" w:rsidRDefault="00013FAE">
      <w:pPr>
        <w:rPr>
          <w:rFonts w:ascii="Times New Roman" w:eastAsia="Times New Roman" w:hAnsi="Times New Roman" w:cs="Times New Roman"/>
          <w:b/>
          <w:bCs/>
          <w:color w:val="000000"/>
          <w:spacing w:val="-2"/>
          <w:sz w:val="24"/>
          <w:szCs w:val="24"/>
          <w:lang w:eastAsia="hr-HR"/>
        </w:rPr>
      </w:pPr>
      <w:r>
        <w:rPr>
          <w:rFonts w:ascii="Times New Roman" w:eastAsia="Times New Roman" w:hAnsi="Times New Roman" w:cs="Times New Roman"/>
          <w:b/>
          <w:bCs/>
          <w:color w:val="000000"/>
          <w:spacing w:val="-2"/>
          <w:sz w:val="24"/>
          <w:szCs w:val="24"/>
          <w:lang w:eastAsia="hr-HR"/>
        </w:rPr>
        <w:lastRenderedPageBreak/>
        <w:br w:type="page"/>
      </w:r>
    </w:p>
    <w:p w:rsidR="00FC3F35"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2"/>
          <w:sz w:val="24"/>
          <w:szCs w:val="24"/>
          <w:lang w:eastAsia="hr-HR"/>
        </w:rPr>
      </w:pPr>
      <w:r w:rsidRPr="00576C1D">
        <w:rPr>
          <w:rFonts w:ascii="Times New Roman" w:eastAsia="Times New Roman" w:hAnsi="Times New Roman" w:cs="Times New Roman"/>
          <w:b/>
          <w:bCs/>
          <w:color w:val="000000"/>
          <w:spacing w:val="-2"/>
          <w:sz w:val="24"/>
          <w:szCs w:val="24"/>
          <w:lang w:eastAsia="hr-HR"/>
        </w:rPr>
        <w:lastRenderedPageBreak/>
        <w:t>2.A.4 Investicijski prioritet</w:t>
      </w:r>
    </w:p>
    <w:tbl>
      <w:tblPr>
        <w:tblStyle w:val="TableGrid"/>
        <w:tblW w:w="0" w:type="auto"/>
        <w:tblLook w:val="04A0" w:firstRow="1" w:lastRow="0" w:firstColumn="1" w:lastColumn="0" w:noHBand="0" w:noVBand="1"/>
      </w:tblPr>
      <w:tblGrid>
        <w:gridCol w:w="1171"/>
        <w:gridCol w:w="14530"/>
      </w:tblGrid>
      <w:tr w:rsidR="00FC1F9B" w:rsidRPr="005E763C" w:rsidTr="00FC1F9B">
        <w:tc>
          <w:tcPr>
            <w:tcW w:w="1171" w:type="dxa"/>
            <w:vAlign w:val="center"/>
          </w:tcPr>
          <w:p w:rsidR="00FC1F9B" w:rsidRPr="00C832F1" w:rsidRDefault="00FC1F9B"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tc>
        <w:tc>
          <w:tcPr>
            <w:tcW w:w="14530" w:type="dxa"/>
            <w:vAlign w:val="center"/>
          </w:tcPr>
          <w:p w:rsidR="00FC1F9B" w:rsidRPr="00C832F1" w:rsidRDefault="00FC1F9B" w:rsidP="00A552D9">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color w:val="000000"/>
                <w:spacing w:val="-1"/>
                <w:sz w:val="18"/>
                <w:szCs w:val="18"/>
              </w:rPr>
              <w:t xml:space="preserve">6i - </w:t>
            </w:r>
            <w:r w:rsidRPr="00576C1D">
              <w:rPr>
                <w:rFonts w:ascii="Times New Roman" w:hAnsi="Times New Roman"/>
                <w:bCs/>
                <w:color w:val="000000"/>
                <w:lang w:eastAsia="el-GR"/>
              </w:rPr>
              <w:t>Ulaganje u sektor otpada kako bi se ispunili zahtjevi pravne stečevine Unije u području okoliša i zadovoljile potrebe koje su utvrdile države članice za ulaganjem koje nadilazi te zahtjeve</w:t>
            </w:r>
          </w:p>
        </w:tc>
      </w:tr>
      <w:tr w:rsidR="00FC1F9B" w:rsidRPr="005E763C" w:rsidTr="00FC1F9B">
        <w:tc>
          <w:tcPr>
            <w:tcW w:w="15701" w:type="dxa"/>
            <w:gridSpan w:val="2"/>
            <w:vAlign w:val="center"/>
          </w:tcPr>
          <w:p w:rsidR="00FC1F9B" w:rsidRPr="00C832F1"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Veliki projekti su predviđeni ovim investicijskim prioritetom koji se odnosi na gradnju centara za gospodarenje otpadom (CGO-ova), sanaciju lokacija izrazito zagađenih otpadom (“crne točke”) i sanaciju odlagališta komunalnog otpada.</w:t>
            </w:r>
          </w:p>
          <w:p w:rsidR="00FC1F9B" w:rsidRPr="00576C1D" w:rsidRDefault="00FC1F9B"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Gradnja postrojenja za obradu otpada unutar CGO-ova će osigurati smanjenje odlaganja biorazgradivog otpada na deponije, smanjenje udjela komunalnog</w:t>
            </w:r>
          </w:p>
        </w:tc>
      </w:tr>
    </w:tbl>
    <w:p w:rsidR="00C061B4" w:rsidRDefault="00FC3F35" w:rsidP="00FC3F35">
      <w:pPr>
        <w:widowControl w:val="0"/>
        <w:shd w:val="clear" w:color="auto" w:fill="FFFFFF"/>
        <w:autoSpaceDE w:val="0"/>
        <w:autoSpaceDN w:val="0"/>
        <w:adjustRightInd w:val="0"/>
        <w:spacing w:before="566" w:after="0"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tbl>
      <w:tblPr>
        <w:tblStyle w:val="TableGrid"/>
        <w:tblW w:w="0" w:type="auto"/>
        <w:tblLook w:val="04A0" w:firstRow="1" w:lastRow="0" w:firstColumn="1" w:lastColumn="0" w:noHBand="0" w:noVBand="1"/>
      </w:tblPr>
      <w:tblGrid>
        <w:gridCol w:w="1242"/>
        <w:gridCol w:w="14459"/>
      </w:tblGrid>
      <w:tr w:rsidR="00C061B4" w:rsidRPr="005E763C" w:rsidTr="00C061B4">
        <w:tc>
          <w:tcPr>
            <w:tcW w:w="1242" w:type="dxa"/>
            <w:vAlign w:val="center"/>
          </w:tcPr>
          <w:p w:rsidR="00C061B4" w:rsidRPr="00C832F1" w:rsidRDefault="00C061B4"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Investicijski prioritet</w:t>
            </w:r>
          </w:p>
        </w:tc>
        <w:tc>
          <w:tcPr>
            <w:tcW w:w="14459" w:type="dxa"/>
            <w:vAlign w:val="center"/>
          </w:tcPr>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color w:val="000000"/>
                <w:spacing w:val="-1"/>
                <w:sz w:val="18"/>
                <w:szCs w:val="18"/>
              </w:rPr>
              <w:t xml:space="preserve">6i - </w:t>
            </w:r>
            <w:r w:rsidRPr="00576C1D">
              <w:rPr>
                <w:rFonts w:ascii="Times New Roman" w:hAnsi="Times New Roman"/>
                <w:bCs/>
                <w:color w:val="000000"/>
                <w:lang w:eastAsia="el-GR"/>
              </w:rPr>
              <w:t>Ulaganje u sektor otpada kako bi se ispunili zahtjevi pravne stečevine Unije u području okoliša i zadovoljile potrebe koje su utvrdile države članice za ulaganjem koje nadilazi te zahtjeve</w:t>
            </w:r>
          </w:p>
        </w:tc>
      </w:tr>
      <w:tr w:rsidR="00C061B4" w:rsidRPr="005E763C" w:rsidTr="00C061B4">
        <w:tc>
          <w:tcPr>
            <w:tcW w:w="15701" w:type="dxa"/>
            <w:gridSpan w:val="2"/>
            <w:vAlign w:val="center"/>
          </w:tcPr>
          <w:p w:rsidR="00C061B4" w:rsidRPr="00C832F1" w:rsidRDefault="00C061B4"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Veliki projekti su predviđeni ovim investicijskim prioritetom koji se odnosi na gradnju centara za gospodarenje otpadom (CGO-ova), sanaciju lokacija izrazito zagađenih otpadom (“crne točke”) i sanaciju odlagališta komunalnog otpada.</w:t>
            </w:r>
          </w:p>
          <w:p w:rsidR="00C061B4" w:rsidRPr="00576C1D" w:rsidRDefault="00C061B4" w:rsidP="00A552D9">
            <w:pPr>
              <w:widowControl w:val="0"/>
              <w:shd w:val="clear" w:color="auto" w:fill="FFFFFF"/>
              <w:autoSpaceDE w:val="0"/>
              <w:autoSpaceDN w:val="0"/>
              <w:adjustRightInd w:val="0"/>
              <w:rPr>
                <w:rFonts w:ascii="Times New Roman" w:eastAsia="AngsanaUPC" w:hAnsi="Times New Roman"/>
                <w:bCs/>
                <w:sz w:val="18"/>
                <w:szCs w:val="18"/>
                <w:lang w:eastAsia="lt-LT"/>
              </w:rPr>
            </w:pPr>
            <w:r w:rsidRPr="00C832F1">
              <w:rPr>
                <w:rFonts w:ascii="Times New Roman" w:eastAsia="AngsanaUPC" w:hAnsi="Times New Roman"/>
                <w:bCs/>
                <w:sz w:val="18"/>
                <w:szCs w:val="18"/>
                <w:lang w:eastAsia="lt-LT"/>
              </w:rPr>
              <w:t>Gradnja postrojenja za obradu otpada unutar CGO-ova će osigurati smanjenje odlaganja biorazgradivog otpada na deponije, smanjenje udjela komunalnog</w:t>
            </w:r>
          </w:p>
        </w:tc>
      </w:tr>
      <w:tr w:rsidR="00C061B4" w:rsidRPr="005E763C" w:rsidTr="00C061B4">
        <w:tc>
          <w:tcPr>
            <w:tcW w:w="1242" w:type="dxa"/>
            <w:vAlign w:val="center"/>
          </w:tcPr>
          <w:p w:rsidR="00C061B4" w:rsidRPr="00593567" w:rsidRDefault="00C061B4" w:rsidP="00A552D9">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Oznaka investicijskog prioritet</w:t>
            </w:r>
            <w:r w:rsidRPr="00576C1D">
              <w:rPr>
                <w:rFonts w:ascii="Times New Roman" w:hAnsi="Times New Roman"/>
                <w:sz w:val="18"/>
                <w:szCs w:val="18"/>
              </w:rPr>
              <w:t>a</w:t>
            </w:r>
          </w:p>
        </w:tc>
        <w:tc>
          <w:tcPr>
            <w:tcW w:w="14459" w:type="dxa"/>
            <w:vAlign w:val="center"/>
          </w:tcPr>
          <w:p w:rsidR="00C061B4" w:rsidRPr="00593567" w:rsidRDefault="00C061B4" w:rsidP="00A552D9">
            <w:pPr>
              <w:widowControl w:val="0"/>
              <w:shd w:val="clear" w:color="auto" w:fill="FFFFFF"/>
              <w:autoSpaceDE w:val="0"/>
              <w:autoSpaceDN w:val="0"/>
              <w:adjustRightInd w:val="0"/>
              <w:rPr>
                <w:rFonts w:ascii="Times New Roman" w:hAnsi="Times New Roman"/>
              </w:rPr>
            </w:pPr>
            <w:r>
              <w:rPr>
                <w:rFonts w:ascii="Times New Roman" w:hAnsi="Times New Roman"/>
              </w:rPr>
              <w:t>6ii 1</w:t>
            </w:r>
          </w:p>
        </w:tc>
      </w:tr>
      <w:tr w:rsidR="00C061B4" w:rsidRPr="005E763C" w:rsidTr="00C061B4">
        <w:tc>
          <w:tcPr>
            <w:tcW w:w="1242" w:type="dxa"/>
            <w:vAlign w:val="center"/>
          </w:tcPr>
          <w:p w:rsidR="00C061B4" w:rsidRPr="00576C1D" w:rsidRDefault="00C061B4" w:rsidP="00A552D9">
            <w:pPr>
              <w:widowControl w:val="0"/>
              <w:shd w:val="clear" w:color="auto" w:fill="FFFFFF"/>
              <w:autoSpaceDE w:val="0"/>
              <w:autoSpaceDN w:val="0"/>
              <w:adjustRightInd w:val="0"/>
              <w:rPr>
                <w:rFonts w:ascii="Times New Roman" w:hAnsi="Times New Roman"/>
                <w:b/>
                <w:bCs/>
                <w:color w:val="000000"/>
                <w:spacing w:val="8"/>
                <w:sz w:val="16"/>
                <w:szCs w:val="16"/>
              </w:rPr>
            </w:pPr>
            <w:r w:rsidRPr="00576C1D">
              <w:rPr>
                <w:rFonts w:ascii="Times New Roman" w:hAnsi="Times New Roman"/>
                <w:b/>
                <w:bCs/>
                <w:color w:val="000000"/>
                <w:spacing w:val="-1"/>
                <w:sz w:val="18"/>
                <w:szCs w:val="18"/>
              </w:rPr>
              <w:t>Naziv investicijskog prioriteta</w:t>
            </w:r>
          </w:p>
        </w:tc>
        <w:tc>
          <w:tcPr>
            <w:tcW w:w="14459" w:type="dxa"/>
            <w:vAlign w:val="center"/>
          </w:tcPr>
          <w:p w:rsidR="00C061B4" w:rsidRPr="00C832F1" w:rsidRDefault="00C061B4"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Cs/>
                <w:color w:val="000000"/>
                <w:lang w:eastAsia="el-GR"/>
              </w:rPr>
              <w:t>Ulaganje u sektor vodnog gospodarstva kako bi ispunili zahtjevi pravne stečevine Unije u području okoliša i zadovoljile potrebe koje su utvrdile države članice za ulaganjem koje nadilazi te zahtjeve</w:t>
            </w:r>
          </w:p>
        </w:tc>
      </w:tr>
      <w:tr w:rsidR="00C061B4" w:rsidRPr="005E763C" w:rsidTr="00C061B4">
        <w:tc>
          <w:tcPr>
            <w:tcW w:w="1242" w:type="dxa"/>
            <w:vAlign w:val="center"/>
          </w:tcPr>
          <w:p w:rsidR="00C061B4" w:rsidRPr="00C832F1" w:rsidRDefault="00C061B4"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Rezultati koje države članice žele postići uz potporu Unije</w:t>
            </w:r>
          </w:p>
        </w:tc>
        <w:tc>
          <w:tcPr>
            <w:tcW w:w="14459" w:type="dxa"/>
            <w:vAlign w:val="center"/>
          </w:tcPr>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Ovaj specifični cilj će podržati postizanje i održavanje održivog sustava upravljanja vodama  kroz ulaganja u razvoj sustava za vodoopskrbu uključujući i regionalne sustave, povećanje povezanosti mreže, smanjenje gubitaka i povećanje pouzdanosti i učinkovitosti sustava vodoopskrbe. Konkretnije, ovaj specifični cilj će pridonijeti postizanju:</w:t>
            </w:r>
          </w:p>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w:t>
            </w:r>
            <w:r w:rsidRPr="00C832F1">
              <w:rPr>
                <w:rFonts w:ascii="Times New Roman" w:hAnsi="Times New Roman"/>
                <w:color w:val="000000"/>
                <w:spacing w:val="-1"/>
                <w:sz w:val="18"/>
                <w:szCs w:val="18"/>
              </w:rPr>
              <w:tab/>
              <w:t>osiguranja dovoljne količine kvalitetne pitke vode i povećanje stope priključenosti stanovništva na javne sustave opskrbe pitkom vodom te</w:t>
            </w:r>
          </w:p>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w:t>
            </w:r>
            <w:r w:rsidRPr="00C832F1">
              <w:rPr>
                <w:rFonts w:ascii="Times New Roman" w:hAnsi="Times New Roman"/>
                <w:color w:val="000000"/>
                <w:spacing w:val="-1"/>
                <w:sz w:val="18"/>
                <w:szCs w:val="18"/>
              </w:rPr>
              <w:tab/>
              <w:t>porastu učinkovitosti vodoopskrbnih sustava smanjenjem gubitaka u sustavima.</w:t>
            </w:r>
          </w:p>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 xml:space="preserve">Nadalje, cilj je usmjeren na povećanje učinkovitosti javnih isporučitelja vodnih usluga s ciljem postizanja i održavanja održivosti u financijskom i tehničko-tehnološkom smislu te organizaciji u smislu ljudskih resursa, s ciljem uspostave jedinstvenog operatera za područje pružanja usluga koji bi pružao usluge javne vodoopskrbe, javne odvodnje te prikupljanja i obrade otpadnih voda. Na taj je način ova mjera horizontalne prirode (integriranje ciljeva SC6.2.1 i SC6.2.2). Uspostava integriranog i usklađenog vodnog režima na teritoriju Hrvatske, u skladu sa strateškim ciljevima i međunarodnim obvezama, može dovesti do veće učinkovitosti u vodoopskrbi.   </w:t>
            </w:r>
          </w:p>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Integrirani sustav upravljanja vodama će poticati pojedinačna ulaganja/operacije integralne prirode, tj. jedan projekt će uključivati sve aktivnosti/mjere neophodne za sukladnost s objema direktivama (Direktiva o obradi komunalnih otpadnih voda i Direktiva o vodi za piće) unutar pojedinih aglomeracija.</w:t>
            </w:r>
          </w:p>
        </w:tc>
      </w:tr>
      <w:tr w:rsidR="00C061B4" w:rsidRPr="005E763C" w:rsidTr="00C061B4">
        <w:tc>
          <w:tcPr>
            <w:tcW w:w="1242" w:type="dxa"/>
            <w:vAlign w:val="center"/>
          </w:tcPr>
          <w:p w:rsidR="00C061B4" w:rsidRPr="00593567" w:rsidRDefault="00C061B4" w:rsidP="00A552D9">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Oznaka investicijskog prioritet</w:t>
            </w:r>
            <w:r w:rsidRPr="00576C1D">
              <w:rPr>
                <w:rFonts w:ascii="Times New Roman" w:hAnsi="Times New Roman"/>
                <w:sz w:val="18"/>
                <w:szCs w:val="18"/>
              </w:rPr>
              <w:t>a</w:t>
            </w:r>
          </w:p>
        </w:tc>
        <w:tc>
          <w:tcPr>
            <w:tcW w:w="14459" w:type="dxa"/>
            <w:vAlign w:val="center"/>
          </w:tcPr>
          <w:p w:rsidR="00C061B4" w:rsidRPr="00593567" w:rsidRDefault="00C061B4" w:rsidP="00A552D9">
            <w:pPr>
              <w:widowControl w:val="0"/>
              <w:shd w:val="clear" w:color="auto" w:fill="FFFFFF"/>
              <w:autoSpaceDE w:val="0"/>
              <w:autoSpaceDN w:val="0"/>
              <w:adjustRightInd w:val="0"/>
              <w:rPr>
                <w:rFonts w:ascii="Times New Roman" w:hAnsi="Times New Roman"/>
              </w:rPr>
            </w:pPr>
            <w:r>
              <w:rPr>
                <w:rFonts w:ascii="Times New Roman" w:hAnsi="Times New Roman"/>
              </w:rPr>
              <w:t>6ii 2</w:t>
            </w:r>
          </w:p>
        </w:tc>
      </w:tr>
      <w:tr w:rsidR="00C061B4" w:rsidRPr="005E763C" w:rsidTr="00C061B4">
        <w:tc>
          <w:tcPr>
            <w:tcW w:w="1242" w:type="dxa"/>
            <w:vAlign w:val="center"/>
          </w:tcPr>
          <w:p w:rsidR="00C061B4" w:rsidRPr="00576C1D" w:rsidRDefault="00C061B4" w:rsidP="00A552D9">
            <w:pPr>
              <w:widowControl w:val="0"/>
              <w:shd w:val="clear" w:color="auto" w:fill="FFFFFF"/>
              <w:autoSpaceDE w:val="0"/>
              <w:autoSpaceDN w:val="0"/>
              <w:adjustRightInd w:val="0"/>
              <w:rPr>
                <w:rFonts w:ascii="Times New Roman" w:hAnsi="Times New Roman"/>
                <w:b/>
                <w:bCs/>
                <w:color w:val="000000"/>
                <w:spacing w:val="8"/>
                <w:sz w:val="16"/>
                <w:szCs w:val="16"/>
              </w:rPr>
            </w:pPr>
            <w:r w:rsidRPr="00576C1D">
              <w:rPr>
                <w:rFonts w:ascii="Times New Roman" w:hAnsi="Times New Roman"/>
                <w:b/>
                <w:bCs/>
                <w:color w:val="000000"/>
                <w:spacing w:val="-1"/>
                <w:sz w:val="18"/>
                <w:szCs w:val="18"/>
              </w:rPr>
              <w:t>Naziv investicijskog prioriteta</w:t>
            </w:r>
          </w:p>
        </w:tc>
        <w:tc>
          <w:tcPr>
            <w:tcW w:w="14459" w:type="dxa"/>
            <w:vAlign w:val="center"/>
          </w:tcPr>
          <w:p w:rsidR="00C061B4" w:rsidRPr="00C832F1" w:rsidRDefault="00C061B4" w:rsidP="00A552D9">
            <w:pPr>
              <w:widowControl w:val="0"/>
              <w:shd w:val="clear" w:color="auto" w:fill="FFFFFF"/>
              <w:autoSpaceDE w:val="0"/>
              <w:autoSpaceDN w:val="0"/>
              <w:adjustRightInd w:val="0"/>
              <w:rPr>
                <w:rFonts w:ascii="Times New Roman" w:hAnsi="Times New Roman"/>
              </w:rPr>
            </w:pPr>
            <w:r w:rsidRPr="00C832F1">
              <w:rPr>
                <w:rFonts w:ascii="Times New Roman" w:hAnsi="Times New Roman"/>
                <w:bCs/>
                <w:color w:val="000000"/>
                <w:lang w:eastAsia="el-GR"/>
              </w:rPr>
              <w:t>Razvoj sustava odvodnje i pročišćavanja otpadnih voda sa ciljem doprinosa poboljšanju stanja voda</w:t>
            </w:r>
          </w:p>
        </w:tc>
      </w:tr>
      <w:tr w:rsidR="00C061B4" w:rsidRPr="005E763C" w:rsidTr="00C061B4">
        <w:tc>
          <w:tcPr>
            <w:tcW w:w="1242" w:type="dxa"/>
            <w:vAlign w:val="center"/>
          </w:tcPr>
          <w:p w:rsidR="00C061B4" w:rsidRPr="00C832F1" w:rsidRDefault="00C061B4"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8"/>
                <w:szCs w:val="18"/>
              </w:rPr>
              <w:t>Rezultati koje države članice žele postići uz potporu Unije</w:t>
            </w:r>
          </w:p>
        </w:tc>
        <w:tc>
          <w:tcPr>
            <w:tcW w:w="14459" w:type="dxa"/>
            <w:vAlign w:val="center"/>
          </w:tcPr>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Ovaj specifični cilj podržava očuvanje kakvoće voda i sprečavanje degradacije voda  primarno u svrhu očuvanja ljudskog zdravlja i okoliša te postizanja dobrog stanja voda, s ciljem da upravljanje vodama budu održivo za plansko korištenje kroz ulaganja u pogone za sakupljanje i obradu otpadnih voda. Konkretnije, ovaj specifični cilj će pridonijeti postizanju sljedećeg:</w:t>
            </w:r>
          </w:p>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w:t>
            </w:r>
            <w:r w:rsidRPr="00C832F1">
              <w:rPr>
                <w:rFonts w:ascii="Times New Roman" w:hAnsi="Times New Roman"/>
                <w:color w:val="000000"/>
                <w:spacing w:val="-1"/>
                <w:sz w:val="18"/>
                <w:szCs w:val="18"/>
              </w:rPr>
              <w:tab/>
              <w:t>povećanju stope priključivanja stanovništva na javne kanalizacijske sustave i</w:t>
            </w:r>
          </w:p>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w:t>
            </w:r>
            <w:r w:rsidRPr="00C832F1">
              <w:rPr>
                <w:rFonts w:ascii="Times New Roman" w:hAnsi="Times New Roman"/>
                <w:color w:val="000000"/>
                <w:spacing w:val="-1"/>
                <w:sz w:val="18"/>
                <w:szCs w:val="18"/>
              </w:rPr>
              <w:tab/>
              <w:t>povećanju količine otpadne vode tretirane na odgovarajućoj razini obrade nakon prikupljanja.</w:t>
            </w:r>
          </w:p>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t xml:space="preserve">Nadalje, cilj je usmjeren na povećanje učinkovitosti javnih isporučitelja vodnih usluga s ciljem postizanja i održavanja održivosti u financijskom i tehničko-tehnološkom smislu te organizaciji u smislu ljudskih resursa, s ciljem uspostave jedinstvenog operatera za područje pružanja usluga koji bi pružao usluge javne vodoopskrbe, javne odvodnje te  prikupljanja i obrade otpadnih voda. Na taj je način ova mjera horizontalne prirode (integriranje ciljeva SC6.2.1 i SC6.2.2). Uspostava integriranog i usklađenog vodnog režima na teritoriju Hrvatske, u skladu sa strateškim ciljevima i međunarodnim obvezama, može dovesti do veće učinkovitosti u vodoopskrbi.   </w:t>
            </w:r>
          </w:p>
          <w:p w:rsidR="00C061B4" w:rsidRPr="00C832F1" w:rsidRDefault="00C061B4" w:rsidP="00A552D9">
            <w:pPr>
              <w:widowControl w:val="0"/>
              <w:shd w:val="clear" w:color="auto" w:fill="FFFFFF"/>
              <w:autoSpaceDE w:val="0"/>
              <w:autoSpaceDN w:val="0"/>
              <w:adjustRightInd w:val="0"/>
              <w:rPr>
                <w:rFonts w:ascii="Times New Roman" w:hAnsi="Times New Roman"/>
                <w:color w:val="000000"/>
                <w:spacing w:val="-1"/>
                <w:sz w:val="18"/>
                <w:szCs w:val="18"/>
              </w:rPr>
            </w:pPr>
            <w:r w:rsidRPr="00C832F1">
              <w:rPr>
                <w:rFonts w:ascii="Times New Roman" w:hAnsi="Times New Roman"/>
                <w:color w:val="000000"/>
                <w:spacing w:val="-1"/>
                <w:sz w:val="18"/>
                <w:szCs w:val="18"/>
              </w:rPr>
              <w:lastRenderedPageBreak/>
              <w:t>Integrirani sustav upravljanja vodama će poticati pojedinačna ulaganja/operacije integralne prirode, tj. jedan projekt će uključivati sve aktivnosti/mjere neophodne za sukladnost s objema Direktivama (Direktiva o obradi komunalnih otpadnih voda i Direktiva o vodi za piće) unutar pojedinih aglomeracija.</w:t>
            </w:r>
          </w:p>
        </w:tc>
      </w:tr>
    </w:tbl>
    <w:p w:rsidR="00C061B4" w:rsidRDefault="00C061B4"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pPr w:leftFromText="180" w:rightFromText="180" w:vertAnchor="text" w:tblpY="1"/>
        <w:tblOverlap w:val="never"/>
        <w:tblW w:w="0" w:type="auto"/>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9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20"/>
                <w:szCs w:val="20"/>
                <w:lang w:eastAsia="hr-HR"/>
              </w:rPr>
              <w:t xml:space="preserve">6iil - </w:t>
            </w:r>
            <w:r w:rsidRPr="00576C1D">
              <w:rPr>
                <w:rFonts w:ascii="Times New Roman" w:eastAsia="Times New Roman" w:hAnsi="Times New Roman" w:cs="Times New Roman"/>
                <w:sz w:val="20"/>
                <w:szCs w:val="20"/>
                <w:lang w:eastAsia="hr-HR"/>
              </w:rPr>
              <w:t>Poboljšanje javnog vodoopskrbnog sustava sa svrhom osiguranja kvalitete i vode za piće</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86"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prikladno)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61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sz w:val="16"/>
                <w:szCs w:val="16"/>
                <w:lang w:eastAsia="hr-HR"/>
              </w:rPr>
              <w:t>6cbll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1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Smanjenje broja stanovnika/stanovništva bez pristupa javnim  vodoopskrbnim sustavima, koja  nisu obuhvaćena monitoringomili koji su spojeni na sustave koji ne udovoljavaju mikrobiološkim i/ili kemijskim parametrima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350.000,00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270.000,00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4"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Hrvatske vode, Ministarstvo poljoprivrede (AIR, izvješća o provedbi projekta)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 xml:space="preserve">6ii2 - </w:t>
            </w:r>
            <w:r w:rsidRPr="00576C1D">
              <w:rPr>
                <w:rFonts w:ascii="Times New Roman" w:eastAsia="Times New Roman" w:hAnsi="Times New Roman" w:cs="Times New Roman"/>
                <w:sz w:val="20"/>
                <w:szCs w:val="20"/>
                <w:lang w:eastAsia="hr-HR"/>
              </w:rPr>
              <w:t>Razvoj sustava odvodnje i  pročišćavanja otpadnih voda sa ciljem doprinosa poboljšanju stanja vode</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ID</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86"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prikladno)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Polazna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682"/>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6cb23</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Aglomeracije koje su postigle sukladnost s UWWTD-om</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124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6cb24</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1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Vodna tijela s dobrim i vrlo dobrim stanjem prema pokazateljima organskog opterećenja (BOD5)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1.116,00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1.128,00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Hrvatske vode, Ministarstvo poljoprivrede (godišnje izvješće o praćenju)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6" w:right="541" w:bottom="360" w:left="540" w:header="720" w:footer="720" w:gutter="0"/>
          <w:cols w:space="60"/>
          <w:noEndnote/>
        </w:sectPr>
      </w:pPr>
      <w:r w:rsidRPr="00576C1D">
        <w:rPr>
          <w:rFonts w:ascii="Times New Roman" w:eastAsia="Times New Roman" w:hAnsi="Times New Roman" w:cs="Times New Roman"/>
          <w:sz w:val="20"/>
          <w:szCs w:val="20"/>
          <w:lang w:eastAsia="hr-HR"/>
        </w:rPr>
        <w:br w:type="textWrapping" w:clear="all"/>
      </w: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lastRenderedPageBreak/>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6" w:right="541" w:bottom="360" w:left="540" w:header="720" w:footer="720" w:gutter="0"/>
          <w:cols w:num="3" w:space="720" w:equalWidth="0">
            <w:col w:w="720" w:space="6922"/>
            <w:col w:w="720" w:space="6672"/>
            <w:col w:w="720"/>
          </w:cols>
          <w:noEndnote/>
        </w:sect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se podržava unutar prioriteta ulaganja </w:t>
      </w:r>
      <w:r w:rsidRPr="00576C1D">
        <w:rPr>
          <w:rFonts w:ascii="Times New Roman" w:eastAsia="Times New Roman" w:hAnsi="Times New Roman" w:cs="Times New Roman"/>
          <w:bCs/>
          <w:color w:val="000000"/>
          <w:sz w:val="24"/>
          <w:szCs w:val="24"/>
          <w:lang w:eastAsia="hr-HR"/>
        </w:rPr>
        <w:t>(po prioritetu ulaganja)</w:t>
      </w:r>
    </w:p>
    <w:p w:rsidR="00FC3F35" w:rsidRPr="00576C1D" w:rsidRDefault="00C244E3"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Pr>
          <w:rFonts w:ascii="Times New Roman" w:eastAsia="Times New Roman" w:hAnsi="Times New Roman" w:cs="Times New Roman"/>
          <w:b/>
          <w:noProof/>
          <w:sz w:val="18"/>
          <w:szCs w:val="18"/>
          <w:lang w:eastAsia="hr-HR"/>
        </w:rPr>
        <w:pict>
          <v:line id="Line 1540" o:spid="_x0000_s1357" style="position:absolute;left:0;text-align:left;z-index:251494912;visibility:visible;mso-position-horizontal-relative:margin" from="782.4pt,56.6pt" to="782.8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" o:allowincell="f" strokeweight=".25pt">
            <w10:wrap anchorx="margin"/>
          </v:line>
        </w:pict>
      </w:r>
      <w:r>
        <w:rPr>
          <w:rFonts w:ascii="Times New Roman" w:eastAsia="Times New Roman" w:hAnsi="Times New Roman" w:cs="Times New Roman"/>
          <w:b/>
          <w:noProof/>
          <w:sz w:val="18"/>
          <w:szCs w:val="18"/>
          <w:lang w:eastAsia="hr-HR"/>
        </w:rPr>
        <w:pict>
          <v:line id="Line 1538" o:spid="_x0000_s1356" style="position:absolute;left:0;text-align:left;flip:x;z-index:251491840;visibility:visible;mso-position-horizontal-relative:margin" from="25.9pt,56.6pt" to="26.4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" o:allowincell="f" strokeweight=".25pt">
            <w10:wrap anchorx="margin"/>
          </v:line>
        </w:pict>
      </w:r>
      <w:r w:rsidR="00FC3F35" w:rsidRPr="00576C1D">
        <w:rPr>
          <w:rFonts w:ascii="Times New Roman" w:eastAsia="Times New Roman" w:hAnsi="Times New Roman" w:cs="Times New Roman"/>
          <w:b/>
          <w:bCs/>
          <w:i/>
          <w:iCs/>
          <w:color w:val="000000"/>
          <w:spacing w:val="-2"/>
          <w:sz w:val="24"/>
          <w:szCs w:val="24"/>
          <w:lang w:eastAsia="hr-HR"/>
        </w:rPr>
        <w:t>2. A. 6.1 Opis vrste i primjeri aktivnosti koje se podržava te njihov očekivan doprinos specifičnim ciljevima uključujući, po potrebi, prepoznavanje glavnih ciljnih skupina, specifičnih ciljnih područja i vrsta korisnika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FC3F35" w:rsidRPr="00576C1D">
          <w:pgSz w:w="16834" w:h="11909" w:orient="landscape"/>
          <w:pgMar w:top="1433"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noProof/>
          <w:sz w:val="18"/>
          <w:szCs w:val="18"/>
          <w:lang w:eastAsia="hr-HR"/>
        </w:rPr>
        <w:lastRenderedPageBreak/>
        <w:pict>
          <v:line id="Line 1537" o:spid="_x0000_s1355" style="position:absolute;z-index:251490816;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ZFFwIAAC0EAAAOAAAAZHJzL2Uyb0RvYy54bWysU02P2jAQvVfqf7B8hyQE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" o:allowincell="f" strokeweight=".25pt">
            <w10:wrap anchorx="margin"/>
          </v:line>
        </w:pict>
      </w:r>
      <w:r>
        <w:rPr>
          <w:rFonts w:ascii="Times New Roman" w:eastAsia="Times New Roman" w:hAnsi="Times New Roman" w:cs="Times New Roman"/>
          <w:b/>
          <w:noProof/>
          <w:sz w:val="18"/>
          <w:szCs w:val="18"/>
          <w:lang w:eastAsia="hr-HR"/>
        </w:rPr>
        <w:pict>
          <v:line id="Line 1539" o:spid="_x0000_s1354" style="position:absolute;z-index:251493888;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XP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" o:allowincell="f" strokeweight=".7pt">
            <w10:wrap anchorx="margin"/>
          </v:line>
        </w:pict>
      </w:r>
      <w:r w:rsidR="00FC3F35" w:rsidRPr="00576C1D">
        <w:rPr>
          <w:rFonts w:ascii="Times New Roman" w:eastAsia="Times New Roman" w:hAnsi="Times New Roman" w:cs="Times New Roman"/>
          <w:b/>
          <w:sz w:val="18"/>
          <w:szCs w:val="18"/>
          <w:lang w:eastAsia="hr-HR"/>
        </w:rPr>
        <w:t xml:space="preserve"> 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18"/>
          <w:szCs w:val="18"/>
          <w:lang w:eastAsia="hr-HR"/>
        </w:rPr>
        <w:sectPr w:rsidR="00FC3F35" w:rsidRPr="00576C1D">
          <w:type w:val="continuous"/>
          <w:pgSz w:w="16834" w:h="11909" w:orient="landscape"/>
          <w:pgMar w:top="1433" w:right="1079" w:bottom="360" w:left="1183" w:header="720" w:footer="720" w:gutter="0"/>
          <w:cols w:num="2" w:space="720" w:equalWidth="0">
            <w:col w:w="1497" w:space="845"/>
            <w:col w:w="12230"/>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 xml:space="preserve">6ii - </w:t>
      </w:r>
      <w:r w:rsidRPr="00576C1D">
        <w:rPr>
          <w:rFonts w:ascii="Times New Roman" w:eastAsia="Times New Roman" w:hAnsi="Times New Roman" w:cs="Times New Roman"/>
          <w:bCs/>
          <w:color w:val="000000"/>
          <w:sz w:val="18"/>
          <w:szCs w:val="18"/>
          <w:lang w:eastAsia="el-GR"/>
        </w:rPr>
        <w:t xml:space="preserve">Ulaganje u sektor vodnoga </w:t>
      </w:r>
      <w:r w:rsidR="009403E2" w:rsidRPr="00576C1D">
        <w:rPr>
          <w:rFonts w:ascii="Times New Roman" w:eastAsia="Times New Roman" w:hAnsi="Times New Roman" w:cs="Times New Roman"/>
          <w:bCs/>
          <w:color w:val="000000"/>
          <w:sz w:val="18"/>
          <w:szCs w:val="18"/>
          <w:lang w:eastAsia="el-GR"/>
        </w:rPr>
        <w:t>gospodarstva</w:t>
      </w:r>
      <w:r w:rsidRPr="00576C1D">
        <w:rPr>
          <w:rFonts w:ascii="Times New Roman" w:eastAsia="Times New Roman" w:hAnsi="Times New Roman" w:cs="Times New Roman"/>
          <w:bCs/>
          <w:color w:val="000000"/>
          <w:sz w:val="18"/>
          <w:szCs w:val="18"/>
          <w:lang w:eastAsia="el-GR"/>
        </w:rPr>
        <w:t xml:space="preserve"> kako bi se ispunili zahtjevi pravne stečevine Unije u području okoliša i zadovoljile potrebe koje su utvrdile države članice za ulaganjem koje nadilazi te zahtjeve  </w:t>
      </w:r>
    </w:p>
    <w:p w:rsidR="00FC3F35" w:rsidRPr="00576C1D" w:rsidRDefault="00C244E3" w:rsidP="00FC3F35">
      <w:pPr>
        <w:widowControl w:val="0"/>
        <w:shd w:val="clear" w:color="auto" w:fill="FFFFFF"/>
        <w:autoSpaceDE w:val="0"/>
        <w:autoSpaceDN w:val="0"/>
        <w:adjustRightInd w:val="0"/>
        <w:spacing w:before="187" w:after="0" w:line="240" w:lineRule="auto"/>
        <w:ind w:left="619"/>
        <w:rPr>
          <w:rFonts w:ascii="Times New Roman" w:eastAsia="Times New Roman" w:hAnsi="Times New Roman" w:cs="Times New Roman"/>
          <w:i/>
          <w:sz w:val="24"/>
          <w:szCs w:val="24"/>
          <w:lang w:eastAsia="hr-HR"/>
        </w:rPr>
      </w:pPr>
      <w:r>
        <w:rPr>
          <w:rFonts w:ascii="Times New Roman" w:eastAsia="Times New Roman" w:hAnsi="Times New Roman" w:cs="Times New Roman"/>
          <w:noProof/>
          <w:sz w:val="20"/>
          <w:szCs w:val="20"/>
          <w:lang w:eastAsia="hr-HR"/>
        </w:rPr>
        <w:lastRenderedPageBreak/>
        <w:pict>
          <v:line id="Line 1541" o:spid="_x0000_s1353" style="position:absolute;left:0;text-align:left;z-index:251496960;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rX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" o:allowincell="f" strokeweight=".7pt">
            <w10:wrap anchorx="margin"/>
          </v:line>
        </w:pict>
      </w:r>
      <w:r w:rsidR="00FC3F35" w:rsidRPr="00576C1D">
        <w:rPr>
          <w:rFonts w:ascii="Times New Roman" w:eastAsia="Times New Roman" w:hAnsi="Times New Roman" w:cs="Times New Roman"/>
          <w:i/>
          <w:sz w:val="24"/>
          <w:szCs w:val="24"/>
          <w:lang w:eastAsia="hr-HR"/>
        </w:rPr>
        <w:t>Glavne ciljne skupine i korisnici</w:t>
      </w:r>
    </w:p>
    <w:p w:rsidR="00FC3F35" w:rsidRPr="00576C1D" w:rsidRDefault="00FC3F35" w:rsidP="00FC3F35">
      <w:pPr>
        <w:widowControl w:val="0"/>
        <w:shd w:val="clear" w:color="auto" w:fill="FFFFFF"/>
        <w:autoSpaceDE w:val="0"/>
        <w:autoSpaceDN w:val="0"/>
        <w:adjustRightInd w:val="0"/>
        <w:spacing w:before="619" w:after="0" w:line="552" w:lineRule="exact"/>
        <w:ind w:left="6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Državna tijela i organizacije odgovorne za upravljanje vodama, tijela lokalne vlasti, javni isporučitelji vodnih usluga, Hrvatske vode</w:t>
      </w:r>
    </w:p>
    <w:p w:rsidR="00FC3F35" w:rsidRPr="00576C1D" w:rsidRDefault="00FC3F35" w:rsidP="00FC3F35">
      <w:pPr>
        <w:widowControl w:val="0"/>
        <w:shd w:val="clear" w:color="auto" w:fill="FFFFFF"/>
        <w:autoSpaceDE w:val="0"/>
        <w:autoSpaceDN w:val="0"/>
        <w:adjustRightInd w:val="0"/>
        <w:spacing w:after="0" w:line="552" w:lineRule="exact"/>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4"/>
          <w:szCs w:val="24"/>
          <w:lang w:eastAsia="hr-HR"/>
        </w:rPr>
        <w:t>6ii2</w:t>
      </w:r>
    </w:p>
    <w:p w:rsidR="00FC3F35" w:rsidRPr="00576C1D" w:rsidRDefault="00FC3F35" w:rsidP="00FC3F35">
      <w:pPr>
        <w:widowControl w:val="0"/>
        <w:shd w:val="clear" w:color="auto" w:fill="FFFFFF"/>
        <w:autoSpaceDE w:val="0"/>
        <w:autoSpaceDN w:val="0"/>
        <w:adjustRightInd w:val="0"/>
        <w:spacing w:before="5" w:after="0" w:line="552" w:lineRule="exact"/>
        <w:ind w:left="6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Državna tijela i organizacije odgovorne za upravljanje i nadzor voda, tijela lokalne vlasti, javni isporučitelji vodnih usluga, Hrvatske vode</w:t>
      </w:r>
    </w:p>
    <w:p w:rsidR="00FC3F35" w:rsidRPr="00576C1D" w:rsidRDefault="00FC3F35" w:rsidP="00FC3F35">
      <w:pPr>
        <w:widowControl w:val="0"/>
        <w:shd w:val="clear" w:color="auto" w:fill="FFFFFF"/>
        <w:autoSpaceDE w:val="0"/>
        <w:autoSpaceDN w:val="0"/>
        <w:adjustRightInd w:val="0"/>
        <w:spacing w:after="0" w:line="552" w:lineRule="exact"/>
        <w:ind w:left="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z w:val="24"/>
          <w:szCs w:val="24"/>
          <w:lang w:eastAsia="hr-HR"/>
        </w:rPr>
        <w:t>Aktivnosti koje se financira kako bi se postigli specifični ciljevi</w:t>
      </w:r>
    </w:p>
    <w:p w:rsidR="00FC3F35" w:rsidRPr="00576C1D" w:rsidRDefault="00FC3F35" w:rsidP="00FC3F35">
      <w:pPr>
        <w:widowControl w:val="0"/>
        <w:shd w:val="clear" w:color="auto" w:fill="FFFFFF"/>
        <w:autoSpaceDE w:val="0"/>
        <w:autoSpaceDN w:val="0"/>
        <w:adjustRightInd w:val="0"/>
        <w:spacing w:before="787" w:after="0" w:line="274" w:lineRule="exact"/>
        <w:ind w:left="13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mjere kojima se osigurava opskrba kvalitetnom pitkom vodom i povećava povezanost stanovništva s javnom opskrbom pitkom vodom, izgradnjom/rekonstrukcijom/nadogradnjom mreža opskrbe pitkom vodom i postrojenja za pročišćavanje (poboljšanje) vode za piće (uključujući i nabavu opreme za mjerenje i laboratorijsku opremu) i postrojenja za desalinizaciju kako bi se udaljene otoke i udaljena naselja u unutrašnjosti opskrbilo pitkom vodom u slučaju da se druge mjere ne mogu razumno opravdati i primijeniti</w:t>
      </w:r>
      <w:r w:rsidRPr="00576C1D">
        <w:rPr>
          <w:rFonts w:ascii="Times New Roman" w:eastAsia="Times New Roman" w:hAnsi="Times New Roman" w:cs="Times New Roman"/>
          <w:color w:val="000000"/>
          <w:sz w:val="24"/>
          <w:szCs w:val="24"/>
          <w:lang w:eastAsia="hr-HR"/>
        </w:rPr>
        <w:t>.</w:t>
      </w:r>
    </w:p>
    <w:p w:rsidR="00FC3F35" w:rsidRPr="00576C1D" w:rsidRDefault="00C244E3" w:rsidP="00FC3F35">
      <w:pPr>
        <w:widowControl w:val="0"/>
        <w:shd w:val="clear" w:color="auto" w:fill="FFFFFF"/>
        <w:autoSpaceDE w:val="0"/>
        <w:autoSpaceDN w:val="0"/>
        <w:adjustRightInd w:val="0"/>
        <w:spacing w:before="120" w:after="1171" w:line="240" w:lineRule="auto"/>
        <w:ind w:left="1363"/>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pict>
          <v:line id="Line 1948" o:spid="_x0000_s1352" style="position:absolute;left:0;text-align:left;z-index:251810304;visibility:visible;mso-position-horizontal-relative:margin" from="26.4pt,50.75pt" to="782.9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f1FwIAAC4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Povećanje učinkovitosti javnog vodoopskrbnog sustava, smanjenje gubitaka vode i ulaganja u otkrivanje i eliminiranje propusnosti.</w:t>
      </w:r>
    </w:p>
    <w:p w:rsidR="00FC3F35" w:rsidRPr="00576C1D" w:rsidRDefault="00FC3F35" w:rsidP="00FC3F35">
      <w:pPr>
        <w:widowControl w:val="0"/>
        <w:shd w:val="clear" w:color="auto" w:fill="FFFFFF"/>
        <w:autoSpaceDE w:val="0"/>
        <w:autoSpaceDN w:val="0"/>
        <w:adjustRightInd w:val="0"/>
        <w:spacing w:before="187"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0" w:after="1171" w:line="240" w:lineRule="auto"/>
        <w:ind w:left="1363"/>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lastRenderedPageBreak/>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542" o:spid="_x0000_s1351" style="position:absolute;z-index:251535360;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kDFg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MHuJAx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543" o:spid="_x0000_s1350" style="position:absolute;z-index:251538432;visibility:visible;mso-position-horizontal-relative:margin" from="-5.75pt,-2.65pt" to="-5.7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ngFQIAAC0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544" o:spid="_x0000_s1349" style="position:absolute;z-index:251543552;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UJ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Aui4UJFQIAACwEAAAOAAAAAAAAAAAAAAAAAC4CAABkcnMvZTJvRG9jLnhtbFBLAQItABQABgAI&#10;AAAAIQA5N2s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545" o:spid="_x0000_s1348" style="position:absolute;z-index:251550720;visibility:visible;mso-position-horizontal-relative:margin" from="750.25pt,-2.65pt" to="750.25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L6FQIAAC0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" o:allowincell="f" strokeweight=".25pt">
            <w10:wrap anchorx="margin"/>
          </v:line>
        </w:pict>
      </w:r>
      <w:r w:rsidR="00FC3F35" w:rsidRPr="00576C1D">
        <w:rPr>
          <w:rFonts w:ascii="Times New Roman" w:eastAsia="Times New Roman" w:hAnsi="Times New Roman" w:cs="Times New Roman"/>
          <w:b/>
          <w:sz w:val="18"/>
          <w:szCs w:val="18"/>
          <w:lang w:eastAsia="hr-HR"/>
        </w:rPr>
        <w:t xml:space="preserve"> 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pgSz w:w="16834" w:h="11909" w:orient="landscape"/>
          <w:pgMar w:top="1207" w:right="1079" w:bottom="360" w:left="1183" w:header="720" w:footer="720" w:gutter="0"/>
          <w:cols w:num="2" w:space="720" w:equalWidth="0">
            <w:col w:w="1497" w:space="845"/>
            <w:col w:w="12230"/>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 xml:space="preserve">6ii - </w:t>
      </w:r>
      <w:r w:rsidRPr="00576C1D">
        <w:rPr>
          <w:rFonts w:ascii="Times New Roman" w:eastAsia="Times New Roman" w:hAnsi="Times New Roman" w:cs="Times New Roman"/>
          <w:bCs/>
          <w:color w:val="000000"/>
          <w:sz w:val="18"/>
          <w:szCs w:val="20"/>
          <w:lang w:eastAsia="el-GR"/>
        </w:rPr>
        <w:t xml:space="preserve">Ulaganje u  sektor vodnog </w:t>
      </w:r>
      <w:r w:rsidR="009403E2" w:rsidRPr="00576C1D">
        <w:rPr>
          <w:rFonts w:ascii="Times New Roman" w:eastAsia="Times New Roman" w:hAnsi="Times New Roman" w:cs="Times New Roman"/>
          <w:bCs/>
          <w:color w:val="000000"/>
          <w:sz w:val="18"/>
          <w:szCs w:val="20"/>
          <w:lang w:eastAsia="el-GR"/>
        </w:rPr>
        <w:t>gospodarstva</w:t>
      </w:r>
      <w:r w:rsidRPr="00576C1D">
        <w:rPr>
          <w:rFonts w:ascii="Times New Roman" w:eastAsia="Times New Roman" w:hAnsi="Times New Roman" w:cs="Times New Roman"/>
          <w:bCs/>
          <w:color w:val="000000"/>
          <w:sz w:val="18"/>
          <w:szCs w:val="20"/>
          <w:lang w:eastAsia="el-GR"/>
        </w:rPr>
        <w:t xml:space="preserve"> kako bi se ispunili zahtjevi pravne stečevine Unije u području okoliša i zadovoljile potrebe koje su utvrdile države članice za ulaganjem koje nadilazi te zahtjeve</w:t>
      </w:r>
    </w:p>
    <w:p w:rsidR="00FC3F35" w:rsidRPr="00576C1D" w:rsidRDefault="00C244E3" w:rsidP="00FC3F35">
      <w:pPr>
        <w:widowControl w:val="0"/>
        <w:shd w:val="clear" w:color="auto" w:fill="FFFFFF"/>
        <w:autoSpaceDE w:val="0"/>
        <w:autoSpaceDN w:val="0"/>
        <w:adjustRightInd w:val="0"/>
        <w:spacing w:before="67" w:after="0" w:line="240" w:lineRule="auto"/>
        <w:ind w:left="64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546" o:spid="_x0000_s1347" style="position:absolute;left:0;text-align:left;z-index:251556864;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05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" o:allowincell="f" strokeweight=".7pt">
            <w10:wrap anchorx="margin"/>
          </v:line>
        </w:pict>
      </w:r>
      <w:r w:rsidR="00FC3F35" w:rsidRPr="00576C1D">
        <w:rPr>
          <w:rFonts w:ascii="Times New Roman" w:eastAsia="Times New Roman" w:hAnsi="Times New Roman" w:cs="Times New Roman"/>
          <w:color w:val="000000"/>
          <w:spacing w:val="-5"/>
          <w:sz w:val="24"/>
          <w:szCs w:val="24"/>
          <w:lang w:eastAsia="hr-HR"/>
        </w:rPr>
        <w:t>6ii2</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288" w:after="0" w:line="269" w:lineRule="exact"/>
        <w:ind w:left="1363" w:right="461" w:hanging="326"/>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mjere kojima se povećava povezanost stanovništva s javnim sustavima odvodnje otpadnih voda izgradnjom/rekonstrukcijom/nadogradnjom javnih sustava odvodnje otpadnih voda (uključujući nabavu opreme za čišćenje mreže i otkrivanje propusnosti, vozila za čišćenje septičkih jama itd.)</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125" w:after="0" w:line="274" w:lineRule="exact"/>
        <w:ind w:left="1363" w:right="461" w:hanging="326"/>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Izgradnja/rekonstrukcija/nadogradnja postrojenja za obradu otpadnih voda, malih postrojenja za obradu otpadnih voda i septičkih jama (kao malenih pojedinačnih postrojenja u okviru javnog sustava) i postrojenja za obradu mulja (uključujući nabavu laboratorijske opreme itd.), time smanjujući ekološku štetu sprječavanjem ispuštanja otpadnih voda</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110" w:after="0" w:line="278" w:lineRule="exact"/>
        <w:ind w:left="1363" w:right="461" w:hanging="326"/>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izgradnja/rekonstrukcija automatskih stanica za praćenje kakvoće vode i hidroloških podataka, razvoj analize podataka i alata za modeliranje, i nabava potrebne opreme i postrojenja</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115"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provedba odgovarajućih zaštitnih mjera u zonama sanitarne zaštite izvorišta</w:t>
      </w:r>
    </w:p>
    <w:p w:rsidR="00FC3F35" w:rsidRPr="00576C1D" w:rsidRDefault="00FC3F35" w:rsidP="00FC3F35">
      <w:pPr>
        <w:widowControl w:val="0"/>
        <w:shd w:val="clear" w:color="auto" w:fill="FFFFFF"/>
        <w:autoSpaceDE w:val="0"/>
        <w:autoSpaceDN w:val="0"/>
        <w:adjustRightInd w:val="0"/>
        <w:spacing w:before="278" w:after="0" w:line="240" w:lineRule="auto"/>
        <w:ind w:left="6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Identificirano je nekoliko horizontalnih aktivnosti kako bi se pružila potpora i doprinijelo postizanju SC-ova 6e1 i 6e2:</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278" w:after="0" w:line="274" w:lineRule="exact"/>
        <w:ind w:left="1363" w:right="461" w:hanging="326"/>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poboljšavanje sveukupnog sustava upravljanja vodama uključujući organizacijsku podršku, povećanje učinkovitosti komunalnih tvrtki itd. mjerama izgradnje kapaciteta čiji je cilj podrška reorganizaciji vodnokomunalnog sektora, kako bi se podržala usklađenost sa zahtjevima Direktiva, s ciljem učinkovitijeg upravljanja infrastrukturom nakon dovršetka projekta itd.</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120"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aktivnosti pripreme projekta.</w:t>
      </w:r>
    </w:p>
    <w:p w:rsidR="00FC3F35" w:rsidRPr="00576C1D" w:rsidRDefault="00C244E3" w:rsidP="00FC3F35">
      <w:pPr>
        <w:widowControl w:val="0"/>
        <w:shd w:val="clear" w:color="auto" w:fill="FFFFFF"/>
        <w:autoSpaceDE w:val="0"/>
        <w:autoSpaceDN w:val="0"/>
        <w:adjustRightInd w:val="0"/>
        <w:spacing w:before="1560" w:after="182" w:line="240" w:lineRule="auto"/>
        <w:ind w:left="590"/>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547" o:spid="_x0000_s1346" style="position:absolute;left:0;text-align:left;z-index:251568128;visibility:visible" from="26.6pt,43.75pt" to="783.1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Yh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" o:allowincell="f" strokeweight=".7pt"/>
        </w:pict>
      </w:r>
      <w:r w:rsidR="00FC3F35" w:rsidRPr="00576C1D">
        <w:rPr>
          <w:rFonts w:ascii="Times New Roman" w:eastAsia="Times New Roman" w:hAnsi="Times New Roman" w:cs="Times New Roman"/>
          <w:i/>
          <w:iCs/>
          <w:color w:val="000000"/>
          <w:spacing w:val="1"/>
          <w:sz w:val="24"/>
          <w:szCs w:val="24"/>
          <w:lang w:eastAsia="hr-HR"/>
        </w:rPr>
        <w:t>2.A.6.2 Vodeća načela pri odabiru operacija</w:t>
      </w:r>
    </w:p>
    <w:tbl>
      <w:tblPr>
        <w:tblStyle w:val="TableGrid"/>
        <w:tblW w:w="0" w:type="auto"/>
        <w:tblLook w:val="04A0" w:firstRow="1" w:lastRow="0" w:firstColumn="1" w:lastColumn="0" w:noHBand="0" w:noVBand="1"/>
      </w:tblPr>
      <w:tblGrid>
        <w:gridCol w:w="2113"/>
        <w:gridCol w:w="13856"/>
      </w:tblGrid>
      <w:tr w:rsidR="00087359" w:rsidTr="00087359">
        <w:tc>
          <w:tcPr>
            <w:tcW w:w="0" w:type="auto"/>
          </w:tcPr>
          <w:p w:rsidR="00087359" w:rsidRDefault="00087359" w:rsidP="00F37F5D">
            <w:r w:rsidRPr="00576C1D">
              <w:rPr>
                <w:rFonts w:ascii="Times New Roman" w:hAnsi="Times New Roman"/>
                <w:b/>
                <w:sz w:val="18"/>
                <w:szCs w:val="18"/>
              </w:rPr>
              <w:t>Investicijski prioritet</w:t>
            </w:r>
          </w:p>
        </w:tc>
        <w:tc>
          <w:tcPr>
            <w:tcW w:w="0" w:type="auto"/>
          </w:tcPr>
          <w:p w:rsidR="00087359" w:rsidRPr="00576C1D" w:rsidRDefault="00087359" w:rsidP="00F37F5D">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 xml:space="preserve">6ii - </w:t>
            </w:r>
            <w:r w:rsidRPr="00576C1D">
              <w:rPr>
                <w:rFonts w:ascii="Times New Roman" w:hAnsi="Times New Roman"/>
                <w:bCs/>
                <w:color w:val="000000"/>
                <w:sz w:val="18"/>
                <w:lang w:eastAsia="el-GR"/>
              </w:rPr>
              <w:t>Ulaganje u sektor vodnog gospodarstva kako bi se ispunili zahtjevi pravne stečevine Unije u području okoliša i zadovoljile potrebe koje su utvrdile države članice za ulaganjem koje nadilazi te zahtjeve</w:t>
            </w:r>
          </w:p>
        </w:tc>
      </w:tr>
      <w:tr w:rsidR="00087359" w:rsidTr="00087359">
        <w:tc>
          <w:tcPr>
            <w:tcW w:w="0" w:type="auto"/>
            <w:gridSpan w:val="2"/>
          </w:tcPr>
          <w:p w:rsidR="00087359" w:rsidRDefault="00087359" w:rsidP="00F37F5D">
            <w:r>
              <w:t>Odabir operacija visoke kvalitete temeljit će se na prikladnoj i objektivnoj procjeni prijedloga projekata nakon transparentnih poziva.</w:t>
            </w:r>
          </w:p>
          <w:p w:rsidR="00087359" w:rsidRDefault="00087359" w:rsidP="00F37F5D">
            <w:r>
              <w:t>Glavni kriterij pri odabiru projekta odnosit će se na doprinos i usklađenost operacije sa sektorskim strateškim i programskim dokumentima. To znači da će prioritetni projekti biti izabrani u skladu s prijelaznim razdobljima zadanima u Ugovoru o pristupanju kako bi se postigla usklađenost s UWWTD-om i DWD-om.</w:t>
            </w:r>
          </w:p>
          <w:p w:rsidR="00087359" w:rsidRDefault="00087359" w:rsidP="00F37F5D">
            <w:r>
              <w:t>Također se primjenjuju i sljedeći kriteriji:</w:t>
            </w:r>
          </w:p>
          <w:p w:rsidR="00087359" w:rsidRDefault="00087359" w:rsidP="00F37F5D">
            <w:r>
              <w:t>•</w:t>
            </w:r>
            <w:r>
              <w:tab/>
              <w:t>zrelost projekta</w:t>
            </w:r>
          </w:p>
          <w:p w:rsidR="00087359" w:rsidRDefault="00087359" w:rsidP="00F37F5D">
            <w:r>
              <w:lastRenderedPageBreak/>
              <w:t>•</w:t>
            </w:r>
            <w:r>
              <w:tab/>
              <w:t>integracija postojećih struktura ili infrastrukture, uključivanjem projekata s fazom šire intervencije unutar prethodnog programskog razdoblja (faznost)</w:t>
            </w:r>
          </w:p>
          <w:p w:rsidR="00087359" w:rsidRDefault="00087359" w:rsidP="00F37F5D">
            <w:r>
              <w:t>•</w:t>
            </w:r>
            <w:r>
              <w:tab/>
              <w:t>gospodarski i financijski podaci (pristup najveće isplativosti) itd.</w:t>
            </w:r>
          </w:p>
          <w:p w:rsidR="00087359" w:rsidRDefault="00087359" w:rsidP="00F37F5D">
            <w:r>
              <w:t>•</w:t>
            </w:r>
            <w:r>
              <w:tab/>
              <w:t>kapacitet korisnika da upravlja infrastrukturom nakon dovršetka projekta.</w:t>
            </w:r>
          </w:p>
          <w:p w:rsidR="00087359" w:rsidRDefault="00087359" w:rsidP="00F37F5D">
            <w:r>
              <w:t>Svaki se kriterij boduje i vrednuje tijekom odabira projekata. Kriteriji odabira se primjenjuju za projekte unutar specifičnih ciljeva 6iil i 6ii2 budući da je većina projekata cjelovite naravi (pokrivaju i vodoopskrbu i odvodnju i obradu otpadnih voda).</w:t>
            </w:r>
          </w:p>
        </w:tc>
      </w:tr>
    </w:tbl>
    <w:p w:rsidR="00087359" w:rsidRDefault="00087359" w:rsidP="00087359">
      <w:pPr>
        <w:widowControl w:val="0"/>
        <w:shd w:val="clear" w:color="auto" w:fill="FFFFFF"/>
        <w:autoSpaceDE w:val="0"/>
        <w:autoSpaceDN w:val="0"/>
        <w:adjustRightInd w:val="0"/>
        <w:spacing w:after="187" w:line="240" w:lineRule="auto"/>
        <w:ind w:left="533"/>
        <w:rPr>
          <w:rFonts w:ascii="Times New Roman" w:eastAsia="Times New Roman" w:hAnsi="Times New Roman" w:cs="Times New Roman"/>
          <w:i/>
          <w:iCs/>
          <w:color w:val="000000"/>
          <w:spacing w:val="1"/>
          <w:sz w:val="24"/>
          <w:szCs w:val="24"/>
          <w:lang w:eastAsia="hr-HR"/>
        </w:rPr>
      </w:pPr>
    </w:p>
    <w:p w:rsidR="00FC3F35" w:rsidRPr="00576C1D" w:rsidRDefault="00FC3F35" w:rsidP="00087359">
      <w:pPr>
        <w:widowControl w:val="0"/>
        <w:shd w:val="clear" w:color="auto" w:fill="FFFFFF"/>
        <w:autoSpaceDE w:val="0"/>
        <w:autoSpaceDN w:val="0"/>
        <w:adjustRightInd w:val="0"/>
        <w:spacing w:after="187"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t xml:space="preserve">2.A.6.3 Planirano korištenje financijskih instrumenata </w:t>
      </w:r>
      <w:r w:rsidRPr="00576C1D">
        <w:rPr>
          <w:rFonts w:ascii="Times New Roman" w:eastAsia="Times New Roman" w:hAnsi="Times New Roman" w:cs="Times New Roman"/>
          <w:color w:val="000000"/>
          <w:spacing w:val="1"/>
          <w:sz w:val="24"/>
          <w:szCs w:val="24"/>
          <w:lang w:eastAsia="hr-HR"/>
        </w:rPr>
        <w:t>(po potrebi)</w:t>
      </w:r>
    </w:p>
    <w:tbl>
      <w:tblPr>
        <w:tblStyle w:val="TableGrid"/>
        <w:tblW w:w="0" w:type="auto"/>
        <w:tblLook w:val="04A0" w:firstRow="1" w:lastRow="0" w:firstColumn="1" w:lastColumn="0" w:noHBand="0" w:noVBand="1"/>
      </w:tblPr>
      <w:tblGrid>
        <w:gridCol w:w="2072"/>
        <w:gridCol w:w="13629"/>
      </w:tblGrid>
      <w:tr w:rsidR="00087359" w:rsidTr="00087359">
        <w:tc>
          <w:tcPr>
            <w:tcW w:w="2072" w:type="dxa"/>
          </w:tcPr>
          <w:p w:rsidR="00087359" w:rsidRDefault="00087359" w:rsidP="00F37F5D">
            <w:r w:rsidRPr="00576C1D">
              <w:rPr>
                <w:rFonts w:ascii="Times New Roman" w:hAnsi="Times New Roman"/>
                <w:b/>
                <w:sz w:val="18"/>
                <w:szCs w:val="18"/>
              </w:rPr>
              <w:t>Investicijski prioritet</w:t>
            </w:r>
          </w:p>
        </w:tc>
        <w:tc>
          <w:tcPr>
            <w:tcW w:w="13629" w:type="dxa"/>
          </w:tcPr>
          <w:p w:rsidR="00087359" w:rsidRPr="00576C1D" w:rsidRDefault="00087359" w:rsidP="00F37F5D">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 xml:space="preserve">6ii - </w:t>
            </w:r>
            <w:r w:rsidRPr="00576C1D">
              <w:rPr>
                <w:rFonts w:ascii="Times New Roman" w:hAnsi="Times New Roman"/>
                <w:bCs/>
                <w:color w:val="000000"/>
                <w:sz w:val="18"/>
                <w:lang w:eastAsia="el-GR"/>
              </w:rPr>
              <w:t>Ulaganje u sektor vodnog gospodarstva kako bi se ispunili zahtjevi pravne stečevine Unije u području okoliša i zadovoljile potrebe koje su utvrdile države članice za ulaganjem koje nadilazi te zahtjeve</w:t>
            </w:r>
          </w:p>
        </w:tc>
      </w:tr>
      <w:tr w:rsidR="00087359" w:rsidTr="00087359">
        <w:trPr>
          <w:trHeight w:val="271"/>
        </w:trPr>
        <w:tc>
          <w:tcPr>
            <w:tcW w:w="15701" w:type="dxa"/>
            <w:gridSpan w:val="2"/>
          </w:tcPr>
          <w:p w:rsidR="00087359" w:rsidRDefault="00087359" w:rsidP="00F37F5D">
            <w:r w:rsidRPr="00576C1D">
              <w:rPr>
                <w:rFonts w:ascii="Times New Roman" w:hAnsi="Times New Roman"/>
                <w:sz w:val="24"/>
              </w:rPr>
              <w:t>Nije predviđeno</w:t>
            </w:r>
          </w:p>
        </w:tc>
      </w:tr>
    </w:tbl>
    <w:p w:rsidR="00087359" w:rsidRDefault="00087359" w:rsidP="00087359">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b/>
          <w:bCs/>
          <w:i/>
          <w:iCs/>
          <w:color w:val="000000"/>
          <w:spacing w:val="-3"/>
          <w:sz w:val="24"/>
          <w:szCs w:val="24"/>
          <w:lang w:eastAsia="hr-HR"/>
        </w:rPr>
      </w:pPr>
    </w:p>
    <w:p w:rsidR="00FC3F35" w:rsidRDefault="00FC3F35" w:rsidP="00087359">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color w:val="000000"/>
          <w:spacing w:val="-3"/>
          <w:sz w:val="24"/>
          <w:szCs w:val="24"/>
          <w:lang w:eastAsia="hr-HR"/>
        </w:rPr>
      </w:pPr>
      <w:r w:rsidRPr="00576C1D">
        <w:rPr>
          <w:rFonts w:ascii="Times New Roman" w:eastAsia="Times New Roman" w:hAnsi="Times New Roman" w:cs="Times New Roman"/>
          <w:b/>
          <w:bCs/>
          <w:i/>
          <w:iCs/>
          <w:color w:val="000000"/>
          <w:spacing w:val="-3"/>
          <w:sz w:val="24"/>
          <w:szCs w:val="24"/>
          <w:lang w:eastAsia="hr-HR"/>
        </w:rPr>
        <w:t xml:space="preserve">2. A. 6.4 Planirano korištenje velikih projekata </w:t>
      </w:r>
      <w:r w:rsidRPr="00576C1D">
        <w:rPr>
          <w:rFonts w:ascii="Times New Roman" w:eastAsia="Times New Roman" w:hAnsi="Times New Roman" w:cs="Times New Roman"/>
          <w:color w:val="000000"/>
          <w:spacing w:val="-3"/>
          <w:sz w:val="24"/>
          <w:szCs w:val="24"/>
          <w:lang w:eastAsia="hr-HR"/>
        </w:rPr>
        <w:t>(po potrebi)</w:t>
      </w:r>
    </w:p>
    <w:tbl>
      <w:tblPr>
        <w:tblStyle w:val="TableGrid"/>
        <w:tblW w:w="0" w:type="auto"/>
        <w:tblLook w:val="04A0" w:firstRow="1" w:lastRow="0" w:firstColumn="1" w:lastColumn="0" w:noHBand="0" w:noVBand="1"/>
      </w:tblPr>
      <w:tblGrid>
        <w:gridCol w:w="4073"/>
        <w:gridCol w:w="11896"/>
      </w:tblGrid>
      <w:tr w:rsidR="00087359" w:rsidTr="00F37F5D">
        <w:tc>
          <w:tcPr>
            <w:tcW w:w="2072" w:type="dxa"/>
          </w:tcPr>
          <w:p w:rsidR="00087359" w:rsidRDefault="00087359" w:rsidP="00F37F5D">
            <w:r w:rsidRPr="00576C1D">
              <w:rPr>
                <w:rFonts w:ascii="Times New Roman" w:hAnsi="Times New Roman"/>
                <w:b/>
                <w:sz w:val="18"/>
                <w:szCs w:val="18"/>
              </w:rPr>
              <w:t>Investicijski prioritet</w:t>
            </w:r>
          </w:p>
        </w:tc>
        <w:tc>
          <w:tcPr>
            <w:tcW w:w="6990" w:type="dxa"/>
          </w:tcPr>
          <w:p w:rsidR="00087359" w:rsidRPr="00576C1D" w:rsidRDefault="00087359" w:rsidP="00F37F5D">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 xml:space="preserve">6ii - </w:t>
            </w:r>
            <w:r w:rsidRPr="00576C1D">
              <w:rPr>
                <w:rFonts w:ascii="Times New Roman" w:hAnsi="Times New Roman"/>
                <w:bCs/>
                <w:color w:val="000000"/>
                <w:sz w:val="18"/>
                <w:lang w:eastAsia="el-GR"/>
              </w:rPr>
              <w:t>Ulaganje u sektor vodnog gospodarstva kako bi se ispunili zahtjevi pravne stečevine Unije u području okoliša i zadovoljile potrebe koje su utvrdile države članice za ulaganjem koje nadilazi te zahtjeve</w:t>
            </w:r>
          </w:p>
        </w:tc>
      </w:tr>
      <w:tr w:rsidR="00087359" w:rsidTr="00087359">
        <w:trPr>
          <w:trHeight w:val="1261"/>
        </w:trPr>
        <w:tc>
          <w:tcPr>
            <w:tcW w:w="0" w:type="auto"/>
            <w:gridSpan w:val="2"/>
          </w:tcPr>
          <w:p w:rsidR="00087359" w:rsidRDefault="00087359" w:rsidP="00F37F5D">
            <w:r w:rsidRPr="00696CBE">
              <w:rPr>
                <w:rFonts w:ascii="Times New Roman" w:hAnsi="Times New Roman"/>
                <w:sz w:val="24"/>
              </w:rPr>
              <w:t>Ovim se investicijskim prioritetom planira primjena velikih projekata u razdoblju 2014. - 2020. U skladu s trenutnim stanjem, te se projekte upućuje na razvoj/izgradnju/rekonstrukciju regionalnih sustava vodoopskrbe (istočna Slavonija, istočni Zagreb), isto kao i projekte u velikim aglomeracijama (Velika Gorica, Nin-Privlaka-Vrsi-Vir, Zabok-Zlatar, Rijeka, Split-Solin, Kaštela-Trogir, Zagreb).</w:t>
            </w:r>
          </w:p>
        </w:tc>
      </w:tr>
    </w:tbl>
    <w:p w:rsidR="00FC3F35" w:rsidRPr="00576C1D" w:rsidRDefault="00FC3F35" w:rsidP="00FC3F35">
      <w:pPr>
        <w:widowControl w:val="0"/>
        <w:shd w:val="clear" w:color="auto" w:fill="FFFFFF"/>
        <w:autoSpaceDE w:val="0"/>
        <w:autoSpaceDN w:val="0"/>
        <w:adjustRightInd w:val="0"/>
        <w:spacing w:before="1008"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 xml:space="preserve">2.A.6.5 Pokazatelji neposrednih rezultata po prioritetu ulaganja i po potrebi, kategoriji regije </w:t>
      </w:r>
    </w:p>
    <w:p w:rsidR="00FC3F35" w:rsidRPr="00576C1D" w:rsidRDefault="00FC3F35" w:rsidP="00FC3F35">
      <w:pPr>
        <w:widowControl w:val="0"/>
        <w:shd w:val="clear" w:color="auto" w:fill="FFFFFF"/>
        <w:autoSpaceDE w:val="0"/>
        <w:autoSpaceDN w:val="0"/>
        <w:adjustRightInd w:val="0"/>
        <w:spacing w:before="514" w:after="0" w:line="278"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Table 5: Zajednički i pokazatelji neposrednih rezultata specifični za program </w:t>
      </w:r>
      <w:r w:rsidRPr="00576C1D">
        <w:rPr>
          <w:rFonts w:ascii="Times New Roman" w:eastAsia="Times New Roman" w:hAnsi="Times New Roman" w:cs="Times New Roman"/>
          <w:color w:val="000000"/>
          <w:spacing w:val="-1"/>
          <w:sz w:val="24"/>
          <w:szCs w:val="24"/>
          <w:lang w:eastAsia="hr-HR"/>
        </w:rPr>
        <w:t>(po prioritetu ulaganja, podijeljeno na kategoriju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498"/>
        <w:gridCol w:w="1430"/>
        <w:gridCol w:w="1565"/>
        <w:gridCol w:w="2554"/>
        <w:gridCol w:w="1555"/>
        <w:gridCol w:w="1555"/>
        <w:gridCol w:w="1565"/>
        <w:gridCol w:w="1277"/>
        <w:gridCol w:w="1238"/>
      </w:tblGrid>
      <w:tr w:rsidR="00FC3F35" w:rsidRPr="00576C1D" w:rsidTr="00FC3F35">
        <w:trPr>
          <w:trHeight w:hRule="exact" w:val="624"/>
        </w:trPr>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Investicijski prioritet</w:t>
            </w:r>
          </w:p>
        </w:tc>
        <w:tc>
          <w:tcPr>
            <w:tcW w:w="12739"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 xml:space="preserve">6ii - </w:t>
            </w:r>
            <w:r w:rsidRPr="00576C1D">
              <w:rPr>
                <w:rFonts w:ascii="Times New Roman" w:eastAsia="Times New Roman" w:hAnsi="Times New Roman" w:cs="Times New Roman"/>
                <w:bCs/>
                <w:color w:val="000000"/>
                <w:sz w:val="18"/>
                <w:szCs w:val="20"/>
                <w:lang w:eastAsia="el-GR"/>
              </w:rPr>
              <w:t>Ulaganje u  sektor vodnog gospodarstva kako bi se ispunili zahtjevi pravne stečevine Unije u području okoliša i zadovoljile potrebe koje su utvrdile države članice za ulaganjem koje nadilazi te zahtjeve</w:t>
            </w:r>
          </w:p>
          <w:p w:rsidR="00FC3F35" w:rsidRPr="00576C1D" w:rsidRDefault="00FC3F35" w:rsidP="00FC3F35">
            <w:pPr>
              <w:widowControl w:val="0"/>
              <w:shd w:val="clear" w:color="auto" w:fill="FFFFFF"/>
              <w:autoSpaceDE w:val="0"/>
              <w:autoSpaceDN w:val="0"/>
              <w:adjustRightInd w:val="0"/>
              <w:spacing w:after="0" w:line="182" w:lineRule="exact"/>
              <w:ind w:right="14" w:hanging="10"/>
              <w:rPr>
                <w:rFonts w:ascii="Times New Roman" w:eastAsia="Times New Roman" w:hAnsi="Times New Roman" w:cs="Times New Roman"/>
                <w:sz w:val="20"/>
                <w:szCs w:val="20"/>
                <w:lang w:eastAsia="hr-HR"/>
              </w:rPr>
            </w:pPr>
          </w:p>
        </w:tc>
      </w:tr>
      <w:tr w:rsidR="00FC3F35" w:rsidRPr="00576C1D" w:rsidTr="00FC3F35">
        <w:trPr>
          <w:trHeight w:hRule="exact" w:val="442"/>
        </w:trPr>
        <w:tc>
          <w:tcPr>
            <w:tcW w:w="912" w:type="dxa"/>
            <w:vMerge w:val="restart"/>
            <w:tcBorders>
              <w:top w:val="single" w:sz="6" w:space="0" w:color="auto"/>
              <w:left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49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Pokazatelj</w:t>
            </w:r>
          </w:p>
        </w:tc>
        <w:tc>
          <w:tcPr>
            <w:tcW w:w="1430"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8"/>
                <w:szCs w:val="18"/>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Izvor podataka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Učestalost izvješćivanja</w:t>
            </w:r>
          </w:p>
        </w:tc>
      </w:tr>
      <w:tr w:rsidR="00FC3F35" w:rsidRPr="00576C1D" w:rsidTr="00FC3F35">
        <w:trPr>
          <w:trHeight w:hRule="exact" w:val="432"/>
        </w:trPr>
        <w:tc>
          <w:tcPr>
            <w:tcW w:w="912" w:type="dxa"/>
            <w:vMerge/>
            <w:tcBorders>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49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43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691"/>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5"/>
                <w:sz w:val="18"/>
                <w:szCs w:val="18"/>
                <w:lang w:eastAsia="hr-HR"/>
              </w:rPr>
              <w:lastRenderedPageBreak/>
              <w:t>CO18</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0"/>
                <w:sz w:val="18"/>
                <w:szCs w:val="18"/>
                <w:lang w:eastAsia="hr-HR"/>
              </w:rPr>
              <w:t>Vodoopskrba: Dodatno stanovništvo obuhvaćeno uslugom</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8"/>
                <w:szCs w:val="18"/>
                <w:lang w:eastAsia="hr-HR"/>
              </w:rPr>
              <w:t>Osobe</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8"/>
                <w:szCs w:val="18"/>
                <w:lang w:eastAsia="hr-HR"/>
              </w:rPr>
              <w:t>80.000,00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8"/>
                <w:szCs w:val="18"/>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lastRenderedPageBreak/>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624"/>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lastRenderedPageBreak/>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6ii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8"/>
                <w:szCs w:val="20"/>
                <w:lang w:eastAsia="el-GR"/>
              </w:rPr>
              <w:t xml:space="preserve">Ulaganje u  sektor vodnog gospodarstva kako bi se ispunili zahtjevi pravne stečevine Unije u području okoliša i zadovoljile potrebe koje su utvrdile države članice za ulaganjem koje nadilazi te zahtjeve  </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4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490"/>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3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poboljšane vodoopskrbe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1555"/>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CO19</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Obrada otpadnih voda: Dodatno stanovništvo obuhvaćeno uslugom poboljšane obrade otpadnih voda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43"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Ekvivalent stanovnika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1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1,000.000,00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before="514"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p w:rsidR="00FC3F35" w:rsidRPr="00576C1D" w:rsidRDefault="00C244E3" w:rsidP="00FC3F35">
      <w:pPr>
        <w:widowControl w:val="0"/>
        <w:shd w:val="clear" w:color="auto" w:fill="FFFFFF"/>
        <w:autoSpaceDE w:val="0"/>
        <w:autoSpaceDN w:val="0"/>
        <w:adjustRightInd w:val="0"/>
        <w:spacing w:before="178" w:after="130" w:line="240" w:lineRule="auto"/>
        <w:ind w:left="643"/>
        <w:rPr>
          <w:rFonts w:ascii="Times New Roman" w:eastAsia="Times New Roman" w:hAnsi="Times New Roman" w:cs="Times New Roman"/>
          <w:b/>
          <w:sz w:val="18"/>
          <w:szCs w:val="20"/>
          <w:lang w:eastAsia="hr-HR"/>
        </w:rPr>
      </w:pPr>
      <w:r>
        <w:rPr>
          <w:rFonts w:ascii="Times New Roman" w:eastAsia="Times New Roman" w:hAnsi="Times New Roman" w:cs="Times New Roman"/>
          <w:noProof/>
          <w:sz w:val="20"/>
          <w:szCs w:val="20"/>
          <w:lang w:eastAsia="hr-HR"/>
        </w:rPr>
        <w:pict>
          <v:line id="_x0000_s1345" style="position:absolute;left:0;text-align:left;z-index:251822592;visibility:visible;mso-position-horizontal-relative:margin" from="782.25pt,5.3pt" to="782.2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QaFQIAACsEAAAOAAAAZHJzL2Uyb0RvYy54bWysU8GO2jAQvVfqP1i+QxI2y4a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578" o:spid="_x0000_s1344" style="position:absolute;left:0;text-align:left;z-index:251582464;visibility:visible;mso-position-horizontal-relative:margin" from="190.35pt,6.3pt" to="190.3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" o:allowincell="f" strokeweight=".7pt">
            <w10:wrap anchorx="margin"/>
          </v:line>
        </w:pict>
      </w:r>
      <w:r>
        <w:rPr>
          <w:rFonts w:ascii="Times New Roman" w:eastAsia="Times New Roman" w:hAnsi="Times New Roman" w:cs="Times New Roman"/>
          <w:b/>
          <w:noProof/>
          <w:sz w:val="18"/>
          <w:szCs w:val="20"/>
          <w:lang w:eastAsia="hr-HR"/>
        </w:rPr>
        <w:pict>
          <v:line id="Line 1575" o:spid="_x0000_s1343" style="position:absolute;left:0;text-align:left;z-index:251503104;visibility:visible" from="25.9pt,5.5pt" to="78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e4FA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" o:allowincell="f" strokeweight=".25pt"/>
        </w:pict>
      </w:r>
      <w:r w:rsidR="00FC3F35" w:rsidRPr="00576C1D">
        <w:rPr>
          <w:rFonts w:ascii="Times New Roman" w:eastAsia="Times New Roman" w:hAnsi="Times New Roman" w:cs="Times New Roman"/>
          <w:b/>
          <w:color w:val="000000"/>
          <w:sz w:val="16"/>
          <w:szCs w:val="16"/>
          <w:lang w:eastAsia="hr-HR"/>
        </w:rPr>
        <w:t>Oznaka</w:t>
      </w:r>
      <w:r w:rsidR="00FC3F35" w:rsidRPr="00576C1D">
        <w:rPr>
          <w:rFonts w:ascii="Times New Roman" w:eastAsia="Times New Roman" w:hAnsi="Times New Roman" w:cs="Times New Roman"/>
          <w:b/>
          <w:sz w:val="18"/>
          <w:szCs w:val="20"/>
          <w:lang w:eastAsia="hr-HR"/>
        </w:rPr>
        <w:t xml:space="preserve"> prioriteta ulaganja</w:t>
      </w:r>
    </w:p>
    <w:p w:rsidR="00FC3F35" w:rsidRPr="00576C1D" w:rsidRDefault="00FC3F35" w:rsidP="00FC3F35">
      <w:pPr>
        <w:widowControl w:val="0"/>
        <w:shd w:val="clear" w:color="auto" w:fill="FFFFFF"/>
        <w:autoSpaceDE w:val="0"/>
        <w:autoSpaceDN w:val="0"/>
        <w:adjustRightInd w:val="0"/>
        <w:spacing w:before="178" w:after="130" w:line="240" w:lineRule="auto"/>
        <w:ind w:left="643"/>
        <w:rPr>
          <w:rFonts w:ascii="Times New Roman" w:eastAsia="Times New Roman" w:hAnsi="Times New Roman" w:cs="Times New Roman"/>
          <w:sz w:val="20"/>
          <w:szCs w:val="20"/>
          <w:lang w:eastAsia="hr-HR"/>
        </w:rPr>
        <w:sectPr w:rsidR="00FC3F35" w:rsidRPr="00576C1D">
          <w:pgSz w:w="16834" w:h="11909" w:orient="landscape"/>
          <w:pgMar w:top="1171"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Pr>
          <w:rFonts w:ascii="Times New Roman" w:eastAsia="Times New Roman" w:hAnsi="Times New Roman" w:cs="Times New Roman"/>
          <w:noProof/>
          <w:sz w:val="20"/>
          <w:szCs w:val="20"/>
          <w:lang w:eastAsia="hr-HR"/>
        </w:rPr>
        <w:lastRenderedPageBreak/>
        <w:pict>
          <v:line id="Line 1576" o:spid="_x0000_s1342" style="position:absolute;z-index:251504128;visibility:visible;mso-position-horizontal-relative:margin" from="-6pt,-3.6pt" to="7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D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577" o:spid="_x0000_s1341" style="position:absolute;z-index:251505152;visibility:visible;mso-position-horizontal-relative:margin" from="-6pt,-19.45pt" to="-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SpFQ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" o:allowincell="f" strokeweight=".25pt">
            <w10:wrap anchorx="margin"/>
          </v:line>
        </w:pict>
      </w:r>
      <w:r w:rsidR="00FC3F35" w:rsidRPr="00576C1D">
        <w:rPr>
          <w:rFonts w:ascii="Times New Roman" w:eastAsia="Times New Roman" w:hAnsi="Times New Roman" w:cs="Times New Roman"/>
          <w:b/>
          <w:sz w:val="18"/>
          <w:szCs w:val="20"/>
          <w:lang w:eastAsia="hr-HR"/>
        </w:rPr>
        <w:t>Naslov prioriteta ulaganja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Zaštita i obnova bioraznolikosti i tla te promicanje usluga ekosustava, uključujući Natura 2000 mrežu i zelenu infrastrukturu</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71" w:right="1099" w:bottom="360" w:left="1188" w:header="720" w:footer="720" w:gutter="0"/>
          <w:cols w:num="2" w:space="720" w:equalWidth="0">
            <w:col w:w="2356" w:space="331"/>
            <w:col w:w="11860"/>
          </w:cols>
          <w:noEndnote/>
        </w:sectPr>
      </w:pPr>
    </w:p>
    <w:p w:rsidR="00FC3F35" w:rsidRPr="00576C1D" w:rsidRDefault="00C244E3" w:rsidP="00FC3F35">
      <w:pPr>
        <w:widowControl w:val="0"/>
        <w:shd w:val="clear" w:color="auto" w:fill="FFFFFF"/>
        <w:autoSpaceDE w:val="0"/>
        <w:autoSpaceDN w:val="0"/>
        <w:adjustRightInd w:val="0"/>
        <w:spacing w:before="566" w:after="0" w:line="240" w:lineRule="auto"/>
        <w:ind w:left="5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579" o:spid="_x0000_s1340" style="position:absolute;left:0;text-align:left;z-index:251506176;visibility:visible;mso-position-horizontal-relative:margin" from="25.9pt,2.65pt" to="782.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Sw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" o:allowincell="f" strokeweight=".25pt">
            <w10:wrap anchorx="margin"/>
          </v:line>
        </w:pict>
      </w:r>
      <w:r w:rsidR="00FC3F35"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C244E3" w:rsidP="00FC3F35">
      <w:pPr>
        <w:widowControl w:val="0"/>
        <w:shd w:val="clear" w:color="auto" w:fill="FFFFFF"/>
        <w:autoSpaceDE w:val="0"/>
        <w:autoSpaceDN w:val="0"/>
        <w:adjustRightInd w:val="0"/>
        <w:spacing w:before="178" w:after="125" w:line="240" w:lineRule="auto"/>
        <w:ind w:left="643"/>
        <w:rPr>
          <w:rFonts w:ascii="Times New Roman" w:eastAsia="Times New Roman" w:hAnsi="Times New Roman" w:cs="Times New Roman"/>
          <w:b/>
          <w:sz w:val="16"/>
          <w:szCs w:val="20"/>
          <w:lang w:eastAsia="hr-HR"/>
        </w:rPr>
      </w:pPr>
      <w:r>
        <w:rPr>
          <w:rFonts w:ascii="Times New Roman" w:eastAsia="Times New Roman" w:hAnsi="Times New Roman" w:cs="Times New Roman"/>
          <w:b/>
          <w:noProof/>
          <w:sz w:val="18"/>
          <w:szCs w:val="20"/>
          <w:lang w:eastAsia="hr-HR"/>
        </w:rPr>
        <w:pict>
          <v:line id="Line 1583" o:spid="_x0000_s1339" style="position:absolute;left:0;text-align:left;z-index:251510272;visibility:visible;mso-position-horizontal-relative:margin" from="161pt,6.35pt" to="161.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" o:allowincell="f" strokeweight=".7pt">
            <w10:wrap anchorx="margin"/>
          </v:line>
        </w:pict>
      </w:r>
      <w:r>
        <w:rPr>
          <w:rFonts w:ascii="Times New Roman" w:eastAsia="Times New Roman" w:hAnsi="Times New Roman" w:cs="Times New Roman"/>
          <w:b/>
          <w:noProof/>
          <w:sz w:val="16"/>
          <w:szCs w:val="20"/>
          <w:lang w:eastAsia="hr-HR"/>
        </w:rPr>
        <w:pict>
          <v:line id="Line 1580" o:spid="_x0000_s1338" style="position:absolute;left:0;text-align:left;z-index:251507200;visibility:visible" from="25.9pt,5.5pt" to="78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KL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" o:allowincell="f" strokeweight=".25pt"/>
        </w:pict>
      </w:r>
      <w:r w:rsidR="00FC3F35" w:rsidRPr="00576C1D">
        <w:rPr>
          <w:rFonts w:ascii="Times New Roman" w:eastAsia="Times New Roman" w:hAnsi="Times New Roman" w:cs="Times New Roman"/>
          <w:b/>
          <w:sz w:val="16"/>
          <w:szCs w:val="20"/>
          <w:lang w:eastAsia="hr-HR"/>
        </w:rPr>
        <w:t xml:space="preserve"> Oznaka</w:t>
      </w:r>
      <w:r w:rsidR="00FC3F35" w:rsidRPr="00576C1D">
        <w:rPr>
          <w:rFonts w:ascii="Times New Roman" w:eastAsia="Times New Roman" w:hAnsi="Times New Roman" w:cs="Times New Roman"/>
          <w:b/>
          <w:sz w:val="18"/>
          <w:szCs w:val="20"/>
          <w:lang w:eastAsia="hr-HR"/>
        </w:rPr>
        <w:t xml:space="preserve"> specifičnog cilja</w:t>
      </w:r>
    </w:p>
    <w:p w:rsidR="00FC3F35" w:rsidRPr="00576C1D" w:rsidRDefault="00FC3F35" w:rsidP="00FC3F35">
      <w:pPr>
        <w:widowControl w:val="0"/>
        <w:shd w:val="clear" w:color="auto" w:fill="FFFFFF"/>
        <w:autoSpaceDE w:val="0"/>
        <w:autoSpaceDN w:val="0"/>
        <w:adjustRightInd w:val="0"/>
        <w:spacing w:before="178" w:after="125" w:line="240" w:lineRule="auto"/>
        <w:ind w:left="643"/>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18"/>
          <w:szCs w:val="20"/>
          <w:lang w:eastAsia="hr-HR"/>
        </w:rPr>
      </w:pPr>
      <w:r>
        <w:rPr>
          <w:rFonts w:ascii="Times New Roman" w:eastAsia="Times New Roman" w:hAnsi="Times New Roman" w:cs="Times New Roman"/>
          <w:b/>
          <w:noProof/>
          <w:sz w:val="18"/>
          <w:szCs w:val="20"/>
          <w:lang w:eastAsia="hr-HR"/>
        </w:rPr>
        <w:lastRenderedPageBreak/>
        <w:pict>
          <v:line id="Line 1581" o:spid="_x0000_s1337" style="position:absolute;z-index:251508224;visibility:visible;mso-position-horizontal-relative:margin" from="-6pt,-3.35pt" to="75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ZlFwIAAC0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" o:allowincell="f" strokeweight=".25pt">
            <w10:wrap anchorx="margin"/>
          </v:line>
        </w:pict>
      </w:r>
      <w:r>
        <w:rPr>
          <w:rFonts w:ascii="Times New Roman" w:eastAsia="Times New Roman" w:hAnsi="Times New Roman" w:cs="Times New Roman"/>
          <w:b/>
          <w:noProof/>
          <w:sz w:val="18"/>
          <w:szCs w:val="20"/>
          <w:lang w:eastAsia="hr-HR"/>
        </w:rPr>
        <w:pict>
          <v:line id="Line 1582" o:spid="_x0000_s1336" style="position:absolute;z-index:251509248;visibility:visible;mso-position-horizontal-relative:margin" from="-6pt,-19.2pt" to="-6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" o:allowincell="f" strokeweight=".25pt">
            <w10:wrap anchorx="margin"/>
          </v:line>
        </w:pict>
      </w:r>
      <w:r w:rsidR="00FC3F35" w:rsidRPr="00576C1D">
        <w:rPr>
          <w:rFonts w:ascii="Times New Roman" w:eastAsia="Times New Roman" w:hAnsi="Times New Roman" w:cs="Times New Roman"/>
          <w:b/>
          <w:sz w:val="18"/>
          <w:szCs w:val="20"/>
          <w:lang w:eastAsia="hr-HR"/>
        </w:rPr>
        <w:t>Naziv specifičnog cilja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Poboljšano znanje o stanju bioraznolikosti kao temelja za učinkovito upravljanje bioraznolikošću</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1" w:right="5706" w:bottom="360" w:left="1188" w:header="720" w:footer="720" w:gutter="0"/>
          <w:cols w:num="2" w:space="720" w:equalWidth="0">
            <w:col w:w="2222" w:space="466"/>
            <w:col w:w="7252"/>
          </w:cols>
          <w:noEndnote/>
        </w:sectPr>
      </w:pPr>
    </w:p>
    <w:p w:rsidR="00FC3F35" w:rsidRPr="00576C1D" w:rsidRDefault="00FC3F35" w:rsidP="00FC3F35">
      <w:pPr>
        <w:widowControl w:val="0"/>
        <w:autoSpaceDE w:val="0"/>
        <w:autoSpaceDN w:val="0"/>
        <w:adjustRightInd w:val="0"/>
        <w:spacing w:before="125"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1" w:right="844" w:bottom="360" w:left="117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06" w:lineRule="exact"/>
        <w:ind w:left="10"/>
        <w:rPr>
          <w:rFonts w:ascii="Times New Roman" w:eastAsia="Times New Roman" w:hAnsi="Times New Roman" w:cs="Times New Roman"/>
          <w:b/>
          <w:sz w:val="18"/>
          <w:szCs w:val="20"/>
          <w:lang w:eastAsia="hr-HR"/>
        </w:rPr>
      </w:pPr>
      <w:r>
        <w:rPr>
          <w:rFonts w:ascii="Times New Roman" w:eastAsia="Times New Roman" w:hAnsi="Times New Roman" w:cs="Times New Roman"/>
          <w:b/>
          <w:noProof/>
          <w:sz w:val="18"/>
          <w:szCs w:val="20"/>
          <w:lang w:eastAsia="hr-HR"/>
        </w:rPr>
        <w:lastRenderedPageBreak/>
        <w:pict>
          <v:line id="Line 1584" o:spid="_x0000_s1335" style="position:absolute;left:0;text-align:left;z-index:251511296;visibility:visible;mso-position-horizontal-relative:margin" from="-5.5pt,-3.35pt" to="75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qg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" o:allowincell="f" strokeweight=".25pt">
            <w10:wrap anchorx="margin"/>
          </v:line>
        </w:pict>
      </w:r>
      <w:r>
        <w:rPr>
          <w:rFonts w:ascii="Times New Roman" w:eastAsia="Times New Roman" w:hAnsi="Times New Roman" w:cs="Times New Roman"/>
          <w:b/>
          <w:noProof/>
          <w:sz w:val="18"/>
          <w:szCs w:val="20"/>
          <w:lang w:eastAsia="hr-HR"/>
        </w:rPr>
        <w:pict>
          <v:line id="Line 1585" o:spid="_x0000_s1334" style="position:absolute;left:0;text-align:left;z-index:251513344;visibility:visible;mso-position-horizontal-relative:margin" from="750.5pt,-36pt" to="750.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dvFQIAAC0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" o:allowincell="f" strokeweight=".25pt">
            <w10:wrap anchorx="margin"/>
          </v:line>
        </w:pict>
      </w:r>
      <w:r w:rsidR="00FC3F35" w:rsidRPr="00576C1D">
        <w:rPr>
          <w:rFonts w:ascii="Times New Roman" w:eastAsia="Times New Roman" w:hAnsi="Times New Roman" w:cs="Times New Roman"/>
          <w:b/>
          <w:sz w:val="18"/>
          <w:szCs w:val="20"/>
          <w:lang w:eastAsia="hr-HR"/>
        </w:rPr>
        <w:t xml:space="preserve"> Rezultati koje države članice žele postići uz potporu Unije</w:t>
      </w:r>
    </w:p>
    <w:p w:rsidR="00FC3F35" w:rsidRPr="00576C1D" w:rsidRDefault="00FC3F35" w:rsidP="00087359">
      <w:pPr>
        <w:widowControl w:val="0"/>
        <w:shd w:val="clear" w:color="auto" w:fill="FFFFFF"/>
        <w:autoSpaceDE w:val="0"/>
        <w:autoSpaceDN w:val="0"/>
        <w:adjustRightInd w:val="0"/>
        <w:spacing w:before="72" w:after="0" w:line="274" w:lineRule="exact"/>
        <w:ind w:left="5"/>
        <w:rPr>
          <w:rFonts w:ascii="Times New Roman" w:eastAsia="Times New Roman" w:hAnsi="Times New Roman" w:cs="Times New Roman"/>
          <w:sz w:val="20"/>
          <w:szCs w:val="20"/>
          <w:lang w:eastAsia="hr-HR"/>
        </w:rPr>
        <w:sectPr w:rsidR="00FC3F35" w:rsidRPr="00576C1D">
          <w:type w:val="continuous"/>
          <w:pgSz w:w="16834" w:h="11909" w:orient="landscape"/>
          <w:pgMar w:top="1171" w:right="844" w:bottom="360" w:left="1178" w:header="720" w:footer="720" w:gutter="0"/>
          <w:cols w:num="2" w:space="720" w:equalWidth="0">
            <w:col w:w="2404" w:space="293"/>
            <w:col w:w="12115"/>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24"/>
          <w:szCs w:val="24"/>
          <w:lang w:eastAsia="hr-HR"/>
        </w:rPr>
        <w:lastRenderedPageBreak/>
        <w:t>Zaštićena i obnovljena bioraznolikost sa svojim raznolikim ekosustavima pruža dobra i usluge s ključnim doprinosom za dobrobit ljudi, kvalitetu života i gospodarsko blagostanje, te kao takva doprinosi održivom razvoju EU-a te olakšava prijelaz na učinkovitu i zelenu ekonomiju. Kako bi se osiguralo učinkovito upravljanje postojećom bioraznolikošću - našim prirodnim kapitalom - moraju se postići određeni preduvjeti</w:t>
      </w:r>
      <w:r w:rsidRPr="00576C1D">
        <w:rPr>
          <w:rFonts w:ascii="Times New Roman" w:eastAsia="Times New Roman" w:hAnsi="Times New Roman" w:cs="Times New Roman"/>
          <w:color w:val="000000"/>
          <w:sz w:val="24"/>
          <w:szCs w:val="24"/>
          <w:lang w:eastAsia="hr-HR"/>
        </w:rPr>
        <w:t>.</w:t>
      </w:r>
      <w:r w:rsidRPr="00576C1D">
        <w:rPr>
          <w:rFonts w:ascii="Times New Roman" w:eastAsia="Times New Roman" w:hAnsi="Times New Roman" w:cs="Times New Roman"/>
          <w:color w:val="000000"/>
          <w:spacing w:val="-1"/>
          <w:sz w:val="24"/>
          <w:szCs w:val="24"/>
          <w:lang w:eastAsia="hr-HR"/>
        </w:rPr>
        <w:t xml:space="preserve">Ima jako malo podataka o bioraznolikosti vezano za rasprostranjenost vrsta i staništa unutar mreže Natura 2000 za morske vode pod </w:t>
      </w:r>
    </w:p>
    <w:p w:rsidR="00FC3F35" w:rsidRPr="00576C1D" w:rsidRDefault="00C244E3" w:rsidP="00FC3F35">
      <w:pPr>
        <w:widowControl w:val="0"/>
        <w:autoSpaceDE w:val="0"/>
        <w:autoSpaceDN w:val="0"/>
        <w:adjustRightInd w:val="0"/>
        <w:spacing w:before="677"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Line 1950" o:spid="_x0000_s1333" style="position:absolute;z-index:251775488;visibility:visible;mso-position-horizontal-relative:margin" from="26.4pt,12.5pt" to="782.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SW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" o:allowincell="f" strokeweight=".25pt">
            <w10:wrap anchorx="margin"/>
          </v:line>
        </w:pict>
      </w:r>
    </w:p>
    <w:p w:rsidR="00FC3F35" w:rsidRPr="00576C1D" w:rsidRDefault="00FC3F35" w:rsidP="00FC3F35">
      <w:pPr>
        <w:widowControl w:val="0"/>
        <w:shd w:val="clear" w:color="auto" w:fill="FFFFFF"/>
        <w:autoSpaceDE w:val="0"/>
        <w:autoSpaceDN w:val="0"/>
        <w:adjustRightInd w:val="0"/>
        <w:spacing w:before="278"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lastRenderedPageBreak/>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2442"/>
      </w:tblGrid>
      <w:tr w:rsidR="00FC3F35" w:rsidRPr="00576C1D" w:rsidTr="00FC3F35">
        <w:trPr>
          <w:trHeight w:hRule="exact" w:val="493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before="278" w:after="0" w:line="240" w:lineRule="auto"/>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nacionalnom jurisdikcijom. Nema detaljne karte morskih staništa, što je preduvjet za uspostavu i provedbu prikladnih mjera zaštite, važnih za ispunjenje obveza vezano za Direktivu o pticama i Direktivu o staništima te Okvirnu direktivu o morskoj strategiji. Stoga je tijekom pristupnog postupka Republika Hrvatska izrazila namjeru razviti prijedlog morskih područja za mrežu Natura 2000 na temelju znanstvenih podataka, i izrazila obvezu obavljanja daljnjih istraživanja, tj. mapiranja morskih staništa i vrsta.</w:t>
            </w:r>
          </w:p>
          <w:p w:rsidR="00FC3F35" w:rsidRPr="00576C1D" w:rsidRDefault="00FC3F35" w:rsidP="00FC3F35">
            <w:pPr>
              <w:widowControl w:val="0"/>
              <w:shd w:val="clear" w:color="auto" w:fill="FFFFFF"/>
              <w:autoSpaceDE w:val="0"/>
              <w:autoSpaceDN w:val="0"/>
              <w:adjustRightInd w:val="0"/>
              <w:spacing w:before="278" w:after="0" w:line="240" w:lineRule="auto"/>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Kako bi se osigurao nadzor i izvješćivanje o stanju očuvanosti vrsta i staništa, Hrvatska treba uspostaviti sustav praćenja stanja očuvanosti za 75 staništa i 580 vrsta koje se prema Direktivi o pticama i Direktivi o staništima moraju pratiti (i o njima izvještavati) na čitavom teritoriju Hrvatske, uz dodatan nadzor na područjima mreže Natura 2000. Unutar ove prioritetne aktivnosti planira se značajno povećati broja vrsta i staništa za koje su </w:t>
            </w:r>
            <w:r w:rsidR="009403E2" w:rsidRPr="00576C1D">
              <w:rPr>
                <w:rFonts w:ascii="Times New Roman" w:eastAsia="Times New Roman" w:hAnsi="Times New Roman" w:cs="Times New Roman"/>
                <w:color w:val="000000"/>
                <w:spacing w:val="-1"/>
                <w:sz w:val="24"/>
                <w:szCs w:val="24"/>
                <w:lang w:eastAsia="hr-HR"/>
              </w:rPr>
              <w:t>uspostavljeni</w:t>
            </w:r>
            <w:r w:rsidRPr="00576C1D">
              <w:rPr>
                <w:rFonts w:ascii="Times New Roman" w:eastAsia="Times New Roman" w:hAnsi="Times New Roman" w:cs="Times New Roman"/>
                <w:color w:val="000000"/>
                <w:spacing w:val="-1"/>
                <w:sz w:val="24"/>
                <w:szCs w:val="24"/>
                <w:lang w:eastAsia="hr-HR"/>
              </w:rPr>
              <w:t xml:space="preserve"> protokoli praćenja.</w:t>
            </w:r>
          </w:p>
          <w:p w:rsidR="00FC3F35" w:rsidRPr="00576C1D" w:rsidRDefault="00FC3F35" w:rsidP="00FC3F35">
            <w:pPr>
              <w:widowControl w:val="0"/>
              <w:shd w:val="clear" w:color="auto" w:fill="FFFFFF"/>
              <w:autoSpaceDE w:val="0"/>
              <w:autoSpaceDN w:val="0"/>
              <w:adjustRightInd w:val="0"/>
              <w:spacing w:before="278"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Kako bi se održalo pravilno funkcioniranje ekosustava te tijek njegovih usluga, potrebno je stalno promicati i unaprjeđivati razumijevanje ukupne vrijednosti usluga ekosustava. Mapiranje i ocjena stanja ekosustava i njihovih usluga u Hrvatskoj obavit će se kao nužan preduvjet definiranja prioriteta za obnovu staništa i zelene infrastrukture u narednom razdoblju.</w:t>
            </w:r>
          </w:p>
        </w:tc>
      </w:tr>
      <w:tr w:rsidR="00FC3F35" w:rsidRPr="00576C1D" w:rsidTr="00FC3F35">
        <w:trPr>
          <w:trHeight w:hRule="exact" w:val="33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sz w:val="18"/>
                <w:szCs w:val="20"/>
                <w:lang w:eastAsia="hr-HR"/>
              </w:rPr>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 xml:space="preserve">6iii2 </w:t>
            </w:r>
          </w:p>
        </w:tc>
      </w:tr>
      <w:tr w:rsidR="00FC3F35" w:rsidRPr="00576C1D" w:rsidTr="00FC3F35">
        <w:trPr>
          <w:trHeight w:hRule="exact" w:val="34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sz w:val="18"/>
                <w:szCs w:val="20"/>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Poboljšani okvir za održivo upravljanje bioraznolikošću (primarno mrežom Natura 2000)</w:t>
            </w:r>
          </w:p>
        </w:tc>
      </w:tr>
      <w:tr w:rsidR="00FC3F35" w:rsidRPr="00576C1D" w:rsidTr="005748BE">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sz w:val="18"/>
                <w:szCs w:val="20"/>
                <w:lang w:eastAsia="hr-HR"/>
              </w:rPr>
              <w:t>Rezultati koje države članice žele postići uz potporu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5748BE" w:rsidRDefault="00FC3F35" w:rsidP="005748BE">
            <w:pPr>
              <w:widowControl w:val="0"/>
              <w:shd w:val="clear" w:color="auto" w:fill="FFFFFF"/>
              <w:autoSpaceDE w:val="0"/>
              <w:autoSpaceDN w:val="0"/>
              <w:adjustRightInd w:val="0"/>
              <w:spacing w:after="0" w:line="274" w:lineRule="exact"/>
              <w:ind w:left="3336"/>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Prikladno upravljanje Natura2000 područjima ključno je za održavanjepovoljnog stanja vrsta i stanišnih tipova od interesa za Europsku uniju, čime se jamči zaštita i obnova bioraznolikosti. Dosad se planiranje upravljanja obavljalo najviše za zaštićena područja u 9 nacionalnih kategorija te za pojedinačne zaštićene vrste poput velikih zvijeri. Za upravljanje nacionalnom ekološkom mrežom uspostavljenom 2007. godine (pojmovno, ekvivalent Nature 2000) propisano je razviti planove upravljanja za pojedinačna područja, a odgovornost za upravljanje dana je regionalnim tijelima odgovornima za područja proglašena zaštićenima na nacionalnoj razini. Ovaj se koncept pokazao neadekvatnim i teškim za primjenu zbog nedostatnih ljudskih kapaciteta i ograničenih financijskih resursa. Stoga je potrebno razviti i provesti primjenjiv i sveobuhvatni mehanizam upravljanja, prvenstveno u pogledu sektora koji utječu na vrste i staništa, a imaju i bolje kapacitete za primjenu aktivnosti upravljanja i nadzora na terenu. Zamišljeno je da će se preko KF-a za barem 40 % površine pokrivene mrežom Natura 2000 uspostaviti mehanizam upravljanja kojim će se primjereno pristupiti očuvanju vrsta / stanišnih tipova</w:t>
            </w:r>
            <w:r w:rsidR="005748BE" w:rsidRPr="00576C1D">
              <w:rPr>
                <w:rFonts w:ascii="Times New Roman" w:eastAsia="Times New Roman" w:hAnsi="Times New Roman" w:cs="Times New Roman"/>
                <w:color w:val="000000"/>
                <w:sz w:val="24"/>
                <w:szCs w:val="24"/>
                <w:lang w:eastAsia="hr-HR"/>
              </w:rPr>
              <w:t xml:space="preserve"> sektorskih planova upravljanja ili drugim rješenjima dogovorenima unutar opsega ovih investicija). Otprilike 25 % mreže Natura 2000 vezane za </w:t>
            </w:r>
            <w:r w:rsidR="005748BE" w:rsidRPr="00576C1D">
              <w:rPr>
                <w:rFonts w:ascii="Times New Roman" w:eastAsia="Times New Roman" w:hAnsi="Times New Roman" w:cs="Times New Roman"/>
                <w:color w:val="000000"/>
                <w:sz w:val="24"/>
                <w:szCs w:val="24"/>
                <w:lang w:eastAsia="hr-HR"/>
              </w:rPr>
              <w:lastRenderedPageBreak/>
              <w:t>poljoprivredno zemljište bit će pokriveno EAFRD-om.</w:t>
            </w:r>
          </w:p>
          <w:p w:rsidR="005748BE" w:rsidRPr="00576C1D" w:rsidRDefault="005748BE" w:rsidP="005748BE">
            <w:pPr>
              <w:widowControl w:val="0"/>
              <w:shd w:val="clear" w:color="auto" w:fill="FFFFFF"/>
              <w:autoSpaceDE w:val="0"/>
              <w:autoSpaceDN w:val="0"/>
              <w:adjustRightInd w:val="0"/>
              <w:spacing w:after="0" w:line="274" w:lineRule="exact"/>
              <w:ind w:left="3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Drugi prioritetni stup vezan je za strogu zaštitu vrsta, što se treba poboljšati unutar ovog razdoblja putem nekoliko akcija. Kao prvo, iako je već obavljen dio planiranja, još uvijek postoji manjak cjelovitog plana upravljanja za sve relevantne vrste. Nadalje, postojeći su planovi samo djelomično provedeni, čime se dugoročno ne podržava učinkovito očuvanje ovih vrsta. Ove će se probleme riješiti pripremom novih planova za ugrožene vrste i provedbom novih i postojećih planova. Kao drugo, podržat će se uspostava sustava za nadzor nenamjernog hvatanja i ubijanja vrsta, koji će uključivati osiguravanje prikladnih i pravovremenih akcija relevantnih institucija u slučaju mrtvih, bolesnih ili ozlijeđenih životinja, te prikladan smještaj i brigu za pronađene ili zaplijenjene žive primjerke u slučaju ilegalnog prekograničnog prijevoza ili trgovine</w:t>
            </w:r>
            <w:r w:rsidRPr="00576C1D">
              <w:rPr>
                <w:rFonts w:ascii="Times New Roman" w:eastAsia="Times New Roman" w:hAnsi="Times New Roman" w:cs="Times New Roman"/>
                <w:color w:val="000000"/>
                <w:spacing w:val="-1"/>
                <w:sz w:val="24"/>
                <w:szCs w:val="24"/>
                <w:lang w:eastAsia="hr-HR"/>
              </w:rPr>
              <w:t>.</w:t>
            </w:r>
          </w:p>
          <w:p w:rsidR="005748BE" w:rsidRPr="00576C1D" w:rsidRDefault="005748BE" w:rsidP="005748BE">
            <w:pPr>
              <w:widowControl w:val="0"/>
              <w:shd w:val="clear" w:color="auto" w:fill="FFFFFF"/>
              <w:autoSpaceDE w:val="0"/>
              <w:autoSpaceDN w:val="0"/>
              <w:adjustRightInd w:val="0"/>
              <w:spacing w:before="278" w:after="557" w:line="274" w:lineRule="exact"/>
              <w:ind w:left="3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Također, kako bi se osiguralo održivo upravljanje bioraznolikošću, potrebno je smanjiti i čak preokrenuti trend gubitka bioraznolikosti, uključujući smanjivanje negativnih učinaka, osobito učinaka vezanih za invazivne strane vrste, mapiranjem i identifikacijom invazivnih stranih vrsta i njihovih puteva te uspostavom nacionalnog sustava praćenja i upravljanja invazivnim stranim vrstama kako bi se njihovi štetni učinci, uključujući i gospodarski i društveni, smanjili i ublažili u skladu s novousvojenom Uredbom 2013/0307 (COD). Također je potrebno smanjiti i ublažiti utjecaj antropogenog onečišćenja bukom u morskom okolišu uspostavom shema nadzora podvodne buke u hrvatskim morskim vodama, uključujući biološki utjecaj antropogenog onečišćenja bukom i procjenu novih informacija na učinke zvuka na morske biote s ciljem razmatranja učinaka buke kako bi se smanjilo i ublažilo značajne negativne učinke na bioraznolikost morskih i obalnih staništa.</w:t>
            </w:r>
          </w:p>
          <w:p w:rsidR="00FC3F35" w:rsidRPr="00576C1D" w:rsidRDefault="00FC3F35" w:rsidP="00FC3F35">
            <w:pPr>
              <w:widowControl w:val="0"/>
              <w:shd w:val="clear" w:color="auto" w:fill="FFFFFF"/>
              <w:autoSpaceDE w:val="0"/>
              <w:autoSpaceDN w:val="0"/>
              <w:adjustRightInd w:val="0"/>
              <w:spacing w:after="0" w:line="274" w:lineRule="exact"/>
              <w:ind w:right="29"/>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29"/>
              <w:rPr>
                <w:rFonts w:ascii="Times New Roman" w:eastAsia="Times New Roman" w:hAnsi="Times New Roman" w:cs="Times New Roman"/>
                <w:sz w:val="20"/>
                <w:szCs w:val="20"/>
                <w:lang w:eastAsia="hr-HR"/>
              </w:rPr>
            </w:pPr>
          </w:p>
        </w:tc>
      </w:tr>
      <w:tr w:rsidR="005748BE" w:rsidRPr="00576C1D" w:rsidTr="005748BE">
        <w:trPr>
          <w:trHeight w:hRule="exact" w:val="446"/>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5748BE" w:rsidRPr="00576C1D" w:rsidRDefault="005748BE" w:rsidP="005748BE">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sz w:val="18"/>
                <w:szCs w:val="20"/>
                <w:lang w:eastAsia="hr-HR"/>
              </w:rPr>
              <w:lastRenderedPageBreak/>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5748BE" w:rsidRPr="00576C1D" w:rsidRDefault="005748BE" w:rsidP="005748BE">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8"/>
                <w:szCs w:val="18"/>
                <w:lang w:eastAsia="hr-HR"/>
              </w:rPr>
              <w:t>6iii3</w:t>
            </w:r>
          </w:p>
        </w:tc>
      </w:tr>
      <w:tr w:rsidR="005748BE" w:rsidRPr="00576C1D" w:rsidTr="005748BE">
        <w:tc>
          <w:tcPr>
            <w:tcW w:w="2707" w:type="dxa"/>
            <w:tcBorders>
              <w:top w:val="single" w:sz="6" w:space="0" w:color="auto"/>
              <w:left w:val="single" w:sz="6" w:space="0" w:color="auto"/>
              <w:bottom w:val="single" w:sz="6" w:space="0" w:color="auto"/>
              <w:right w:val="single" w:sz="6" w:space="0" w:color="auto"/>
            </w:tcBorders>
            <w:shd w:val="clear" w:color="auto" w:fill="FFFFFF"/>
          </w:tcPr>
          <w:p w:rsidR="005748BE" w:rsidRPr="00576C1D" w:rsidRDefault="005748BE" w:rsidP="005748BE">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sz w:val="18"/>
                <w:szCs w:val="20"/>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5748BE" w:rsidRPr="00576C1D" w:rsidRDefault="005748BE" w:rsidP="005748BE">
            <w:pPr>
              <w:widowControl w:val="0"/>
              <w:shd w:val="clear" w:color="auto" w:fill="FFFFFF"/>
              <w:autoSpaceDE w:val="0"/>
              <w:autoSpaceDN w:val="0"/>
              <w:adjustRightInd w:val="0"/>
              <w:spacing w:after="0" w:line="206" w:lineRule="exact"/>
              <w:rPr>
                <w:rFonts w:ascii="Times New Roman" w:eastAsia="Times New Roman" w:hAnsi="Times New Roman" w:cs="Times New Roman"/>
                <w:color w:val="000000"/>
                <w:spacing w:val="-1"/>
                <w:sz w:val="18"/>
                <w:szCs w:val="18"/>
                <w:lang w:eastAsia="hr-HR"/>
              </w:rPr>
            </w:pPr>
            <w:r w:rsidRPr="00576C1D">
              <w:rPr>
                <w:rFonts w:ascii="Times New Roman" w:eastAsia="Times New Roman" w:hAnsi="Times New Roman" w:cs="Times New Roman"/>
                <w:color w:val="000000"/>
                <w:spacing w:val="-1"/>
                <w:sz w:val="18"/>
                <w:szCs w:val="18"/>
                <w:lang w:eastAsia="hr-HR"/>
              </w:rPr>
              <w:t xml:space="preserve">Zaštita i obnova šuma i šumskih zemljišta u zaštićenim i  Natura 2000 područjima, uključujući razminiranje, zaštitu šuma od požara i zaštitu vodnih dobara , te  održavanje i poboljšanje općekorisnih funkcija suma </w:t>
            </w:r>
          </w:p>
          <w:p w:rsidR="005748BE" w:rsidRPr="00576C1D" w:rsidRDefault="005748BE" w:rsidP="005748BE">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5748BE" w:rsidRPr="00576C1D" w:rsidTr="005748BE">
        <w:tc>
          <w:tcPr>
            <w:tcW w:w="2707" w:type="dxa"/>
            <w:tcBorders>
              <w:top w:val="single" w:sz="6" w:space="0" w:color="auto"/>
              <w:left w:val="single" w:sz="6" w:space="0" w:color="auto"/>
              <w:bottom w:val="single" w:sz="6" w:space="0" w:color="auto"/>
              <w:right w:val="single" w:sz="6" w:space="0" w:color="auto"/>
            </w:tcBorders>
            <w:shd w:val="clear" w:color="auto" w:fill="FFFFFF"/>
          </w:tcPr>
          <w:p w:rsidR="005748BE" w:rsidRPr="00576C1D" w:rsidRDefault="005748BE" w:rsidP="005748BE">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sz w:val="18"/>
                <w:szCs w:val="20"/>
                <w:lang w:eastAsia="hr-HR"/>
              </w:rPr>
              <w:t>Rezultati koje države članice žele postići uz potporu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5748BE" w:rsidRPr="00576C1D" w:rsidRDefault="005748BE" w:rsidP="005748BE">
            <w:pPr>
              <w:widowControl w:val="0"/>
              <w:shd w:val="clear" w:color="auto" w:fill="FFFFFF"/>
              <w:autoSpaceDE w:val="0"/>
              <w:autoSpaceDN w:val="0"/>
              <w:adjustRightInd w:val="0"/>
              <w:spacing w:after="0" w:line="274" w:lineRule="exact"/>
              <w:ind w:righ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4"/>
                <w:szCs w:val="24"/>
                <w:lang w:eastAsia="hr-HR"/>
              </w:rPr>
              <w:t>Od svibnja 2014. godine pretpostavlja se da unutar mreže Natura 2000 ima otprilike 313,5 km2 minskih polja, od čega</w:t>
            </w:r>
            <w:r w:rsidRPr="00576C1D">
              <w:rPr>
                <w:rFonts w:ascii="Times New Roman" w:hAnsi="Times New Roman"/>
                <w:sz w:val="24"/>
                <w:szCs w:val="24"/>
              </w:rPr>
              <w:t xml:space="preserve">je 284,1 km2 pod upravom državnog poduzeća Hrvatske šume koje upravlja državnim šumama. Specifično, unutar teritorija NP Paklenice, parkova prirode Lonjsko Polje, Velebit i Kopački rit, regionalnih parkova Mura, Drava itd., minska polja i područja za koja se sumnja da su minirana još su uvijek bolna stvarnost koja sprječava njihov dugoročni razvoj. Mjere vezane za </w:t>
            </w:r>
            <w:r w:rsidRPr="00576C1D">
              <w:rPr>
                <w:rFonts w:ascii="Times New Roman" w:hAnsi="Times New Roman"/>
                <w:sz w:val="24"/>
                <w:szCs w:val="24"/>
              </w:rPr>
              <w:lastRenderedPageBreak/>
              <w:t>Razminiranje usklađene su sa Strategijom Europske unije za dunavsku regiju i popratnim Akcijskim planom, stupom 4 "Jačanje dunavske regije". Djelatnostima skrbi i obnove u šumskim ekosustavima kojima se održivo upravlja održava se optimalno stanište i najbolji strukturalni uvjeti čime se trajno osigurava njihova gospodarska, društvena i ekološka baština. Šume kojima se održivo upravlja imaju više bioraznolikosti, rasta i vitalnosti od šuma kojima se upravlja neodrživo ili kojima se uopće ne upravlja. Te šume gube optimalnu prirodnu i gospodarsku strukturu i kreću se prema degradaciji. Šumama u Hrvatskoj upravlja se u skladu s Planovima za upravljanje šumama (FMP - Forest Management Plans) i one se uglavnom prirodno obnavljaju pod strogim principom održivog upravljanja, osim šuma za koje prikladno upravljanje nije moguće zbog dugotrajne prisutnosti mina. Iako su FMP-ovi - temeljem principa Ministarske konferencije o zaštiti europskih šuma i FSC certifikata za gospodarenje šumama - dostavljeni, njihova provedba nije moguća na minskim poljima. Šume s minama i drugim neeksplodiranim ubojitim sredstvima su kao posljedica izgubile poželjnu produktivnost, stabilnost, bioraznolikost, kao i uvjete za strukturalno i gospodarski održiv razvoj, čime gube sposobnost pružanja usluga ekosustava opskrbe, regulacije, staništa i kulture i višestrukih koristi tih usluga. Nadalje, u vlažnim staništima i poplavnim šumama unutar mreže Natura 2000, prisutnost mina ne dopušta dostatno upravljanje, niti mjere ili uspostavu sustava nadzora akvatičkih ekosustava i vodnih dobara. Hrvatska kao nova članica EU-a ima obvezu vezano za imenovanje i prikladno upravljanje lokacijama obuhvaćenima mrežom Natura 2000 (kao što je navedeno u "Strategiji i akcijskom planu za zaštitu biološke i pejzažne bioraznolikosti Hrvatske - NSAP, 2008.). Područja mreže Natura 2000 obuhvaćaju 36,67 % ukupne kopnene površine Hrvatske, od čega 44,2 % predstavlja šume i šumska zemljišta. Ti podaci jasno pokazuju važnost održivog upravljanja šumama za zaštitu šuma u Hrvatskoj. Preostala su minska polja također prepreka za upravljanje područjima mreže Natura 2000 u kojima su prisutne mine. Nadalje, postoji jasna korelacija između održivog upravljanja šumama i rizika od požara. Neki od razloga velikih spaljenih područja su nepristupačnost šuma zbog prisutnosti mina i nerazvijena i zapuštena vatrogasna oprema u šumskim područjima u kojima postoji prisutnost mina, što uzrokuje velike štete i višestruke indirektne štete (usluge šumskih ekosustava).</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169" w:right="541" w:bottom="360" w:left="540" w:header="720" w:footer="720" w:gutter="0"/>
          <w:cols w:space="60"/>
          <w:noEndnote/>
        </w:sectPr>
      </w:pPr>
    </w:p>
    <w:p w:rsidR="00FC3F35" w:rsidRPr="00576C1D" w:rsidRDefault="00FC3F35" w:rsidP="005748BE">
      <w:pPr>
        <w:widowControl w:val="0"/>
        <w:shd w:val="clear" w:color="auto" w:fill="FFFFFF"/>
        <w:autoSpaceDE w:val="0"/>
        <w:autoSpaceDN w:val="0"/>
        <w:adjustRightInd w:val="0"/>
        <w:spacing w:after="0" w:line="274" w:lineRule="exact"/>
        <w:ind w:left="3336"/>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74" w:right="541" w:bottom="360" w:left="540" w:header="720" w:footer="720" w:gutter="0"/>
          <w:cols w:num="3" w:space="720" w:equalWidth="0">
            <w:col w:w="720" w:space="16"/>
            <w:col w:w="14296" w:space="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6iii1 - Poboljšano znanje o stanju bioraznolikosti kao temelja za učinkovito upravljanje bioraznolikošću</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056"/>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sz w:val="16"/>
                <w:szCs w:val="16"/>
                <w:lang w:eastAsia="hr-HR"/>
              </w:rPr>
              <w:t>6ccll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vrsta i staništa s uspostavljenim programima praćenja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78,00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310,00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7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Godišnja izvješća o radu Državnog zavoda za zaštitu prirode (DZZP)</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470"/>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20"/>
                <w:szCs w:val="20"/>
                <w:lang w:eastAsia="hr-HR"/>
              </w:rPr>
              <w:t>6iii2 - Poboljšani okvir za održivo upravljanje bioraznolikošću (primarno Natura 2000)</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30" w:hanging="3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056"/>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6cc21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kartiranih invazivnih stranih vrsta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Godišnja izvješća o radu Državnog zavoda za zaštitu prirode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Dvaput godišnje</w:t>
            </w:r>
          </w:p>
        </w:tc>
      </w:tr>
      <w:tr w:rsidR="00FC3F35" w:rsidRPr="00576C1D" w:rsidTr="00FC3F35">
        <w:trPr>
          <w:trHeight w:hRule="exact" w:val="662"/>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righ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20"/>
                <w:szCs w:val="20"/>
                <w:lang w:eastAsia="hr-HR"/>
              </w:rPr>
              <w:t>6iii3 - Zaštita i obnova šuma i šumskog zemljišta u zaštićenim i  Natura 2000 područjima, uključujući razminiranje, zaštitu šuma od požara i zaštitu izvorišta vode, te  održavanje i poboljšanje  usluga ekosustava</w:t>
            </w:r>
          </w:p>
        </w:tc>
      </w:tr>
      <w:tr w:rsidR="00FC3F35" w:rsidRPr="00576C1D" w:rsidTr="00FC3F35">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hanging="3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69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6cc31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Ukupna površina razminiranih šuma i šumskog zemljišta u područjima mreže Natura 2000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Ha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18.600,00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25.600,00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Hrvatske šume/</w:t>
            </w:r>
            <w:r w:rsidRPr="00576C1D">
              <w:rPr>
                <w:rFonts w:ascii="Times New Roman" w:eastAsia="Times New Roman" w:hAnsi="Times New Roman" w:cs="Times New Roman"/>
                <w:color w:val="000000"/>
                <w:sz w:val="16"/>
                <w:szCs w:val="16"/>
                <w:lang w:eastAsia="hr-HR"/>
              </w:rPr>
              <w:t>HCR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lastRenderedPageBreak/>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4"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se podržava unutar prioriteta ulaganja </w:t>
      </w:r>
      <w:r w:rsidRPr="00576C1D">
        <w:rPr>
          <w:rFonts w:ascii="Times New Roman" w:eastAsia="Times New Roman" w:hAnsi="Times New Roman" w:cs="Times New Roman"/>
          <w:bCs/>
          <w:color w:val="000000"/>
          <w:sz w:val="24"/>
          <w:szCs w:val="24"/>
          <w:lang w:eastAsia="hr-HR"/>
        </w:rPr>
        <w:t>(po prioritetu ulaganja)</w:t>
      </w:r>
    </w:p>
    <w:p w:rsidR="00FC3F35" w:rsidRPr="00576C1D" w:rsidRDefault="00C244E3"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Pr>
          <w:rFonts w:ascii="Times New Roman" w:eastAsia="Times New Roman" w:hAnsi="Times New Roman" w:cs="Times New Roman"/>
          <w:b/>
          <w:bCs/>
          <w:noProof/>
          <w:color w:val="000000"/>
          <w:sz w:val="24"/>
          <w:szCs w:val="24"/>
          <w:lang w:eastAsia="hr-HR"/>
        </w:rPr>
        <w:pict>
          <v:line id="Line 1953" o:spid="_x0000_s1332" style="position:absolute;left:0;text-align:left;z-index:251777536;visibility:visible;mso-position-horizontal-relative:margin" from="782.9pt,56.6pt" to="782.9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" o:allowincell="f" strokeweight=".25pt">
            <w10:wrap anchorx="margin"/>
          </v:line>
        </w:pict>
      </w:r>
      <w:r w:rsidR="00FC3F35" w:rsidRPr="00576C1D">
        <w:rPr>
          <w:rFonts w:ascii="Times New Roman" w:eastAsia="Times New Roman" w:hAnsi="Times New Roman" w:cs="Times New Roman"/>
          <w:b/>
          <w:bCs/>
          <w:i/>
          <w:iCs/>
          <w:color w:val="000000"/>
          <w:spacing w:val="-2"/>
          <w:sz w:val="24"/>
          <w:szCs w:val="24"/>
          <w:lang w:eastAsia="hr-HR"/>
        </w:rPr>
        <w:t>2.A. 6.1 Opis vrste i primjeri aktivnosti koje se podržava i njihov očekivan doprinos specifičnim ciljevima, uključujući, gdje je prikladno, identifikaciju glavnih ciljnih skupina, ciljnih područja i vrste korisnika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FC3F35" w:rsidRPr="00576C1D">
          <w:pgSz w:w="16834" w:h="11909" w:orient="landscape"/>
          <w:pgMar w:top="1430"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593" o:spid="_x0000_s1331" style="position:absolute;z-index:25151436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4h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qjc+IR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594" o:spid="_x0000_s1330" style="position:absolute;z-index:251515392;visibility:visible;mso-position-horizontal-relative:margin" from="-5.75pt,-2.65pt" to="-5.75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UMFgIAAC0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595" o:spid="_x0000_s1329" style="position:absolute;z-index:251516416;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b0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430" w:right="3042" w:bottom="360" w:left="1183" w:header="720" w:footer="720" w:gutter="0"/>
          <w:cols w:num="2" w:space="720" w:equalWidth="0">
            <w:col w:w="2078" w:space="264"/>
            <w:col w:w="10267"/>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 xml:space="preserve">6iii - Zaštita i obnova bioraznolikosti i tla te promicanje usluga ekosustava, uključujući Natura 2000 mrežu i zelenu infrastrukturu </w:t>
      </w:r>
    </w:p>
    <w:p w:rsidR="00FC3F35" w:rsidRPr="00576C1D" w:rsidRDefault="00C244E3" w:rsidP="00FC3F35">
      <w:pPr>
        <w:widowControl w:val="0"/>
        <w:shd w:val="clear" w:color="auto" w:fill="FFFFFF"/>
        <w:autoSpaceDE w:val="0"/>
        <w:autoSpaceDN w:val="0"/>
        <w:adjustRightInd w:val="0"/>
        <w:spacing w:before="187" w:after="0" w:line="240" w:lineRule="auto"/>
        <w:ind w:left="619"/>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596" o:spid="_x0000_s1328" style="position:absolute;left:0;text-align:left;z-index:251517440;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a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" o:allowincell="f" strokeweight=".25pt">
            <w10:wrap anchorx="margin"/>
          </v:line>
        </w:pict>
      </w:r>
      <w:r w:rsidR="00FC3F35" w:rsidRPr="00576C1D">
        <w:rPr>
          <w:rFonts w:ascii="Times New Roman" w:eastAsia="Times New Roman" w:hAnsi="Times New Roman" w:cs="Times New Roman"/>
          <w:i/>
          <w:iCs/>
          <w:color w:val="000000"/>
          <w:spacing w:val="1"/>
          <w:sz w:val="24"/>
          <w:szCs w:val="24"/>
          <w:lang w:eastAsia="hr-HR"/>
        </w:rPr>
        <w:t xml:space="preserve"> Glavne ciljne skupine i korisnici </w:t>
      </w:r>
    </w:p>
    <w:p w:rsidR="00FC3F35" w:rsidRPr="00576C1D" w:rsidRDefault="00FC3F35" w:rsidP="00FC3F35">
      <w:pPr>
        <w:widowControl w:val="0"/>
        <w:shd w:val="clear" w:color="auto" w:fill="FFFFFF"/>
        <w:autoSpaceDE w:val="0"/>
        <w:autoSpaceDN w:val="0"/>
        <w:adjustRightInd w:val="0"/>
        <w:spacing w:before="283" w:after="0" w:line="274" w:lineRule="exact"/>
        <w:ind w:left="643"/>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Vladina tijela i institucije (Državni zavod za zaštitu prirode), javne ustanove za upravljanje zaštićenim područjima/ područjima mreže Natura 2000 na nacionalnoj i regionalnoj/lokalnoj razini, lokalne vlasti, privatni sektor, pravne osobe koje upravljaju državnim šumama i šumskim zemljištima (Hrvatske šume), državna tijela i javne ustanove za protuminsko</w:t>
      </w:r>
      <w:r w:rsidR="009403E2" w:rsidRPr="00576C1D">
        <w:rPr>
          <w:rFonts w:ascii="Times New Roman" w:eastAsia="Times New Roman" w:hAnsi="Times New Roman" w:cs="Times New Roman"/>
          <w:color w:val="000000"/>
          <w:sz w:val="24"/>
          <w:szCs w:val="24"/>
          <w:lang w:eastAsia="hr-HR"/>
        </w:rPr>
        <w:t>djelovanje</w:t>
      </w:r>
      <w:r w:rsidRPr="00576C1D">
        <w:rPr>
          <w:rFonts w:ascii="Times New Roman" w:eastAsia="Times New Roman" w:hAnsi="Times New Roman" w:cs="Times New Roman"/>
          <w:color w:val="000000"/>
          <w:sz w:val="24"/>
          <w:szCs w:val="24"/>
          <w:lang w:eastAsia="hr-HR"/>
        </w:rPr>
        <w:t>, pravne osobe koje skrbe za životinje, OCD (organizacije civilnog društva).</w:t>
      </w:r>
    </w:p>
    <w:p w:rsidR="00FC3F35" w:rsidRPr="00576C1D" w:rsidRDefault="00FC3F35" w:rsidP="00FC3F35">
      <w:pPr>
        <w:widowControl w:val="0"/>
        <w:shd w:val="clear" w:color="auto" w:fill="FFFFFF"/>
        <w:autoSpaceDE w:val="0"/>
        <w:autoSpaceDN w:val="0"/>
        <w:adjustRightInd w:val="0"/>
        <w:spacing w:before="600" w:after="0" w:line="557" w:lineRule="exact"/>
        <w:ind w:left="6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t>Primjeri aktivnosti koje se financiraju kako bi se postigli specifični ciljevi</w:t>
      </w:r>
    </w:p>
    <w:p w:rsidR="00FC3F35" w:rsidRPr="00576C1D" w:rsidRDefault="00FC3F35" w:rsidP="00FC3F35">
      <w:pPr>
        <w:widowControl w:val="0"/>
        <w:shd w:val="clear" w:color="auto" w:fill="FFFFFF"/>
        <w:autoSpaceDE w:val="0"/>
        <w:autoSpaceDN w:val="0"/>
        <w:adjustRightInd w:val="0"/>
        <w:spacing w:after="0" w:line="557" w:lineRule="exact"/>
        <w:ind w:left="6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5"/>
          <w:sz w:val="24"/>
          <w:szCs w:val="24"/>
          <w:lang w:eastAsia="hr-HR"/>
        </w:rPr>
        <w:t>SC 6iii1</w:t>
      </w:r>
    </w:p>
    <w:p w:rsidR="00FC3F35" w:rsidRPr="00576C1D" w:rsidRDefault="00FC3F35" w:rsidP="00FC3F35">
      <w:pPr>
        <w:widowControl w:val="0"/>
        <w:shd w:val="clear" w:color="auto" w:fill="FFFFFF"/>
        <w:autoSpaceDE w:val="0"/>
        <w:autoSpaceDN w:val="0"/>
        <w:adjustRightInd w:val="0"/>
        <w:spacing w:after="0" w:line="557"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Identifikacija i mapiranje morskih staništa i vrsta </w:t>
      </w:r>
      <w:r w:rsidRPr="00576C1D">
        <w:rPr>
          <w:rFonts w:ascii="Times New Roman" w:eastAsia="Times New Roman" w:hAnsi="Times New Roman" w:cs="Times New Roman"/>
          <w:bCs/>
          <w:color w:val="000000"/>
          <w:spacing w:val="-1"/>
          <w:sz w:val="24"/>
          <w:szCs w:val="24"/>
          <w:lang w:eastAsia="hr-HR"/>
        </w:rPr>
        <w:t>u skladu s Direktivom o staništima (HD) i Okvirnom direktivom o morskoj strategiji (MSFD)</w:t>
      </w:r>
    </w:p>
    <w:p w:rsidR="00FC3F35" w:rsidRPr="00576C1D" w:rsidRDefault="00FC3F35" w:rsidP="00FC3F35">
      <w:pPr>
        <w:widowControl w:val="0"/>
        <w:shd w:val="clear" w:color="auto" w:fill="FFFFFF"/>
        <w:autoSpaceDE w:val="0"/>
        <w:autoSpaceDN w:val="0"/>
        <w:adjustRightInd w:val="0"/>
        <w:spacing w:after="0" w:line="557"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Razvoj sustava praćenja i izvješćivanja</w:t>
      </w:r>
    </w:p>
    <w:p w:rsidR="00FC3F35" w:rsidRPr="00576C1D" w:rsidRDefault="00FC3F35" w:rsidP="00FC3F35">
      <w:pPr>
        <w:widowControl w:val="0"/>
        <w:shd w:val="clear" w:color="auto" w:fill="FFFFFF"/>
        <w:autoSpaceDE w:val="0"/>
        <w:autoSpaceDN w:val="0"/>
        <w:adjustRightInd w:val="0"/>
        <w:spacing w:before="226" w:after="0" w:line="274" w:lineRule="exact"/>
        <w:ind w:left="643"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Razvoj programa praćenja za stanišne tipove i vrste iz Dodatka II, IV i V Direktive o staništima i Dodatka Direktive o pticama i stanišne tipove iz Dodatka I Direktive o staništima, uključujući i definiranje metoda i normi praćenja</w:t>
      </w:r>
    </w:p>
    <w:p w:rsidR="00FC3F35" w:rsidRPr="00576C1D" w:rsidRDefault="00C244E3" w:rsidP="00FC3F35">
      <w:pPr>
        <w:widowControl w:val="0"/>
        <w:shd w:val="clear" w:color="auto" w:fill="FFFFFF"/>
        <w:autoSpaceDE w:val="0"/>
        <w:autoSpaceDN w:val="0"/>
        <w:adjustRightInd w:val="0"/>
        <w:spacing w:before="274" w:after="1224" w:line="240" w:lineRule="auto"/>
        <w:ind w:left="638"/>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pict>
          <v:line id="Straight Connector 852" o:spid="_x0000_s1327" style="position:absolute;left:0;text-align:left;z-index:251811328;visibility:visible;mso-wrap-distance-top:-3e-5mm;mso-wrap-distance-bottom:-3e-5mm;mso-position-horizontal-relative:margin" from="26.4pt,42.9pt" to="782.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pH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Izgradnja kapaciteta i resursa za praćenje i izvješćivanje, uključujući i nabavljanje opreme za praćenje</w:t>
      </w:r>
    </w:p>
    <w:p w:rsidR="00FC3F35" w:rsidRPr="00576C1D" w:rsidRDefault="00FC3F35" w:rsidP="00FC3F35">
      <w:pPr>
        <w:widowControl w:val="0"/>
        <w:shd w:val="clear" w:color="auto" w:fill="FFFFFF"/>
        <w:autoSpaceDE w:val="0"/>
        <w:autoSpaceDN w:val="0"/>
        <w:adjustRightInd w:val="0"/>
        <w:spacing w:before="274" w:after="1224" w:line="240" w:lineRule="auto"/>
        <w:ind w:left="638"/>
        <w:rPr>
          <w:rFonts w:ascii="Times New Roman" w:eastAsia="Times New Roman" w:hAnsi="Times New Roman" w:cs="Times New Roman"/>
          <w:sz w:val="20"/>
          <w:szCs w:val="20"/>
          <w:lang w:eastAsia="hr-HR"/>
        </w:rPr>
        <w:sectPr w:rsidR="00FC3F35" w:rsidRPr="00576C1D">
          <w:type w:val="continuous"/>
          <w:pgSz w:w="16834" w:h="11909" w:orient="landscape"/>
          <w:pgMar w:top="1430"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lastRenderedPageBreak/>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0"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597" o:spid="_x0000_s1326" style="position:absolute;z-index:251518464;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m8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u0jZvB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598" o:spid="_x0000_s1325" style="position:absolute;z-index:251519488;visibility:visible;mso-position-horizontal-relative:margin" from="-5.75pt,-2.65pt" to="-5.75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fc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 xml:space="preserve"> Investicijski prioritet</w:t>
      </w: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05" w:right="3042" w:bottom="360" w:left="1183" w:header="720" w:footer="720" w:gutter="0"/>
          <w:cols w:num="2" w:space="720" w:equalWidth="0">
            <w:col w:w="1497" w:space="845"/>
            <w:col w:w="10267"/>
          </w:cols>
          <w:noEndnote/>
        </w:sectPr>
      </w:pPr>
      <w:r>
        <w:rPr>
          <w:rFonts w:ascii="Times New Roman" w:eastAsia="Times New Roman" w:hAnsi="Times New Roman" w:cs="Times New Roman"/>
          <w:noProof/>
          <w:color w:val="000000"/>
          <w:sz w:val="24"/>
          <w:szCs w:val="24"/>
          <w:lang w:eastAsia="hr-HR"/>
        </w:rPr>
        <w:pict>
          <v:line id="Line 1954" o:spid="_x0000_s1324" style="position:absolute;z-index:251779584;visibility:visible;mso-position-horizontal-relative:margin" from="750.75pt,-24.3pt" to="750.75pt,3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6P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" o:allowincell="f" strokeweight=".25pt">
            <w10:wrap anchorx="margin"/>
          </v:line>
        </w:pict>
      </w:r>
      <w:r>
        <w:rPr>
          <w:rFonts w:ascii="Times New Roman" w:eastAsia="Times New Roman" w:hAnsi="Times New Roman" w:cs="Times New Roman"/>
          <w:noProof/>
          <w:sz w:val="20"/>
          <w:szCs w:val="20"/>
          <w:lang w:eastAsia="hr-HR"/>
        </w:rPr>
        <w:pict>
          <v:line id="Line 1599" o:spid="_x0000_s1323" style="position:absolute;z-index:251520512;visibility:visible;mso-position-horizontal-relative:margin" from="110.9pt,-23.35pt" to="110.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q7EwIAACwEAAAOAAAAZHJzL2Uyb0RvYy54bWysU8GO2jAQvVfqP1i+QxLIUo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" o:allowincell="f" strokeweight=".7pt">
            <w10:wrap anchorx="margin"/>
          </v:line>
        </w:pict>
      </w:r>
      <w:r w:rsidR="00FC3F35" w:rsidRPr="00576C1D">
        <w:rPr>
          <w:rFonts w:ascii="Times New Roman" w:eastAsia="Times New Roman" w:hAnsi="Times New Roman" w:cs="Times New Roman"/>
          <w:sz w:val="20"/>
          <w:szCs w:val="20"/>
          <w:lang w:eastAsia="hr-HR"/>
        </w:rPr>
        <w:br w:type="column"/>
      </w:r>
      <w:r w:rsidR="00FC3F35" w:rsidRPr="00576C1D">
        <w:rPr>
          <w:rFonts w:ascii="Times New Roman" w:eastAsia="Times New Roman" w:hAnsi="Times New Roman" w:cs="Times New Roman"/>
          <w:color w:val="000000"/>
          <w:spacing w:val="-1"/>
          <w:sz w:val="18"/>
          <w:szCs w:val="18"/>
          <w:lang w:eastAsia="hr-HR"/>
        </w:rPr>
        <w:lastRenderedPageBreak/>
        <w:t>6iii - Zaštita i obnova bioraznolikosti i tla te promicanje usluga ekosustava, uključujući NATURA 2000 mrežu i „zelenu“ infrastrukturu</w:t>
      </w:r>
    </w:p>
    <w:p w:rsidR="00FC3F35" w:rsidRPr="00576C1D" w:rsidRDefault="00C244E3" w:rsidP="00FC3F35">
      <w:pPr>
        <w:widowControl w:val="0"/>
        <w:shd w:val="clear" w:color="auto" w:fill="FFFFFF"/>
        <w:autoSpaceDE w:val="0"/>
        <w:autoSpaceDN w:val="0"/>
        <w:adjustRightInd w:val="0"/>
        <w:spacing w:before="72" w:after="0" w:line="240" w:lineRule="auto"/>
        <w:ind w:left="648"/>
        <w:rPr>
          <w:rFonts w:ascii="Times New Roman" w:eastAsia="Times New Roman" w:hAnsi="Times New Roman" w:cs="Times New Roman"/>
          <w:sz w:val="24"/>
          <w:szCs w:val="24"/>
          <w:lang w:eastAsia="hr-HR"/>
        </w:rPr>
      </w:pPr>
      <w:r>
        <w:rPr>
          <w:rFonts w:ascii="Times New Roman" w:eastAsia="Times New Roman" w:hAnsi="Times New Roman" w:cs="Times New Roman"/>
          <w:noProof/>
          <w:sz w:val="20"/>
          <w:szCs w:val="20"/>
          <w:lang w:eastAsia="hr-HR"/>
        </w:rPr>
        <w:lastRenderedPageBreak/>
        <w:pict>
          <v:line id="Line 1600" o:spid="_x0000_s1322" style="position:absolute;left:0;text-align:left;z-index:251521536;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Fg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" o:allowincell="f" strokeweight=".25pt">
            <w10:wrap anchorx="margin"/>
          </v:line>
        </w:pict>
      </w:r>
      <w:r w:rsidR="00FC3F35" w:rsidRPr="00576C1D">
        <w:rPr>
          <w:rFonts w:ascii="Times New Roman" w:eastAsia="Times New Roman" w:hAnsi="Times New Roman" w:cs="Times New Roman"/>
          <w:sz w:val="24"/>
          <w:szCs w:val="24"/>
          <w:lang w:eastAsia="hr-HR"/>
        </w:rPr>
        <w:t>Ispitivanje programa za praćenje (terenski rad)</w:t>
      </w:r>
    </w:p>
    <w:p w:rsidR="00FC3F35" w:rsidRPr="00576C1D" w:rsidRDefault="00FC3F35" w:rsidP="00FC3F35">
      <w:pPr>
        <w:widowControl w:val="0"/>
        <w:shd w:val="clear" w:color="auto" w:fill="FFFFFF"/>
        <w:autoSpaceDE w:val="0"/>
        <w:autoSpaceDN w:val="0"/>
        <w:adjustRightInd w:val="0"/>
        <w:spacing w:before="274"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Razvoj osnove za očuvanje usluga ekosustava</w:t>
      </w:r>
    </w:p>
    <w:p w:rsidR="00FC3F35" w:rsidRPr="00576C1D" w:rsidRDefault="00FC3F35" w:rsidP="00FC3F35">
      <w:pPr>
        <w:widowControl w:val="0"/>
        <w:shd w:val="clear" w:color="auto" w:fill="FFFFFF"/>
        <w:autoSpaceDE w:val="0"/>
        <w:autoSpaceDN w:val="0"/>
        <w:adjustRightInd w:val="0"/>
        <w:spacing w:before="283" w:after="0" w:line="274" w:lineRule="exact"/>
        <w:ind w:left="638" w:right="1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Ocjena pregleda i dostupnih nacionalnih, EU i globalnih datoteka i informacija relevantnih za osnovno mapiranje i ocjenu statusa i trendova glavnih kategorija ekosustava i utvrđenih usluga ekosustava u Hrvatskoj</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Definiranje prioriteta za buduće programe </w:t>
      </w:r>
      <w:r w:rsidRPr="00576C1D">
        <w:rPr>
          <w:rFonts w:ascii="Times New Roman" w:eastAsia="Times New Roman" w:hAnsi="Times New Roman" w:cs="Times New Roman"/>
          <w:color w:val="000000"/>
          <w:spacing w:val="-1"/>
          <w:sz w:val="24"/>
          <w:szCs w:val="24"/>
          <w:lang w:eastAsia="hr-HR"/>
        </w:rPr>
        <w:t>obnove staništa i zelene infrastrukture.</w:t>
      </w:r>
      <w:r w:rsidRPr="00576C1D">
        <w:rPr>
          <w:rFonts w:ascii="Times New Roman" w:eastAsia="Times New Roman" w:hAnsi="Times New Roman" w:cs="Times New Roman"/>
          <w:color w:val="000000"/>
          <w:sz w:val="24"/>
          <w:szCs w:val="24"/>
          <w:lang w:eastAsia="hr-HR"/>
        </w:rPr>
        <w:t>Analiza i procjena sustava upravljanja i ključnih pokretača koji uzrokuju promjene u glavnim ekosustavima i njihovim uslugama.</w:t>
      </w:r>
    </w:p>
    <w:p w:rsidR="00FC3F35" w:rsidRPr="00576C1D" w:rsidRDefault="00FC3F35" w:rsidP="00FC3F35">
      <w:pPr>
        <w:widowControl w:val="0"/>
        <w:shd w:val="clear" w:color="auto" w:fill="FFFFFF"/>
        <w:autoSpaceDE w:val="0"/>
        <w:autoSpaceDN w:val="0"/>
        <w:adjustRightInd w:val="0"/>
        <w:spacing w:before="283" w:after="0" w:line="269" w:lineRule="exact"/>
        <w:ind w:left="648" w:right="4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Procijenit će se ekonomska vrijednost ključnih usluga, prioritetiziranih s liste usluga ekosustava, kao važan parametar za strateško planiranje i donošenje odluka</w:t>
      </w:r>
      <w:r w:rsidRPr="00576C1D">
        <w:rPr>
          <w:rFonts w:ascii="Times New Roman" w:eastAsia="Times New Roman" w:hAnsi="Times New Roman" w:cs="Times New Roman"/>
          <w:color w:val="000000"/>
          <w:spacing w:val="-2"/>
          <w:sz w:val="24"/>
          <w:szCs w:val="24"/>
          <w:lang w:eastAsia="hr-HR"/>
        </w:rPr>
        <w:t>.</w:t>
      </w:r>
    </w:p>
    <w:p w:rsidR="00FC3F35" w:rsidRPr="00576C1D" w:rsidRDefault="00FC3F35" w:rsidP="00FC3F35">
      <w:pPr>
        <w:widowControl w:val="0"/>
        <w:shd w:val="clear" w:color="auto" w:fill="FFFFFF"/>
        <w:autoSpaceDE w:val="0"/>
        <w:autoSpaceDN w:val="0"/>
        <w:adjustRightInd w:val="0"/>
        <w:spacing w:before="835" w:after="0" w:line="240" w:lineRule="auto"/>
        <w:ind w:left="6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24"/>
          <w:szCs w:val="24"/>
          <w:lang w:eastAsia="hr-HR"/>
        </w:rPr>
        <w:t>SC 6iii2</w:t>
      </w:r>
    </w:p>
    <w:p w:rsidR="00FC3F35" w:rsidRPr="00576C1D" w:rsidRDefault="00FC3F35" w:rsidP="00FC3F35">
      <w:pPr>
        <w:widowControl w:val="0"/>
        <w:shd w:val="clear" w:color="auto" w:fill="FFFFFF"/>
        <w:autoSpaceDE w:val="0"/>
        <w:autoSpaceDN w:val="0"/>
        <w:adjustRightInd w:val="0"/>
        <w:spacing w:before="283" w:after="0" w:line="240" w:lineRule="auto"/>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Očuvanje i prikladno upravljanje mrežom Natura 2000</w:t>
      </w:r>
    </w:p>
    <w:p w:rsidR="00FC3F35" w:rsidRPr="00576C1D" w:rsidRDefault="00FC3F35" w:rsidP="00FC3F35">
      <w:pPr>
        <w:widowControl w:val="0"/>
        <w:shd w:val="clear" w:color="auto" w:fill="FFFFFF"/>
        <w:autoSpaceDE w:val="0"/>
        <w:autoSpaceDN w:val="0"/>
        <w:adjustRightInd w:val="0"/>
        <w:spacing w:before="269" w:after="0" w:line="278" w:lineRule="exact"/>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Uspostava okvira za upravljanje područjima Natura 2000, uključujući i razvoj prikladnih upravljačkih modela i primjena (npr. pomoću sektorskih planova ili planova specifičnih za područje</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Provedba aktivnosti izgradnje kapaciteta i nabava potrebne opreme za prikladno upravljanje zaštićenim područjima, uključujući i mrežu Natura 2000</w:t>
      </w:r>
    </w:p>
    <w:p w:rsidR="00FC3F35" w:rsidRPr="00576C1D" w:rsidRDefault="00C244E3" w:rsidP="00FC3F35">
      <w:pPr>
        <w:widowControl w:val="0"/>
        <w:shd w:val="clear" w:color="auto" w:fill="FFFFFF"/>
        <w:autoSpaceDE w:val="0"/>
        <w:autoSpaceDN w:val="0"/>
        <w:adjustRightInd w:val="0"/>
        <w:spacing w:before="278" w:after="1315" w:line="274" w:lineRule="exact"/>
        <w:ind w:left="643" w:right="922"/>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pict>
          <v:line id="Straight Connector 853" o:spid="_x0000_s1321" style="position:absolute;left:0;text-align:left;z-index:251812352;visibility:visible;mso-wrap-distance-top:-3e-5mm;mso-wrap-distance-bottom:-3e-5mm;mso-position-horizontal-relative:margin" from="26.4pt,58.85pt" to="782.9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FfHg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" o:allowincell="f" strokeweight=".25pt">
            <w10:wrap anchorx="margin"/>
          </v:line>
        </w:pict>
      </w:r>
      <w:r w:rsidR="00FC3F35" w:rsidRPr="00576C1D">
        <w:rPr>
          <w:rFonts w:ascii="Times New Roman" w:eastAsia="Times New Roman" w:hAnsi="Times New Roman" w:cs="Times New Roman"/>
          <w:color w:val="000000"/>
          <w:spacing w:val="-1"/>
          <w:sz w:val="24"/>
          <w:szCs w:val="24"/>
          <w:lang w:eastAsia="hr-HR"/>
        </w:rPr>
        <w:t>Detaljno prikazati podatke o granicama zaštićenih područja (na katastarskim kartama) razvojem geodetske tehničke dokumentacije spremne za registraciju u službenim registrima (katastarski ured i zemljišno-knjižni ured</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72" w:after="0" w:line="240" w:lineRule="auto"/>
        <w:ind w:left="648"/>
        <w:rPr>
          <w:rFonts w:ascii="Times New Roman" w:eastAsia="Times New Roman" w:hAnsi="Times New Roman" w:cs="Times New Roman"/>
          <w:sz w:val="24"/>
          <w:szCs w:val="24"/>
          <w:lang w:eastAsia="hr-HR"/>
        </w:rPr>
      </w:pPr>
    </w:p>
    <w:p w:rsidR="00FC3F35" w:rsidRPr="00576C1D" w:rsidRDefault="00FC3F35" w:rsidP="00FC3F35">
      <w:pPr>
        <w:widowControl w:val="0"/>
        <w:shd w:val="clear" w:color="auto" w:fill="FFFFFF"/>
        <w:autoSpaceDE w:val="0"/>
        <w:autoSpaceDN w:val="0"/>
        <w:adjustRightInd w:val="0"/>
        <w:spacing w:before="72" w:after="0" w:line="240" w:lineRule="auto"/>
        <w:ind w:left="648"/>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lastRenderedPageBreak/>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Line 1601" o:spid="_x0000_s1320" style="position:absolute;z-index:251522560;visibility:visible;mso-position-horizontal-relative:margin" from="-6pt,-3.6pt" to="750.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nhFwIAAC0EAAAOAAAAZHJzL2Uyb0RvYy54bWysU8uu2jAQ3VfqP1jeQxLITSE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" o:allowincell="f" strokeweight=".25pt">
            <w10:wrap anchorx="margin"/>
          </v:line>
        </w:pict>
      </w:r>
    </w:p>
    <w:p w:rsidR="00FC3F35" w:rsidRPr="00576C1D" w:rsidRDefault="00FC3F35" w:rsidP="00FC3F35">
      <w:pPr>
        <w:framePr w:h="211" w:hRule="exact" w:hSpace="38" w:wrap="auto" w:vAnchor="text" w:hAnchor="text" w:x="6" w:y="-37"/>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C244E3"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603" o:spid="_x0000_s1319" style="position:absolute;left:0;text-align:left;z-index:251524608;visibility:visible;mso-position-horizontal-relative:margin" from="750.5pt,-2.7pt" to="750.5pt,4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WqFAIAAC0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602" o:spid="_x0000_s1318" style="position:absolute;left:0;text-align:left;flip:x;z-index:251523584;visibility:visible;mso-position-horizontal-relative:margin" from="-6pt,-2.7pt" to="-5.5pt,4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" o:allowincell="f" strokeweight=".25pt">
            <w10:wrap anchorx="margin"/>
          </v:line>
        </w:pict>
      </w:r>
      <w:r w:rsidR="00FC3F35" w:rsidRPr="00576C1D">
        <w:rPr>
          <w:rFonts w:ascii="Times New Roman" w:eastAsia="Times New Roman" w:hAnsi="Times New Roman" w:cs="Times New Roman"/>
          <w:color w:val="000000"/>
          <w:spacing w:val="-1"/>
          <w:sz w:val="18"/>
          <w:szCs w:val="18"/>
          <w:lang w:eastAsia="hr-HR"/>
        </w:rPr>
        <w:t>6iii - Zaštita i obnova bioraznolikosti i tla te promicanje usluga ekosustava, uključujući NATURA 2000 mrežu i „zelenu“ infrastrukturu</w:t>
      </w:r>
    </w:p>
    <w:p w:rsidR="00FC3F35" w:rsidRPr="00576C1D" w:rsidRDefault="00C244E3" w:rsidP="00FC3F35">
      <w:pPr>
        <w:widowControl w:val="0"/>
        <w:shd w:val="clear" w:color="auto" w:fill="FFFFFF"/>
        <w:autoSpaceDE w:val="0"/>
        <w:autoSpaceDN w:val="0"/>
        <w:adjustRightInd w:val="0"/>
        <w:spacing w:after="0" w:line="552" w:lineRule="exact"/>
        <w:ind w:left="14" w:right="-65"/>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604" o:spid="_x0000_s1317" style="position:absolute;left:0;text-align:left;z-index:251525632;visibility:visible" from="-5.5pt,10.1pt" to="75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Va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" o:allowincell="f" strokeweight=".25pt"/>
        </w:pict>
      </w:r>
      <w:r w:rsidR="00FC3F35" w:rsidRPr="00576C1D">
        <w:rPr>
          <w:rFonts w:ascii="Times New Roman" w:eastAsia="Times New Roman" w:hAnsi="Times New Roman" w:cs="Times New Roman"/>
          <w:sz w:val="24"/>
          <w:szCs w:val="24"/>
          <w:lang w:eastAsia="hr-HR"/>
        </w:rPr>
        <w:t>Provedba komunikacije, obrazovanja i aktivnosti podizanja javne svijesti u svrhu promicanja sveukupne bioraznolikosti, posebno mreže Natura 2000</w:t>
      </w:r>
      <w:r w:rsidR="00FC3F35" w:rsidRPr="00576C1D">
        <w:rPr>
          <w:rFonts w:ascii="Times New Roman" w:eastAsia="Times New Roman" w:hAnsi="Times New Roman" w:cs="Times New Roman"/>
          <w:b/>
          <w:bCs/>
          <w:color w:val="000000"/>
          <w:spacing w:val="-1"/>
          <w:sz w:val="24"/>
          <w:szCs w:val="24"/>
          <w:lang w:eastAsia="hr-HR"/>
        </w:rPr>
        <w:t>Podrška očuvanju vrsta</w:t>
      </w:r>
    </w:p>
    <w:p w:rsidR="00FC3F35" w:rsidRPr="00576C1D" w:rsidRDefault="00FC3F35" w:rsidP="00FC3F35">
      <w:pPr>
        <w:widowControl w:val="0"/>
        <w:shd w:val="clear" w:color="auto" w:fill="FFFFFF"/>
        <w:autoSpaceDE w:val="0"/>
        <w:autoSpaceDN w:val="0"/>
        <w:adjustRightInd w:val="0"/>
        <w:spacing w:before="221" w:after="0" w:line="278"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Razvoj i provedba programa oporavka populacije i programa repopulacije za jako ugrožene vrste, uključujući i obnovu njihovih staništa, obrazovanje relevantnih dionika i informiranje javnosti</w:t>
      </w:r>
    </w:p>
    <w:p w:rsidR="00FC3F35" w:rsidRPr="00576C1D" w:rsidRDefault="00FC3F35" w:rsidP="00FC3F35">
      <w:pPr>
        <w:widowControl w:val="0"/>
        <w:shd w:val="clear" w:color="auto" w:fill="FFFFFF"/>
        <w:autoSpaceDE w:val="0"/>
        <w:autoSpaceDN w:val="0"/>
        <w:adjustRightInd w:val="0"/>
        <w:spacing w:before="278" w:after="0" w:line="274" w:lineRule="exact"/>
        <w:ind w:left="5"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Proširivanje sustava za praćenje nepredviđenog hvatanja ili ubijanja strogo zaštićenih divljih životinja, razvojem i provedbom protokola postupanja za nove (trenutno nepokrivene) grupe vrsta i podizanje javne svijesti</w:t>
      </w:r>
    </w:p>
    <w:p w:rsidR="00FC3F35" w:rsidRPr="00576C1D" w:rsidRDefault="00FC3F35" w:rsidP="00FC3F35">
      <w:pPr>
        <w:widowControl w:val="0"/>
        <w:shd w:val="clear" w:color="auto" w:fill="FFFFFF"/>
        <w:autoSpaceDE w:val="0"/>
        <w:autoSpaceDN w:val="0"/>
        <w:adjustRightInd w:val="0"/>
        <w:spacing w:before="274" w:after="0" w:line="278" w:lineRule="exact"/>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Razvoj i početak provedbe akcijskih planova za ugrožene vrste, uključujući provedbu obrazovanja i izobrazbe svih relevantnih dionika i podizanje javne svijesti</w:t>
      </w:r>
    </w:p>
    <w:p w:rsidR="00FC3F35" w:rsidRPr="00576C1D" w:rsidRDefault="00FC3F35" w:rsidP="00FC3F35">
      <w:pPr>
        <w:widowControl w:val="0"/>
        <w:shd w:val="clear" w:color="auto" w:fill="FFFFFF"/>
        <w:autoSpaceDE w:val="0"/>
        <w:autoSpaceDN w:val="0"/>
        <w:adjustRightInd w:val="0"/>
        <w:spacing w:before="58" w:after="0" w:line="552"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Poboljšanje trenutnih ili uspostava novih oporavilišta za divlje životinje</w:t>
      </w:r>
    </w:p>
    <w:p w:rsidR="00FC3F35" w:rsidRPr="00576C1D" w:rsidRDefault="00FC3F35" w:rsidP="00FC3F35">
      <w:pPr>
        <w:widowControl w:val="0"/>
        <w:shd w:val="clear" w:color="auto" w:fill="FFFFFF"/>
        <w:autoSpaceDE w:val="0"/>
        <w:autoSpaceDN w:val="0"/>
        <w:adjustRightInd w:val="0"/>
        <w:spacing w:before="5" w:after="0" w:line="552" w:lineRule="exact"/>
        <w:ind w:left="10"/>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Osiguravanje odgovarajuće opreme, smještaja i karantene za oporavilišta za divlje životinje </w:t>
      </w:r>
    </w:p>
    <w:p w:rsidR="00FC3F35" w:rsidRPr="00576C1D" w:rsidRDefault="00FC3F35" w:rsidP="00FC3F35">
      <w:pPr>
        <w:widowControl w:val="0"/>
        <w:shd w:val="clear" w:color="auto" w:fill="FFFFFF"/>
        <w:autoSpaceDE w:val="0"/>
        <w:autoSpaceDN w:val="0"/>
        <w:adjustRightInd w:val="0"/>
        <w:spacing w:before="5" w:after="0" w:line="552" w:lineRule="exact"/>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Provođenje izobrazbe i poboljšanje specifičnih vještina za postupanje s ozlijeđenim životinjama i njihovo liječenje te daljnje jačanje kapaciteta i sredstava</w:t>
      </w:r>
    </w:p>
    <w:p w:rsidR="00FC3F35" w:rsidRPr="00576C1D" w:rsidRDefault="00FC3F35" w:rsidP="00FC3F35">
      <w:pPr>
        <w:widowControl w:val="0"/>
        <w:shd w:val="clear" w:color="auto" w:fill="FFFFFF"/>
        <w:autoSpaceDE w:val="0"/>
        <w:autoSpaceDN w:val="0"/>
        <w:adjustRightInd w:val="0"/>
        <w:spacing w:before="5" w:after="0" w:line="552"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Smanjenje negativnih učinaka na bioraznolikost</w:t>
      </w:r>
    </w:p>
    <w:p w:rsidR="00FC3F35" w:rsidRPr="00576C1D" w:rsidRDefault="00FC3F35" w:rsidP="00FC3F35">
      <w:pPr>
        <w:widowControl w:val="0"/>
        <w:shd w:val="clear" w:color="auto" w:fill="FFFFFF"/>
        <w:autoSpaceDE w:val="0"/>
        <w:autoSpaceDN w:val="0"/>
        <w:adjustRightInd w:val="0"/>
        <w:spacing w:before="5" w:after="0" w:line="552"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Identifikacija rasprostranjenosti invazivnih stranih vrsta te identifikacija i analiza puteva i određivanje prioriteta.</w:t>
      </w:r>
    </w:p>
    <w:p w:rsidR="00FC3F35" w:rsidRPr="00576C1D" w:rsidRDefault="00FC3F35" w:rsidP="00FC3F35">
      <w:pPr>
        <w:widowControl w:val="0"/>
        <w:shd w:val="clear" w:color="auto" w:fill="FFFFFF"/>
        <w:autoSpaceDE w:val="0"/>
        <w:autoSpaceDN w:val="0"/>
        <w:adjustRightInd w:val="0"/>
        <w:spacing w:before="221" w:after="0" w:line="274"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Poboljšanje informacijskog sustava za postojeće i nove podatke o invazivnim stranim vrstama u Hrvatskoj kako bi se omogućio pristup podacima o prisutnosti vrsta, njihovoj raširenosti, ekologiji, povijesti unosa i širenja, rasprostranjenosti, najboljim praksama i drugim informacijama potrebnima kako bi se poduprle politika i odluke o upravljanju, uključujući i procjena rizika te protokoli i alati za izradu procjena. Za to će se vrijeme protokoli i alati te analiza rizika i procjena uskladiti s relevantnim europskim i međunarodnim normama</w:t>
      </w:r>
      <w:r w:rsidRPr="00576C1D">
        <w:rPr>
          <w:rFonts w:ascii="Times New Roman" w:eastAsia="Times New Roman" w:hAnsi="Times New Roman" w:cs="Times New Roman"/>
          <w:color w:val="000000"/>
          <w:spacing w:val="-1"/>
          <w:sz w:val="24"/>
          <w:szCs w:val="24"/>
          <w:lang w:eastAsia="hr-HR"/>
        </w:rPr>
        <w:t>.</w:t>
      </w:r>
    </w:p>
    <w:p w:rsidR="00FC3F35" w:rsidRPr="00576C1D" w:rsidRDefault="00C244E3" w:rsidP="00FC3F35">
      <w:pPr>
        <w:widowControl w:val="0"/>
        <w:shd w:val="clear" w:color="auto" w:fill="FFFFFF"/>
        <w:tabs>
          <w:tab w:val="left" w:leader="underscore" w:pos="14962"/>
        </w:tabs>
        <w:autoSpaceDE w:val="0"/>
        <w:autoSpaceDN w:val="0"/>
        <w:adjustRightInd w:val="0"/>
        <w:spacing w:before="278" w:after="763" w:line="240" w:lineRule="auto"/>
        <w:rPr>
          <w:rFonts w:ascii="Times New Roman" w:eastAsia="Times New Roman" w:hAnsi="Times New Roman" w:cs="Times New Roman"/>
          <w:sz w:val="20"/>
          <w:szCs w:val="20"/>
          <w:lang w:eastAsia="hr-HR"/>
        </w:rPr>
        <w:sectPr w:rsidR="00FC3F35" w:rsidRPr="00576C1D">
          <w:pgSz w:w="16834" w:h="11909" w:orient="landscape"/>
          <w:pgMar w:top="1205" w:right="695" w:bottom="360" w:left="1178" w:header="720" w:footer="720" w:gutter="0"/>
          <w:cols w:space="60"/>
          <w:noEndnote/>
        </w:sectPr>
      </w:pPr>
      <w:r>
        <w:rPr>
          <w:rFonts w:ascii="Times New Roman" w:eastAsia="Times New Roman" w:hAnsi="Times New Roman" w:cs="Times New Roman"/>
          <w:noProof/>
          <w:color w:val="000000"/>
          <w:spacing w:val="-1"/>
          <w:sz w:val="24"/>
          <w:szCs w:val="24"/>
          <w:lang w:eastAsia="hr-HR"/>
        </w:rPr>
        <w:pict>
          <v:line id="Straight Connector 1017" o:spid="_x0000_s1316" style="position:absolute;z-index:251813376;visibility:visible;mso-wrap-distance-top:-3e-5mm;mso-wrap-distance-bottom:-3e-5mm;mso-position-horizontal-relative:margin" from="-5.5pt,40.85pt" to="751.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UYIAIAADwEAAAOAAAAZHJzL2Uyb0RvYy54bWysU02P2yAQvVfqf0Dcs7YTbz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" o:allowincell="f" strokeweight=".25pt">
            <w10:wrap anchorx="margin"/>
          </v:line>
        </w:pict>
      </w:r>
      <w:r w:rsidR="00FC3F35" w:rsidRPr="00576C1D">
        <w:rPr>
          <w:rFonts w:ascii="Times New Roman" w:eastAsia="Times New Roman" w:hAnsi="Times New Roman" w:cs="Times New Roman"/>
          <w:color w:val="000000"/>
          <w:spacing w:val="-1"/>
          <w:sz w:val="24"/>
          <w:szCs w:val="24"/>
          <w:lang w:eastAsia="hr-HR"/>
        </w:rPr>
        <w:t xml:space="preserve">Izrada nacrta i primjena programa praćenja za invazivne strane vrste. Sustav bi se trebao uspostaviti ili uključiti u postojeći/budući sustav za nadgledanje i </w:t>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05" o:spid="_x0000_s1315" style="position:absolute;z-index:251526656;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Lv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ApBOLv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606" o:spid="_x0000_s1314" style="position:absolute;z-index:251527680;visibility:visible;mso-position-horizontal-relative:margin" from="-5.75pt,-2.65pt" to="-5.7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fEwIAAC0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" o:allowincell="f" strokeweight=".25pt">
            <w10:wrap anchorx="margin"/>
          </v:line>
        </w:pict>
      </w:r>
      <w:r>
        <w:rPr>
          <w:rFonts w:ascii="Times New Roman" w:eastAsia="Times New Roman" w:hAnsi="Times New Roman" w:cs="Times New Roman"/>
          <w:noProof/>
          <w:sz w:val="20"/>
          <w:szCs w:val="20"/>
          <w:lang w:eastAsia="hr-HR"/>
        </w:rPr>
        <w:pict>
          <v:line id="Line 1607" o:spid="_x0000_s1313" style="position:absolute;z-index:251528704;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msFAIAACw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pgSz w:w="16834" w:h="11909" w:orient="landscape"/>
          <w:pgMar w:top="1205" w:right="3042" w:bottom="360" w:left="1183" w:header="720" w:footer="720" w:gutter="0"/>
          <w:cols w:num="2" w:space="720" w:equalWidth="0">
            <w:col w:w="2340" w:space="2"/>
            <w:col w:w="10267"/>
          </w:cols>
          <w:noEndnote/>
        </w:sectPr>
      </w:pPr>
      <w:r>
        <w:rPr>
          <w:rFonts w:ascii="Times New Roman" w:eastAsia="Times New Roman" w:hAnsi="Times New Roman" w:cs="Times New Roman"/>
          <w:noProof/>
          <w:sz w:val="20"/>
          <w:szCs w:val="20"/>
          <w:lang w:eastAsia="hr-HR"/>
        </w:rPr>
        <w:pict>
          <v:line id="Line 1957" o:spid="_x0000_s1312" style="position:absolute;z-index:251782656;visibility:visible;mso-position-horizontal-relative:margin" from="750.7pt,-13.95pt" to="750.7pt,3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" o:allowincell="f" strokeweight=".25pt">
            <w10:wrap anchorx="margin"/>
          </v:line>
        </w:pict>
      </w:r>
      <w:r w:rsidR="00FC3F35" w:rsidRPr="00576C1D">
        <w:rPr>
          <w:rFonts w:ascii="Times New Roman" w:eastAsia="Times New Roman" w:hAnsi="Times New Roman" w:cs="Times New Roman"/>
          <w:sz w:val="20"/>
          <w:szCs w:val="20"/>
          <w:lang w:eastAsia="hr-HR"/>
        </w:rPr>
        <w:br w:type="column"/>
      </w:r>
      <w:r w:rsidR="00FC3F35" w:rsidRPr="00576C1D">
        <w:rPr>
          <w:rFonts w:ascii="Times New Roman" w:eastAsia="Times New Roman" w:hAnsi="Times New Roman" w:cs="Times New Roman"/>
          <w:color w:val="000000"/>
          <w:spacing w:val="-1"/>
          <w:sz w:val="18"/>
          <w:szCs w:val="18"/>
          <w:lang w:eastAsia="hr-HR"/>
        </w:rPr>
        <w:lastRenderedPageBreak/>
        <w:t xml:space="preserve">6iii - Zaštita i obnova bioraznolikosti i tla te promicanje usluga ekosustava, uključujući NATURA 2000 mrežu i „zelenu“ infrastrukturu </w:t>
      </w:r>
    </w:p>
    <w:p w:rsidR="00FC3F35" w:rsidRPr="00576C1D" w:rsidRDefault="00C244E3" w:rsidP="00FC3F35">
      <w:pPr>
        <w:widowControl w:val="0"/>
        <w:shd w:val="clear" w:color="auto" w:fill="FFFFFF"/>
        <w:tabs>
          <w:tab w:val="left" w:leader="underscore" w:pos="14962"/>
        </w:tabs>
        <w:autoSpaceDE w:val="0"/>
        <w:autoSpaceDN w:val="0"/>
        <w:adjustRightInd w:val="0"/>
        <w:spacing w:before="278" w:after="763" w:line="240" w:lineRule="auto"/>
        <w:ind w:left="567"/>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08" o:spid="_x0000_s1311" style="position:absolute;left:0;text-align:left;z-index:251529728;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RB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" o:allowincell="f" strokeweight=".25pt">
            <w10:wrap anchorx="margin"/>
          </v:line>
        </w:pict>
      </w:r>
      <w:r w:rsidR="00FC3F35" w:rsidRPr="00576C1D">
        <w:rPr>
          <w:rFonts w:ascii="Times New Roman" w:eastAsia="Times New Roman" w:hAnsi="Times New Roman" w:cs="Times New Roman"/>
          <w:color w:val="000000"/>
          <w:spacing w:val="-1"/>
          <w:sz w:val="24"/>
          <w:szCs w:val="24"/>
          <w:lang w:eastAsia="hr-HR"/>
        </w:rPr>
        <w:t xml:space="preserve"> praćenje(npr. Direktiva 92/43/EEZ) kad je to god moguće kako bi se odredila prisutnost i proširenost novih i postojećih invazivnih stranih vrsta, i trebao bi pokriti cjelokupan teritorij Hrvatske, uključujući i morske teritorijalne vode.</w:t>
      </w:r>
    </w:p>
    <w:p w:rsidR="00FC3F35" w:rsidRPr="00576C1D" w:rsidRDefault="00FC3F35" w:rsidP="00FC3F35">
      <w:pPr>
        <w:widowControl w:val="0"/>
        <w:shd w:val="clear" w:color="auto" w:fill="FFFFFF"/>
        <w:autoSpaceDE w:val="0"/>
        <w:autoSpaceDN w:val="0"/>
        <w:adjustRightInd w:val="0"/>
        <w:spacing w:before="274" w:after="0" w:line="278" w:lineRule="exact"/>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Dodatna istraživanja kako bi se podržao daljnji razvoj kriterija vezanih za podvodnu buku, i druge oblike unosa energije koji mogu utjecati na komponente morskih ekosustava, i s obzirom na utjecaj uvođenja energije na morski život, povezane buke i frekvencije</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Mapiranje većine komercijalnih aktivnosti koje uključuju visoke razine buke koje utječu na relativno široka područja.</w:t>
      </w:r>
    </w:p>
    <w:p w:rsidR="00FC3F35" w:rsidRPr="00576C1D" w:rsidRDefault="00FC3F35" w:rsidP="00FC3F35">
      <w:pPr>
        <w:widowControl w:val="0"/>
        <w:shd w:val="clear" w:color="auto" w:fill="FFFFFF"/>
        <w:autoSpaceDE w:val="0"/>
        <w:autoSpaceDN w:val="0"/>
        <w:adjustRightInd w:val="0"/>
        <w:spacing w:before="274" w:after="0" w:line="240" w:lineRule="auto"/>
        <w:ind w:left="63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Praćenje rasporeda glasnih zvukova niskih i srednjih frekvencija u prostoru i vremenu, te praćenje neprekidnih zvukova niskih frekvencija</w:t>
      </w:r>
    </w:p>
    <w:p w:rsidR="00FC3F35" w:rsidRPr="00576C1D" w:rsidRDefault="00FC3F35" w:rsidP="00FC3F35">
      <w:pPr>
        <w:widowControl w:val="0"/>
        <w:shd w:val="clear" w:color="auto" w:fill="FFFFFF"/>
        <w:autoSpaceDE w:val="0"/>
        <w:autoSpaceDN w:val="0"/>
        <w:adjustRightInd w:val="0"/>
        <w:spacing w:before="274" w:after="0" w:line="240" w:lineRule="auto"/>
        <w:ind w:left="638"/>
        <w:rPr>
          <w:rFonts w:ascii="Times New Roman" w:eastAsia="Times New Roman" w:hAnsi="Times New Roman" w:cs="Times New Roman"/>
          <w:sz w:val="28"/>
          <w:szCs w:val="20"/>
          <w:lang w:eastAsia="hr-HR"/>
        </w:rPr>
      </w:pPr>
      <w:r w:rsidRPr="00576C1D">
        <w:rPr>
          <w:rFonts w:ascii="Times New Roman" w:eastAsia="Times New Roman" w:hAnsi="Times New Roman" w:cs="Times New Roman"/>
          <w:b/>
          <w:bCs/>
          <w:color w:val="000000"/>
          <w:spacing w:val="-3"/>
          <w:sz w:val="24"/>
          <w:szCs w:val="24"/>
          <w:lang w:eastAsia="hr-HR"/>
        </w:rPr>
        <w:t>SC 6iii3</w:t>
      </w:r>
    </w:p>
    <w:p w:rsidR="00FC3F35" w:rsidRPr="00576C1D" w:rsidRDefault="00FC3F35" w:rsidP="00FC3F35">
      <w:pPr>
        <w:widowControl w:val="0"/>
        <w:shd w:val="clear" w:color="auto" w:fill="FFFFFF"/>
        <w:autoSpaceDE w:val="0"/>
        <w:autoSpaceDN w:val="0"/>
        <w:adjustRightInd w:val="0"/>
        <w:spacing w:before="283"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Zaštita i obnova šuma i šumskog zemljišta u zaštićenim i  područjima mreže Natura 2000 (uključujući razminiranje)</w:t>
      </w:r>
    </w:p>
    <w:p w:rsidR="00FC3F35" w:rsidRPr="00576C1D" w:rsidRDefault="00FC3F35" w:rsidP="00FC3F35">
      <w:pPr>
        <w:widowControl w:val="0"/>
        <w:shd w:val="clear" w:color="auto" w:fill="FFFFFF"/>
        <w:autoSpaceDE w:val="0"/>
        <w:autoSpaceDN w:val="0"/>
        <w:adjustRightInd w:val="0"/>
        <w:spacing w:before="278"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Obnova šuma i šumskih zemljišta (uključujući vlažna staništa i poplavne šume) ponajviše u zaštićenim i područjima mreže Natura 2000, osobito zamjenom šumskih plantaža uvedenih stranih vrsta autohtonim vrstama i obnovom sastojina autohtonih vrsta stabala</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Uklanjanje mina i neeksplodiranih ubojitih sredstva  iz tla u zaštićenim i područjima Natura 2000, ponajviše u šumama, uključujući i aktivnosti podizanja svijesti o minskoj opasnosti.</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Uspostava osnovnih uvjeta, ciljeva upravljanja i sustava nadzora za obnovu i očuvanje akvatičkih ekosustava i vodnih dobara vlažnih staništa i poplavnih šuma ponajviše u zaštićenim i područjima Natura 2000</w:t>
      </w:r>
      <w:r w:rsidRPr="00576C1D">
        <w:rPr>
          <w:rFonts w:ascii="Times New Roman" w:eastAsia="Times New Roman" w:hAnsi="Times New Roman" w:cs="Times New Roman"/>
          <w:color w:val="000000"/>
          <w:sz w:val="24"/>
          <w:szCs w:val="24"/>
          <w:lang w:eastAsia="hr-HR"/>
        </w:rPr>
        <w:t>.</w:t>
      </w:r>
    </w:p>
    <w:p w:rsidR="00FC3F35" w:rsidRPr="00576C1D" w:rsidRDefault="00C244E3" w:rsidP="00FC3F35">
      <w:pPr>
        <w:widowControl w:val="0"/>
        <w:shd w:val="clear" w:color="auto" w:fill="FFFFFF"/>
        <w:autoSpaceDE w:val="0"/>
        <w:autoSpaceDN w:val="0"/>
        <w:adjustRightInd w:val="0"/>
        <w:spacing w:before="274" w:after="1594" w:line="278" w:lineRule="exact"/>
        <w:ind w:left="643"/>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r>
        <w:rPr>
          <w:rFonts w:ascii="Times New Roman" w:eastAsia="Times New Roman" w:hAnsi="Times New Roman" w:cs="Times New Roman"/>
          <w:noProof/>
          <w:color w:val="000000"/>
          <w:spacing w:val="-1"/>
          <w:sz w:val="24"/>
          <w:szCs w:val="24"/>
          <w:lang w:eastAsia="hr-HR"/>
        </w:rPr>
        <w:pict>
          <v:line id="Line 1956" o:spid="_x0000_s1310" style="position:absolute;left:0;text-align:left;z-index:251781632;visibility:visible;mso-position-horizontal-relative:margin" from="26.4pt,47.05pt" to="783.3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rs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" o:allowincell="f" strokeweight=".25pt">
            <w10:wrap anchorx="margin"/>
          </v:line>
        </w:pict>
      </w:r>
      <w:r w:rsidR="00FC3F35" w:rsidRPr="00576C1D">
        <w:rPr>
          <w:rFonts w:ascii="Times New Roman" w:eastAsia="Times New Roman" w:hAnsi="Times New Roman" w:cs="Times New Roman"/>
          <w:color w:val="000000"/>
          <w:spacing w:val="-1"/>
          <w:sz w:val="24"/>
          <w:szCs w:val="24"/>
          <w:lang w:eastAsia="hr-HR"/>
        </w:rPr>
        <w:t>Uspostava i obnova protupožarne infrastrukture malih razmjera (vatrogasni putovi, prosjeke, osmatračnice itd.) čime se smanjuje opasnost od požara ponajviše u zaštićenim i područjima Natura 2000.</w:t>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1"/>
          <w:sz w:val="24"/>
          <w:szCs w:val="24"/>
          <w:lang w:eastAsia="hr-HR"/>
        </w:rPr>
        <w:lastRenderedPageBreak/>
        <w:t>2.A.6.2 Vodeća načela za odabir operacija</w:t>
      </w:r>
    </w:p>
    <w:p w:rsidR="00FC3F35" w:rsidRDefault="00C244E3"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610" o:spid="_x0000_s1309" style="position:absolute;left:0;text-align:left;z-index:251583488;visibility:visible;mso-position-horizontal-relative:margin" from="26.4pt,17.75pt" to="782.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JvFgIAAC0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" o:allowincell="f" strokeweight=".7pt">
            <w10:wrap anchorx="margin"/>
          </v:line>
        </w:pict>
      </w:r>
      <w:r>
        <w:rPr>
          <w:rFonts w:ascii="Times New Roman" w:eastAsia="Times New Roman" w:hAnsi="Times New Roman" w:cs="Times New Roman"/>
          <w:noProof/>
          <w:sz w:val="20"/>
          <w:szCs w:val="20"/>
          <w:lang w:eastAsia="hr-HR"/>
        </w:rPr>
        <w:pict>
          <v:line id="Line 1612" o:spid="_x0000_s1308" style="position:absolute;left:0;text-align:left;z-index:251586560;visibility:visible;mso-position-horizontal-relative:margin" from="143.05pt,16.95pt" to="143.0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" o:allowincell="f" strokeweight=".7pt">
            <w10:wrap anchorx="margin"/>
          </v:line>
        </w:pict>
      </w:r>
      <w:r>
        <w:rPr>
          <w:rFonts w:ascii="Times New Roman" w:eastAsia="Times New Roman" w:hAnsi="Times New Roman" w:cs="Times New Roman"/>
          <w:noProof/>
          <w:sz w:val="20"/>
          <w:szCs w:val="20"/>
          <w:lang w:eastAsia="hr-HR"/>
        </w:rPr>
        <w:pict>
          <v:line id="Line 1958" o:spid="_x0000_s1307" style="position:absolute;left:0;text-align:left;z-index:251702272;visibility:visible;mso-position-horizontal-relative:margin" from="782.85pt,18.85pt" to="782.85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rFAIAAC0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" o:allowincell="f" strokeweight=".25pt">
            <w10:wrap anchorx="margin"/>
          </v:line>
        </w:pict>
      </w:r>
    </w:p>
    <w:p w:rsidR="00087359" w:rsidRPr="00576C1D" w:rsidRDefault="00087359"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sz w:val="20"/>
          <w:szCs w:val="20"/>
          <w:lang w:eastAsia="hr-HR"/>
        </w:rPr>
        <w:sectPr w:rsidR="00087359" w:rsidRPr="00576C1D">
          <w:pgSz w:w="16834" w:h="11909" w:orient="landscape"/>
          <w:pgMar w:top="1171"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11" o:spid="_x0000_s1306" style="position:absolute;z-index:251585536;visibility:visible;mso-position-horizontal-relative:margin" from="-5.75pt,-2.15pt" to="-5.7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X0FAIAAC0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1" w:right="3042" w:bottom="360" w:left="1183" w:header="720" w:footer="720" w:gutter="0"/>
          <w:cols w:num="2" w:space="720" w:equalWidth="0">
            <w:col w:w="1497" w:space="845"/>
            <w:col w:w="10267"/>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6iii - Zaštita i obnova bioraznolikosti i tla te promicanje usluga ekosustava, uključujući NATURA 2000 mrežu i „zelenu“ infrastrukturu</w:t>
      </w:r>
    </w:p>
    <w:p w:rsidR="00FC3F35" w:rsidRPr="00576C1D" w:rsidRDefault="00C244E3" w:rsidP="00FC3F35">
      <w:pPr>
        <w:widowControl w:val="0"/>
        <w:shd w:val="clear" w:color="auto" w:fill="FFFFFF"/>
        <w:autoSpaceDE w:val="0"/>
        <w:autoSpaceDN w:val="0"/>
        <w:adjustRightInd w:val="0"/>
        <w:spacing w:before="187" w:after="0" w:line="278" w:lineRule="exact"/>
        <w:ind w:left="6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13" o:spid="_x0000_s1305" style="position:absolute;left:0;text-align:left;z-index:251530752;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sw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" o:allowincell="f" strokeweight=".7pt">
            <w10:wrap anchorx="margin"/>
          </v:line>
        </w:pict>
      </w:r>
      <w:r w:rsidR="00FC3F35" w:rsidRPr="00576C1D">
        <w:rPr>
          <w:rFonts w:ascii="Times New Roman" w:eastAsia="Times New Roman" w:hAnsi="Times New Roman" w:cs="Times New Roman"/>
          <w:sz w:val="24"/>
          <w:szCs w:val="24"/>
          <w:lang w:eastAsia="hr-HR"/>
        </w:rPr>
        <w:t>Odabir operacija temeljit će se na prikladnoj i objektivnoj procjeni prijedloga projekta nakon transparentnih poziva. Glavni kriterij će biti</w:t>
      </w:r>
      <w:r w:rsidR="00FC3F35" w:rsidRPr="00576C1D">
        <w:rPr>
          <w:rFonts w:ascii="Times New Roman" w:eastAsia="Times New Roman" w:hAnsi="Times New Roman" w:cs="Times New Roman"/>
          <w:color w:val="000000"/>
          <w:spacing w:val="-6"/>
          <w:sz w:val="24"/>
          <w:szCs w:val="24"/>
          <w:lang w:eastAsia="hr-HR"/>
        </w:rPr>
        <w:t>:</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58" w:after="0" w:line="552" w:lineRule="exact"/>
        <w:ind w:left="648" w:right="4608" w:firstLine="389"/>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Doprinos operacije specifičnom cilju određenom za pojedini investicijski prioritet.</w:t>
      </w:r>
      <w:r w:rsidRPr="00576C1D">
        <w:rPr>
          <w:rFonts w:ascii="Times New Roman" w:eastAsia="Times New Roman" w:hAnsi="Times New Roman" w:cs="Times New Roman"/>
          <w:color w:val="000000"/>
          <w:spacing w:val="-1"/>
          <w:sz w:val="24"/>
          <w:szCs w:val="24"/>
          <w:lang w:eastAsia="hr-HR"/>
        </w:rPr>
        <w:br/>
        <w:t>Drugi kriteriji koje se uzima u obzir:</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after="0" w:line="552"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Zrelost, smanjivanje rizika vezano uz odgovarajuću provedbu i značajne rezultate</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67"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Sukladnost s europskim i nacionalnim zakonodavstvom (sektorske ili horizontalne politike itd.)</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115"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Ekonomičnost (najbolja vrijednost za uloženi novac)</w:t>
      </w:r>
    </w:p>
    <w:p w:rsidR="00FC3F35" w:rsidRPr="00576C1D" w:rsidRDefault="00C244E3" w:rsidP="00FC3F35">
      <w:pPr>
        <w:widowControl w:val="0"/>
        <w:shd w:val="clear" w:color="auto" w:fill="FFFFFF"/>
        <w:autoSpaceDE w:val="0"/>
        <w:autoSpaceDN w:val="0"/>
        <w:adjustRightInd w:val="0"/>
        <w:spacing w:before="1008" w:after="182" w:line="240" w:lineRule="auto"/>
        <w:ind w:left="53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614" o:spid="_x0000_s1304" style="position:absolute;left:0;text-align:left;z-index:251532800;visibility:visible" from="26.4pt,39.6pt" to="782.9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M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" o:allowincell="f" strokeweight=".7pt"/>
        </w:pict>
      </w:r>
      <w:r w:rsidR="00FC3F35" w:rsidRPr="00576C1D">
        <w:rPr>
          <w:rFonts w:ascii="Times New Roman" w:eastAsia="Times New Roman" w:hAnsi="Times New Roman" w:cs="Times New Roman"/>
          <w:b/>
          <w:bCs/>
          <w:i/>
          <w:iCs/>
          <w:color w:val="000000"/>
          <w:spacing w:val="-1"/>
          <w:sz w:val="24"/>
          <w:szCs w:val="24"/>
          <w:lang w:eastAsia="hr-HR"/>
        </w:rPr>
        <w:t xml:space="preserve">2.A.6.3 Planirano korištenje financijskih instrumenata </w:t>
      </w:r>
      <w:r w:rsidR="00FC3F35" w:rsidRPr="00576C1D">
        <w:rPr>
          <w:rFonts w:ascii="Times New Roman" w:eastAsia="Times New Roman" w:hAnsi="Times New Roman" w:cs="Times New Roman"/>
          <w:color w:val="000000"/>
          <w:spacing w:val="-1"/>
          <w:sz w:val="24"/>
          <w:szCs w:val="24"/>
          <w:lang w:eastAsia="hr-HR"/>
        </w:rPr>
        <w:t>(po potrebi)</w:t>
      </w:r>
    </w:p>
    <w:tbl>
      <w:tblPr>
        <w:tblStyle w:val="TableGrid"/>
        <w:tblW w:w="0" w:type="auto"/>
        <w:tblInd w:w="534" w:type="dxa"/>
        <w:tblLook w:val="04A0" w:firstRow="1" w:lastRow="0" w:firstColumn="1" w:lastColumn="0" w:noHBand="0" w:noVBand="1"/>
      </w:tblPr>
      <w:tblGrid>
        <w:gridCol w:w="1275"/>
        <w:gridCol w:w="13892"/>
      </w:tblGrid>
      <w:tr w:rsidR="005748BE" w:rsidRPr="005E763C" w:rsidTr="005748BE">
        <w:tc>
          <w:tcPr>
            <w:tcW w:w="1275" w:type="dxa"/>
            <w:vAlign w:val="center"/>
          </w:tcPr>
          <w:p w:rsidR="005748BE" w:rsidRPr="00593567" w:rsidRDefault="005748BE" w:rsidP="00A552D9">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3892" w:type="dxa"/>
            <w:vAlign w:val="center"/>
          </w:tcPr>
          <w:p w:rsidR="005748BE" w:rsidRPr="00576C1D" w:rsidRDefault="005748BE" w:rsidP="00A552D9">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color w:val="000000"/>
                <w:spacing w:val="-1"/>
                <w:sz w:val="18"/>
                <w:szCs w:val="18"/>
              </w:rPr>
              <w:t>6iii - Zaštita i obnova bioraznolikosti i tla te promicanje usluga ekosustava, uključujući NATURA 2000 mrežu i „zelenu“ infrastrukturu</w:t>
            </w:r>
          </w:p>
        </w:tc>
      </w:tr>
      <w:tr w:rsidR="005748BE" w:rsidRPr="004C117D" w:rsidTr="005748BE">
        <w:tc>
          <w:tcPr>
            <w:tcW w:w="15167" w:type="dxa"/>
            <w:gridSpan w:val="2"/>
            <w:vAlign w:val="center"/>
          </w:tcPr>
          <w:p w:rsidR="005748BE" w:rsidRPr="004C117D" w:rsidRDefault="005748BE" w:rsidP="00A552D9">
            <w:pPr>
              <w:widowControl w:val="0"/>
              <w:shd w:val="clear" w:color="auto" w:fill="FFFFFF"/>
              <w:autoSpaceDE w:val="0"/>
              <w:autoSpaceDN w:val="0"/>
              <w:adjustRightInd w:val="0"/>
              <w:rPr>
                <w:rFonts w:ascii="Times New Roman" w:hAnsi="Times New Roman"/>
              </w:rPr>
            </w:pPr>
            <w:r w:rsidRPr="00F074ED">
              <w:rPr>
                <w:rFonts w:ascii="Times New Roman" w:hAnsi="Times New Roman"/>
              </w:rPr>
              <w:t>Nije predviđeno</w:t>
            </w:r>
          </w:p>
        </w:tc>
      </w:tr>
    </w:tbl>
    <w:p w:rsidR="00FC3F35" w:rsidRDefault="00FC3F35"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2.A.6.4 Planirano korištenje velikih projekata </w:t>
      </w:r>
      <w:r w:rsidRPr="00576C1D">
        <w:rPr>
          <w:rFonts w:ascii="Times New Roman" w:eastAsia="Times New Roman" w:hAnsi="Times New Roman" w:cs="Times New Roman"/>
          <w:color w:val="000000"/>
          <w:spacing w:val="-1"/>
          <w:sz w:val="24"/>
          <w:szCs w:val="24"/>
          <w:lang w:eastAsia="hr-HR"/>
        </w:rPr>
        <w:t>(po potrebi)</w:t>
      </w:r>
    </w:p>
    <w:tbl>
      <w:tblPr>
        <w:tblStyle w:val="TableGrid"/>
        <w:tblW w:w="15167" w:type="dxa"/>
        <w:tblInd w:w="534" w:type="dxa"/>
        <w:tblLook w:val="04A0" w:firstRow="1" w:lastRow="0" w:firstColumn="1" w:lastColumn="0" w:noHBand="0" w:noVBand="1"/>
      </w:tblPr>
      <w:tblGrid>
        <w:gridCol w:w="1134"/>
        <w:gridCol w:w="14033"/>
      </w:tblGrid>
      <w:tr w:rsidR="005748BE" w:rsidRPr="005E763C" w:rsidTr="005748BE">
        <w:tc>
          <w:tcPr>
            <w:tcW w:w="1134" w:type="dxa"/>
            <w:vAlign w:val="center"/>
          </w:tcPr>
          <w:p w:rsidR="005748BE" w:rsidRPr="00593567" w:rsidRDefault="005748BE" w:rsidP="00A552D9">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4033" w:type="dxa"/>
            <w:vAlign w:val="center"/>
          </w:tcPr>
          <w:p w:rsidR="005748BE" w:rsidRPr="00576C1D" w:rsidRDefault="005748BE" w:rsidP="00A552D9">
            <w:pPr>
              <w:widowControl w:val="0"/>
              <w:shd w:val="clear" w:color="auto" w:fill="FFFFFF"/>
              <w:autoSpaceDE w:val="0"/>
              <w:autoSpaceDN w:val="0"/>
              <w:adjustRightInd w:val="0"/>
              <w:rPr>
                <w:rFonts w:ascii="Times New Roman" w:hAnsi="Times New Roman"/>
                <w:color w:val="000000"/>
                <w:spacing w:val="-1"/>
                <w:sz w:val="18"/>
                <w:szCs w:val="18"/>
              </w:rPr>
            </w:pPr>
            <w:r w:rsidRPr="00576C1D">
              <w:rPr>
                <w:rFonts w:ascii="Times New Roman" w:hAnsi="Times New Roman"/>
                <w:color w:val="000000"/>
                <w:spacing w:val="-1"/>
                <w:sz w:val="18"/>
                <w:szCs w:val="18"/>
              </w:rPr>
              <w:t>6iii - Zaštita i obnova bioraznolikosti i tla te promicanje usluga ekosustava, uključujući NATURA 2000 mrežu i „zelenu“ infrastrukturu</w:t>
            </w:r>
          </w:p>
        </w:tc>
      </w:tr>
      <w:tr w:rsidR="005748BE" w:rsidRPr="004C117D" w:rsidTr="005748BE">
        <w:tc>
          <w:tcPr>
            <w:tcW w:w="15167" w:type="dxa"/>
            <w:gridSpan w:val="2"/>
            <w:vAlign w:val="center"/>
          </w:tcPr>
          <w:p w:rsidR="005748BE" w:rsidRPr="004C117D" w:rsidRDefault="005748BE" w:rsidP="00A552D9">
            <w:pPr>
              <w:widowControl w:val="0"/>
              <w:shd w:val="clear" w:color="auto" w:fill="FFFFFF"/>
              <w:autoSpaceDE w:val="0"/>
              <w:autoSpaceDN w:val="0"/>
              <w:adjustRightInd w:val="0"/>
              <w:rPr>
                <w:rFonts w:ascii="Times New Roman" w:hAnsi="Times New Roman"/>
              </w:rPr>
            </w:pPr>
            <w:r w:rsidRPr="00F074ED">
              <w:rPr>
                <w:rFonts w:ascii="Times New Roman" w:hAnsi="Times New Roman"/>
              </w:rPr>
              <w:t>Nije predviđeno</w:t>
            </w:r>
          </w:p>
        </w:tc>
      </w:tr>
    </w:tbl>
    <w:p w:rsidR="005748BE" w:rsidRDefault="005748BE"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92" w:after="979" w:line="240" w:lineRule="auto"/>
        <w:ind w:left="634"/>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23" o:spid="_x0000_s1303" style="position:absolute;z-index:25158860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FFQIAAC0EAAAOAAAAZHJzL2Uyb0RvYy54bWysU8GO2jAQvVfqP1i+QxLIp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Bc9/MF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624" o:spid="_x0000_s1302" style="position:absolute;z-index:251590656;visibility:visible;mso-position-horizontal-relative:margin" from="-5.75pt,-2.65pt" to="-5.7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hpEw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" o:allowincell="f" strokeweight=".25pt">
            <w10:wrap anchorx="margin"/>
          </v:line>
        </w:pict>
      </w:r>
      <w:r>
        <w:rPr>
          <w:rFonts w:ascii="Times New Roman" w:eastAsia="Times New Roman" w:hAnsi="Times New Roman" w:cs="Times New Roman"/>
          <w:noProof/>
          <w:sz w:val="20"/>
          <w:szCs w:val="20"/>
          <w:lang w:eastAsia="hr-HR"/>
        </w:rPr>
        <w:pict>
          <v:line id="Line 1625" o:spid="_x0000_s1301" style="position:absolute;z-index:251593728;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gBFAIAACw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pgSz w:w="16834" w:h="11909" w:orient="landscape"/>
          <w:pgMar w:top="1205" w:right="3042" w:bottom="360" w:left="1183" w:header="720" w:footer="720" w:gutter="0"/>
          <w:cols w:num="2" w:space="720" w:equalWidth="0">
            <w:col w:w="1794" w:space="548"/>
            <w:col w:w="10267"/>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6iii - Zaštita i obnova bioraznolikosti i tla te promicanje usluga ekosustava, uključujući NATURA 2000 mrežu i „zelenu“ infrastrukturu</w:t>
      </w:r>
    </w:p>
    <w:p w:rsidR="00FC3F35" w:rsidRPr="00576C1D" w:rsidRDefault="00C244E3" w:rsidP="00FC3F35">
      <w:pPr>
        <w:widowControl w:val="0"/>
        <w:shd w:val="clear" w:color="auto" w:fill="FFFFFF"/>
        <w:autoSpaceDE w:val="0"/>
        <w:autoSpaceDN w:val="0"/>
        <w:adjustRightInd w:val="0"/>
        <w:spacing w:before="883" w:after="0" w:line="240" w:lineRule="auto"/>
        <w:ind w:left="53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_x0000_s1300" style="position:absolute;left:0;text-align:left;z-index:251722752;visibility:visible;mso-position-horizontal-relative:margin" from="783pt,-15.1pt" to="78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dEgIAACs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" o:allowincell="f" strokeweight=".25pt">
            <w10:wrap anchorx="margin"/>
          </v:line>
        </w:pict>
      </w:r>
      <w:r>
        <w:rPr>
          <w:rFonts w:ascii="Times New Roman" w:eastAsia="Times New Roman" w:hAnsi="Times New Roman" w:cs="Times New Roman"/>
          <w:noProof/>
          <w:sz w:val="20"/>
          <w:szCs w:val="20"/>
          <w:lang w:eastAsia="hr-HR"/>
        </w:rPr>
        <w:pict>
          <v:line id="Line 1626" o:spid="_x0000_s1299" style="position:absolute;left:0;text-align:left;z-index:251534848;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uI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" o:allowincell="f" strokeweight=".25pt">
            <w10:wrap anchorx="margin"/>
          </v:line>
        </w:pict>
      </w:r>
      <w:r>
        <w:rPr>
          <w:rFonts w:ascii="Times New Roman" w:eastAsia="Times New Roman" w:hAnsi="Times New Roman" w:cs="Times New Roman"/>
          <w:noProof/>
          <w:sz w:val="20"/>
          <w:szCs w:val="20"/>
          <w:lang w:eastAsia="hr-HR"/>
        </w:rPr>
        <w:pict>
          <v:line id="Line 1627" o:spid="_x0000_s1298" style="position:absolute;left:0;text-align:left;z-index:251535872;visibility:visible;mso-position-horizontal-relative:margin" from="25.9pt,17.5pt" to="78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9m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" o:allowincell="f" strokeweight=".25pt">
            <w10:wrap anchorx="margin"/>
          </v:line>
        </w:pict>
      </w:r>
      <w:r w:rsidR="00FC3F35" w:rsidRPr="00576C1D">
        <w:rPr>
          <w:rFonts w:ascii="Times New Roman" w:eastAsia="Times New Roman" w:hAnsi="Times New Roman" w:cs="Times New Roman"/>
          <w:b/>
          <w:bCs/>
          <w:i/>
          <w:iCs/>
          <w:color w:val="000000"/>
          <w:sz w:val="24"/>
          <w:szCs w:val="24"/>
          <w:lang w:eastAsia="hr-HR"/>
        </w:rPr>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Table 5: Zajednički i pokazatelji neposrednih rezultata specifični za program </w:t>
      </w:r>
      <w:r w:rsidRPr="00576C1D">
        <w:rPr>
          <w:rFonts w:ascii="Times New Roman" w:eastAsia="Times New Roman" w:hAnsi="Times New Roman" w:cs="Times New Roman"/>
          <w:color w:val="000000"/>
          <w:spacing w:val="-1"/>
          <w:sz w:val="24"/>
          <w:szCs w:val="24"/>
          <w:lang w:eastAsia="hr-HR"/>
        </w:rPr>
        <w:t>(po investicijskom prioritetu, podijeljeno po kategoriji regije za ESF, i gdje je prikladno,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02"/>
        <w:gridCol w:w="1373"/>
        <w:gridCol w:w="1555"/>
        <w:gridCol w:w="1565"/>
        <w:gridCol w:w="2554"/>
        <w:gridCol w:w="1555"/>
        <w:gridCol w:w="1555"/>
        <w:gridCol w:w="1565"/>
        <w:gridCol w:w="1277"/>
        <w:gridCol w:w="1692"/>
      </w:tblGrid>
      <w:tr w:rsidR="00FC3F35" w:rsidRPr="00576C1D" w:rsidTr="00087359">
        <w:trPr>
          <w:trHeight w:hRule="exact" w:val="442"/>
        </w:trPr>
        <w:tc>
          <w:tcPr>
            <w:tcW w:w="227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3318"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6iii - </w:t>
            </w:r>
            <w:r w:rsidRPr="00576C1D">
              <w:rPr>
                <w:rFonts w:ascii="Times New Roman" w:eastAsia="Times New Roman" w:hAnsi="Times New Roman" w:cs="Times New Roman"/>
                <w:color w:val="000000"/>
                <w:spacing w:val="-1"/>
                <w:sz w:val="18"/>
                <w:szCs w:val="18"/>
                <w:lang w:eastAsia="hr-HR"/>
              </w:rPr>
              <w:t>Zaštita i obnova bioraznolikosti i tla te promicanje usluga ekosustava, uključujući NATURA 2000 mrežu i „zelenu“ infrastrukturu</w:t>
            </w:r>
          </w:p>
        </w:tc>
      </w:tr>
      <w:tr w:rsidR="00FC3F35" w:rsidRPr="00576C1D" w:rsidTr="00087359">
        <w:trPr>
          <w:trHeight w:hRule="exact" w:val="442"/>
        </w:trPr>
        <w:tc>
          <w:tcPr>
            <w:tcW w:w="90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2"/>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prikladno )</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69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087359">
        <w:trPr>
          <w:trHeight w:hRule="exact" w:val="432"/>
        </w:trPr>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69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087359">
        <w:trPr>
          <w:trHeight w:hRule="exact" w:val="1718"/>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CO23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6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Priroda i bioraznolikost: Površina staništa koje se podržava u svrhu boljeg očuvanja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Hektar</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366,00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91"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Hrvatske šume/CROMA</w:t>
            </w:r>
            <w:r w:rsidRPr="00576C1D">
              <w:rPr>
                <w:rFonts w:ascii="Times New Roman" w:eastAsia="Times New Roman" w:hAnsi="Times New Roman" w:cs="Times New Roman"/>
                <w:color w:val="000000"/>
                <w:sz w:val="16"/>
                <w:szCs w:val="16"/>
                <w:lang w:eastAsia="hr-HR"/>
              </w:rPr>
              <w:t>C</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087359">
        <w:trPr>
          <w:trHeight w:hRule="exact" w:val="2275"/>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6ccl2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7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Postotak mreže Natura 2000 s uspostavljenim mehanizmom upravljanja koji prikladno pristupa očuvanju ciljnih vrsta i stanišnih tipova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Godišnja izvješća o radu Državnog zavoda za zaštitu prirode</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087359">
        <w:trPr>
          <w:trHeight w:hRule="exact" w:val="1162"/>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6cc22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3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Postotak površine mapiranih morskih staništa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Državni zavod za zaštitu prirode</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682"/>
      </w:tblGrid>
      <w:tr w:rsidR="00FC3F35" w:rsidRPr="00576C1D" w:rsidTr="00087359">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lastRenderedPageBreak/>
              <w:t>Investicijski prioritet</w:t>
            </w:r>
          </w:p>
        </w:tc>
        <w:tc>
          <w:tcPr>
            <w:tcW w:w="10349" w:type="dxa"/>
            <w:gridSpan w:val="6"/>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 xml:space="preserve">6iii - </w:t>
            </w:r>
            <w:r w:rsidRPr="00576C1D">
              <w:rPr>
                <w:rFonts w:ascii="Times New Roman" w:eastAsia="Times New Roman" w:hAnsi="Times New Roman" w:cs="Times New Roman"/>
                <w:color w:val="000000"/>
                <w:spacing w:val="-1"/>
                <w:sz w:val="18"/>
                <w:szCs w:val="18"/>
                <w:lang w:eastAsia="hr-HR"/>
              </w:rPr>
              <w:t>Zaštita i obnova biološke raznolikosti i tla te promicanje eko usluga, uključujući NATURA 2000 mrežu i „zelenu“ infrastrukturu</w:t>
            </w:r>
          </w:p>
        </w:tc>
        <w:tc>
          <w:tcPr>
            <w:tcW w:w="127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087359">
        <w:trPr>
          <w:trHeight w:hRule="exact" w:val="432"/>
        </w:trPr>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Identifikacijska 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8"/>
                <w:szCs w:val="18"/>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Izvor podataka</w:t>
            </w:r>
          </w:p>
        </w:tc>
        <w:tc>
          <w:tcPr>
            <w:tcW w:w="168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Učestalost izvješćivanja</w:t>
            </w:r>
          </w:p>
        </w:tc>
      </w:tr>
      <w:tr w:rsidR="00FC3F35" w:rsidRPr="00576C1D" w:rsidTr="00087359">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68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087359">
        <w:trPr>
          <w:trHeight w:hRule="exact" w:val="518"/>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82" w:hanging="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8"/>
                <w:szCs w:val="18"/>
                <w:lang w:eastAsia="hr-HR"/>
              </w:rPr>
              <w:t>Godišnja izvješća o radu</w:t>
            </w:r>
          </w:p>
        </w:tc>
        <w:tc>
          <w:tcPr>
            <w:tcW w:w="168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C244E3" w:rsidP="00FC3F35">
      <w:pPr>
        <w:widowControl w:val="0"/>
        <w:shd w:val="clear" w:color="auto" w:fill="FFFFFF"/>
        <w:autoSpaceDE w:val="0"/>
        <w:autoSpaceDN w:val="0"/>
        <w:adjustRightInd w:val="0"/>
        <w:spacing w:before="418" w:after="163" w:line="240" w:lineRule="auto"/>
        <w:ind w:left="5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297" style="position:absolute;left:0;text-align:left;z-index:251725824;visibility:visible;mso-position-horizontal-relative:margin;mso-position-vertical-relative:text" from="783pt,39.35pt" to="783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n6EgIAACs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" o:allowincell="f" strokeweight=".25pt">
            <w10:wrap anchorx="margin"/>
          </v:line>
        </w:pict>
      </w:r>
      <w:r w:rsidR="00FC3F35" w:rsidRPr="00576C1D">
        <w:rPr>
          <w:rFonts w:ascii="Times New Roman" w:eastAsia="Times New Roman" w:hAnsi="Times New Roman" w:cs="Times New Roman"/>
          <w:b/>
          <w:bCs/>
          <w:color w:val="000000"/>
          <w:spacing w:val="-1"/>
          <w:sz w:val="24"/>
          <w:szCs w:val="24"/>
          <w:lang w:eastAsia="hr-HR"/>
        </w:rPr>
        <w:t>2.A.7 Socijalna inovacija, međudržavna suradnja i doprinos tematskim ciljevima 1-7</w:t>
      </w:r>
    </w:p>
    <w:p w:rsidR="00FC3F35" w:rsidRPr="00576C1D" w:rsidRDefault="00FC3F35" w:rsidP="00FC3F35">
      <w:pPr>
        <w:widowControl w:val="0"/>
        <w:shd w:val="clear" w:color="auto" w:fill="FFFFFF"/>
        <w:autoSpaceDE w:val="0"/>
        <w:autoSpaceDN w:val="0"/>
        <w:adjustRightInd w:val="0"/>
        <w:spacing w:before="418" w:after="163" w:line="240" w:lineRule="auto"/>
        <w:ind w:left="538"/>
        <w:rPr>
          <w:rFonts w:ascii="Times New Roman" w:eastAsia="Times New Roman" w:hAnsi="Times New Roman" w:cs="Times New Roman"/>
          <w:sz w:val="20"/>
          <w:szCs w:val="20"/>
          <w:lang w:eastAsia="hr-HR"/>
        </w:rPr>
        <w:sectPr w:rsidR="00FC3F35" w:rsidRPr="00576C1D">
          <w:pgSz w:w="16834" w:h="11909" w:orient="landscape"/>
          <w:pgMar w:top="1169"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28" o:spid="_x0000_s1296" style="position:absolute;z-index:251597824;visibility:visible;mso-position-horizontal-relative:margin" from="-6.25pt,-2.65pt" to="750.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H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629" o:spid="_x0000_s1295" style="position:absolute;z-index:251604992;visibility:visible;mso-position-horizontal-relative:margin" from="-5.75pt,-1.7pt" to="-5.7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8mEwIAACw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" o:allowincell="f" strokeweight=".25pt">
            <w10:wrap anchorx="margin"/>
          </v:line>
        </w:pict>
      </w:r>
      <w:r>
        <w:rPr>
          <w:rFonts w:ascii="Times New Roman" w:eastAsia="Times New Roman" w:hAnsi="Times New Roman" w:cs="Times New Roman"/>
          <w:noProof/>
          <w:sz w:val="20"/>
          <w:szCs w:val="20"/>
          <w:lang w:eastAsia="hr-HR"/>
        </w:rPr>
        <w:pict>
          <v:line id="Line 1630" o:spid="_x0000_s1294" style="position:absolute;z-index:251608064;visibility:visible;mso-position-horizontal-relative:margin" from="110.9pt,-1.7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" o:allowincell="f" strokeweight=".7pt">
            <w10:wrap anchorx="margin"/>
          </v:line>
        </w:pict>
      </w:r>
      <w:r w:rsidR="00FC3F35" w:rsidRPr="00576C1D">
        <w:rPr>
          <w:rFonts w:ascii="Times New Roman" w:eastAsia="Times New Roman" w:hAnsi="Times New Roman" w:cs="Times New Roman"/>
          <w:color w:val="000000"/>
          <w:spacing w:val="-4"/>
          <w:sz w:val="18"/>
          <w:szCs w:val="18"/>
          <w:lang w:eastAsia="hr-HR"/>
        </w:rPr>
        <w:t>Prioritetna os</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4"/>
          <w:sz w:val="18"/>
          <w:szCs w:val="18"/>
          <w:lang w:eastAsia="hr-HR"/>
        </w:rPr>
        <w:lastRenderedPageBreak/>
        <w:t>6 - Zaštita okoliša i održivost resursa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69" w:right="9061" w:bottom="360" w:left="1183" w:header="720" w:footer="720" w:gutter="0"/>
          <w:cols w:num="2" w:space="720" w:equalWidth="0">
            <w:col w:w="1511" w:space="831"/>
            <w:col w:w="4248"/>
          </w:cols>
          <w:noEndnote/>
        </w:sectPr>
      </w:pPr>
    </w:p>
    <w:p w:rsidR="00FC3F35" w:rsidRPr="00576C1D" w:rsidRDefault="00C244E3" w:rsidP="00FC3F35">
      <w:pPr>
        <w:widowControl w:val="0"/>
        <w:shd w:val="clear" w:color="auto" w:fill="FFFFFF"/>
        <w:autoSpaceDE w:val="0"/>
        <w:autoSpaceDN w:val="0"/>
        <w:adjustRightInd w:val="0"/>
        <w:spacing w:before="1104" w:after="0" w:line="240" w:lineRule="auto"/>
        <w:ind w:left="5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31" o:spid="_x0000_s1293" style="position:absolute;left:0;text-align:left;z-index:251538944;visibility:visible;mso-position-horizontal-relative:margin" from="26.4pt,2.15pt" to="782.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h5GAIAAC0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" o:allowincell="f" strokeweight=".7pt">
            <w10:wrap anchorx="margin"/>
          </v:line>
        </w:pict>
      </w:r>
      <w:r>
        <w:rPr>
          <w:rFonts w:ascii="Times New Roman" w:eastAsia="Times New Roman" w:hAnsi="Times New Roman" w:cs="Times New Roman"/>
          <w:noProof/>
          <w:sz w:val="20"/>
          <w:szCs w:val="20"/>
          <w:lang w:eastAsia="hr-HR"/>
        </w:rPr>
        <w:pict>
          <v:line id="Line 1632" o:spid="_x0000_s1292" style="position:absolute;left:0;text-align:left;z-index:251540992;visibility:visible;mso-position-horizontal-relative:margin" from="26.4pt,28.55pt" to="782.9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w8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" o:allowincell="f" strokeweight=".7pt">
            <w10:wrap anchorx="margin"/>
          </v:line>
        </w:pict>
      </w:r>
      <w:r w:rsidR="00FC3F35" w:rsidRPr="00576C1D">
        <w:rPr>
          <w:rFonts w:ascii="Times New Roman" w:eastAsia="Times New Roman" w:hAnsi="Times New Roman" w:cs="Times New Roman"/>
          <w:b/>
          <w:bCs/>
          <w:color w:val="000000"/>
          <w:spacing w:val="-2"/>
          <w:sz w:val="24"/>
          <w:szCs w:val="24"/>
          <w:lang w:eastAsia="hr-HR"/>
        </w:rPr>
        <w:t>2.A.8 Okvir uspješnosti</w:t>
      </w:r>
    </w:p>
    <w:p w:rsidR="00FC3F35" w:rsidRPr="00576C1D" w:rsidRDefault="00FC3F35" w:rsidP="00FC3F35">
      <w:pPr>
        <w:widowControl w:val="0"/>
        <w:autoSpaceDE w:val="0"/>
        <w:autoSpaceDN w:val="0"/>
        <w:adjustRightInd w:val="0"/>
        <w:spacing w:after="562"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662"/>
        <w:gridCol w:w="710"/>
        <w:gridCol w:w="854"/>
        <w:gridCol w:w="1680"/>
        <w:gridCol w:w="1200"/>
        <w:gridCol w:w="960"/>
        <w:gridCol w:w="1008"/>
        <w:gridCol w:w="1018"/>
        <w:gridCol w:w="1018"/>
        <w:gridCol w:w="1018"/>
        <w:gridCol w:w="1008"/>
        <w:gridCol w:w="1018"/>
        <w:gridCol w:w="902"/>
        <w:gridCol w:w="1181"/>
      </w:tblGrid>
      <w:tr w:rsidR="00FC3F35" w:rsidRPr="00576C1D" w:rsidTr="00FC3F35">
        <w:trPr>
          <w:trHeight w:hRule="exact" w:val="355"/>
        </w:trPr>
        <w:tc>
          <w:tcPr>
            <w:tcW w:w="12129" w:type="dxa"/>
            <w:gridSpan w:val="1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2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6"/>
                <w:sz w:val="24"/>
                <w:szCs w:val="24"/>
                <w:lang w:eastAsia="hr-HR"/>
              </w:rPr>
              <w:t xml:space="preserve">Tablica 6: </w:t>
            </w:r>
            <w:r w:rsidRPr="00576C1D">
              <w:rPr>
                <w:rFonts w:ascii="Times New Roman" w:eastAsia="Times New Roman" w:hAnsi="Times New Roman" w:cs="Times New Roman"/>
                <w:b/>
                <w:bCs/>
                <w:color w:val="000000"/>
                <w:spacing w:val="-3"/>
                <w:sz w:val="24"/>
                <w:szCs w:val="24"/>
                <w:lang w:eastAsia="hr-HR"/>
              </w:rPr>
              <w:t xml:space="preserve">Okvir uspješnosti prioritetne osi </w:t>
            </w:r>
            <w:r w:rsidRPr="00576C1D">
              <w:rPr>
                <w:rFonts w:ascii="Times New Roman" w:eastAsia="Times New Roman" w:hAnsi="Times New Roman" w:cs="Times New Roman"/>
                <w:bCs/>
                <w:color w:val="000000"/>
                <w:spacing w:val="-3"/>
                <w:sz w:val="24"/>
                <w:szCs w:val="24"/>
                <w:lang w:eastAsia="hr-HR"/>
              </w:rPr>
              <w:t>(po fondu i, za EFRR i ESF, po kategoriji regije)</w:t>
            </w:r>
          </w:p>
        </w:tc>
        <w:tc>
          <w:tcPr>
            <w:tcW w:w="101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0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65"/>
        </w:trPr>
        <w:tc>
          <w:tcPr>
            <w:tcW w:w="236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Prioritetna os</w:t>
            </w:r>
          </w:p>
        </w:tc>
        <w:tc>
          <w:tcPr>
            <w:tcW w:w="12865" w:type="dxa"/>
            <w:gridSpan w:val="1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6 </w:t>
            </w:r>
            <w:r w:rsidRPr="00576C1D">
              <w:rPr>
                <w:rFonts w:ascii="Times New Roman" w:eastAsia="Times New Roman" w:hAnsi="Times New Roman" w:cs="Times New Roman"/>
                <w:color w:val="000000"/>
                <w:spacing w:val="-1"/>
                <w:sz w:val="10"/>
                <w:szCs w:val="10"/>
                <w:lang w:eastAsia="hr-HR"/>
              </w:rPr>
              <w:t xml:space="preserve">- </w:t>
            </w:r>
            <w:r w:rsidRPr="00576C1D">
              <w:rPr>
                <w:rFonts w:ascii="Times New Roman" w:eastAsia="Times New Roman" w:hAnsi="Times New Roman" w:cs="Times New Roman"/>
                <w:b/>
                <w:bCs/>
                <w:color w:val="000000"/>
                <w:spacing w:val="-1"/>
                <w:sz w:val="10"/>
                <w:szCs w:val="10"/>
                <w:lang w:eastAsia="hr-HR"/>
              </w:rPr>
              <w:t>Zaštita okoliša i održivost resursa</w:t>
            </w:r>
          </w:p>
        </w:tc>
      </w:tr>
      <w:tr w:rsidR="00FC3F35" w:rsidRPr="00576C1D" w:rsidTr="00FC3F35">
        <w:trPr>
          <w:trHeight w:hRule="exact" w:val="365"/>
        </w:trPr>
        <w:tc>
          <w:tcPr>
            <w:tcW w:w="99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48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vMerge w:val="restart"/>
            <w:tcBorders>
              <w:top w:val="single" w:sz="6" w:space="0" w:color="auto"/>
              <w:left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relevantnosti pokazatelja, po potrebi</w:t>
            </w:r>
          </w:p>
        </w:tc>
      </w:tr>
      <w:tr w:rsidR="00FC3F35" w:rsidRPr="00576C1D" w:rsidTr="00FC3F35">
        <w:trPr>
          <w:trHeight w:hRule="exact" w:val="365"/>
        </w:trPr>
        <w:tc>
          <w:tcPr>
            <w:tcW w:w="99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tc>
        <w:tc>
          <w:tcPr>
            <w:tcW w:w="1181" w:type="dxa"/>
            <w:vMerge/>
            <w:tcBorders>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739"/>
        </w:trPr>
        <w:tc>
          <w:tcPr>
            <w:tcW w:w="99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CO09</w:t>
            </w:r>
          </w:p>
        </w:tc>
        <w:tc>
          <w:tcPr>
            <w:tcW w:w="66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Održivi turizam: Porast očekivanog broja posjeta podržanim mjestima i atrakcijama kulturne i prirodne baštine</w:t>
            </w:r>
          </w:p>
        </w:tc>
        <w:tc>
          <w:tcPr>
            <w:tcW w:w="1680"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Posjet/godina</w:t>
            </w:r>
          </w:p>
        </w:tc>
        <w:tc>
          <w:tcPr>
            <w:tcW w:w="1200"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2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31,000</w:t>
            </w:r>
          </w:p>
        </w:tc>
        <w:tc>
          <w:tcPr>
            <w:tcW w:w="101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310.000,00</w:t>
            </w:r>
          </w:p>
        </w:tc>
        <w:tc>
          <w:tcPr>
            <w:tcW w:w="90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6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Pokazatelji kulturne/prirodne baštine (PU 6.3) pokrivaju 75 % sredstava EFRR-a u sklopu PO6</w:t>
            </w:r>
            <w:r w:rsidRPr="00576C1D">
              <w:rPr>
                <w:rFonts w:ascii="Times New Roman" w:eastAsia="Times New Roman" w:hAnsi="Times New Roman" w:cs="Times New Roman"/>
                <w:color w:val="000000"/>
                <w:spacing w:val="-1"/>
                <w:sz w:val="10"/>
                <w:szCs w:val="10"/>
                <w:lang w:eastAsia="hr-HR"/>
              </w:rPr>
              <w:t>.</w:t>
            </w:r>
          </w:p>
        </w:tc>
      </w:tr>
      <w:tr w:rsidR="00FC3F35" w:rsidRPr="00576C1D" w:rsidTr="00FC3F35">
        <w:trPr>
          <w:trHeight w:hRule="exact" w:val="1488"/>
        </w:trPr>
        <w:tc>
          <w:tcPr>
            <w:tcW w:w="99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Budući da se očekuje skroman napredak u pogledu pokazatelja neposrednih rezultata do 2018. godine zbog vremena potrebnog za provedbu projekata i privlačenje posjetitelja, dodan je ključni provedbeni korak vezan za odobreni projekt</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69"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662"/>
        <w:gridCol w:w="710"/>
        <w:gridCol w:w="854"/>
        <w:gridCol w:w="1680"/>
        <w:gridCol w:w="1200"/>
        <w:gridCol w:w="960"/>
        <w:gridCol w:w="1008"/>
        <w:gridCol w:w="1018"/>
        <w:gridCol w:w="1018"/>
        <w:gridCol w:w="1018"/>
        <w:gridCol w:w="1008"/>
        <w:gridCol w:w="1018"/>
        <w:gridCol w:w="902"/>
        <w:gridCol w:w="1181"/>
      </w:tblGrid>
      <w:tr w:rsidR="00FC3F35" w:rsidRPr="00576C1D" w:rsidTr="00FC3F35">
        <w:trPr>
          <w:trHeight w:hRule="exact" w:val="374"/>
        </w:trPr>
        <w:tc>
          <w:tcPr>
            <w:tcW w:w="228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lastRenderedPageBreak/>
              <w:t>Prioritetna os</w:t>
            </w:r>
          </w:p>
        </w:tc>
        <w:tc>
          <w:tcPr>
            <w:tcW w:w="12865" w:type="dxa"/>
            <w:gridSpan w:val="1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6 </w:t>
            </w:r>
            <w:r w:rsidRPr="00576C1D">
              <w:rPr>
                <w:rFonts w:ascii="Times New Roman" w:eastAsia="Times New Roman" w:hAnsi="Times New Roman" w:cs="Times New Roman"/>
                <w:color w:val="000000"/>
                <w:spacing w:val="-1"/>
                <w:sz w:val="10"/>
                <w:szCs w:val="10"/>
                <w:lang w:eastAsia="hr-HR"/>
              </w:rPr>
              <w:t xml:space="preserve">- </w:t>
            </w:r>
            <w:r w:rsidRPr="00576C1D">
              <w:rPr>
                <w:rFonts w:ascii="Times New Roman" w:eastAsia="Times New Roman" w:hAnsi="Times New Roman" w:cs="Times New Roman"/>
                <w:b/>
                <w:bCs/>
                <w:color w:val="000000"/>
                <w:spacing w:val="-1"/>
                <w:sz w:val="10"/>
                <w:szCs w:val="10"/>
                <w:lang w:eastAsia="hr-HR"/>
              </w:rPr>
              <w:t>Zaštita okoliša i održivost sredstava</w:t>
            </w:r>
          </w:p>
        </w:tc>
      </w:tr>
      <w:tr w:rsidR="00FC3F35" w:rsidRPr="00576C1D" w:rsidTr="00FC3F35">
        <w:trPr>
          <w:trHeight w:hRule="exact" w:val="492"/>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z w:val="10"/>
                <w:szCs w:val="16"/>
                <w:lang w:eastAsia="hr-HR"/>
              </w:rPr>
              <w:t>Identifikacijska oznaka</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relevantnosti pokazatelja, po potrebi</w:t>
            </w:r>
          </w:p>
        </w:tc>
      </w:tr>
      <w:tr w:rsidR="00FC3F35" w:rsidRPr="00576C1D" w:rsidTr="00FC3F35">
        <w:trPr>
          <w:trHeight w:hRule="exact" w:val="240"/>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82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F</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Ukupni iznos potvrđenih/prihvatljivih izdataka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 xml:space="preserve"> milijun EUR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77,744.690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338,020.392,00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Ministarstvo financija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7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U kontrolnoj je točki prisutno pravilo N+3 za PO bez 6 % PR (tj. alokacija sredstava za 2014. i 2015., neto 6 %).</w:t>
            </w:r>
          </w:p>
        </w:tc>
      </w:tr>
      <w:tr w:rsidR="00FC3F35" w:rsidRPr="00576C1D" w:rsidTr="00FC3F35">
        <w:trPr>
          <w:trHeight w:hRule="exact" w:val="2448"/>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6.3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226"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Odobreni projekti kulturne i prirodne baštine</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20.00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Pokazatelji kulturne/prirodne baštine (PU 6.3) pokrivaju 75 % sredstava EFRR-a u sklopu PO6</w:t>
            </w:r>
            <w:r w:rsidRPr="00576C1D">
              <w:rPr>
                <w:rFonts w:ascii="Times New Roman" w:eastAsia="Times New Roman" w:hAnsi="Times New Roman" w:cs="Times New Roman"/>
                <w:color w:val="000000"/>
                <w:spacing w:val="-1"/>
                <w:sz w:val="10"/>
                <w:szCs w:val="10"/>
                <w:lang w:eastAsia="hr-HR"/>
              </w:rPr>
              <w:t>.</w:t>
            </w:r>
          </w:p>
          <w:p w:rsidR="00FC3F35" w:rsidRPr="00576C1D" w:rsidRDefault="00FC3F35" w:rsidP="00FC3F35">
            <w:pPr>
              <w:widowControl w:val="0"/>
              <w:shd w:val="clear" w:color="auto" w:fill="FFFFFF"/>
              <w:autoSpaceDE w:val="0"/>
              <w:autoSpaceDN w:val="0"/>
              <w:adjustRightInd w:val="0"/>
              <w:spacing w:after="0" w:line="115"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Budući da se očekuje skroman napredak u pogledu pokazatelja neposrednih rezultata do 2018. godine zbog vremena potrebnog za provedbu projekata i privlačenje posjetitelja, dodan je ključni provedbeni korak vezan za odobreni projekt</w:t>
            </w:r>
          </w:p>
        </w:tc>
      </w:tr>
      <w:tr w:rsidR="00FC3F35" w:rsidRPr="00576C1D" w:rsidTr="00FC3F35">
        <w:trPr>
          <w:trHeight w:hRule="exact" w:val="595"/>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CO19</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Obrada otpadnih voda: Dodatno stanovništvo obuhvaćeno uslugom poboljšane obrade otpadnih voda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Ekvivalent stanovništva</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KF</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200.000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1,000,000.00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Hrvatske vode, Ministarstvo poljoprivrede</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82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F</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Ukupni iznos potvrđenih/prihvatljivih izdataka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 xml:space="preserve"> milijun EUR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KF</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382.943,811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1.649,340.216,00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1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Ministarstvo financija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7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U kontrolnoj je točki prisutno pravilo N+3 za PO bez 6 % PR (tj. alokacija sredstava za 2014. i 2015., neto 6 %).</w:t>
            </w:r>
          </w:p>
        </w:tc>
      </w:tr>
      <w:tr w:rsidR="00FC3F35" w:rsidRPr="00576C1D" w:rsidTr="00FC3F35">
        <w:trPr>
          <w:trHeight w:hRule="exact" w:val="2448"/>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6ca25</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Uspostavljeni i u potpunosti funkcionalni novi centri za gospodarenje otpadom</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KF</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10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10,00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Pokazatelj neposrednih rezultata se u svrhu PF-a odnosi samo na uspostavljene (ne potpuno operativne) centre za gospodarenje otpadom (CGO), zbog toga što, nakon što je CGO uspostavljen (izgrađen i u funkciji), potrebno je da su sve funkcije CGO-a u potpunosti u skladu sa sustavom gospodarenja otpadom na području koje CGO pokriva kako bi se CGO smatrao potpuno operativnim</w:t>
            </w:r>
            <w:r w:rsidRPr="00576C1D">
              <w:rPr>
                <w:rFonts w:ascii="Times New Roman" w:eastAsia="Times New Roman" w:hAnsi="Times New Roman" w:cs="Times New Roman"/>
                <w:color w:val="000000"/>
                <w:spacing w:val="-2"/>
                <w:sz w:val="10"/>
                <w:szCs w:val="10"/>
                <w:lang w:eastAsia="hr-HR"/>
              </w:rPr>
              <w:t>.</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171"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662"/>
        <w:gridCol w:w="710"/>
        <w:gridCol w:w="854"/>
        <w:gridCol w:w="1680"/>
        <w:gridCol w:w="1200"/>
        <w:gridCol w:w="960"/>
        <w:gridCol w:w="1008"/>
        <w:gridCol w:w="1018"/>
        <w:gridCol w:w="1018"/>
        <w:gridCol w:w="1018"/>
        <w:gridCol w:w="1008"/>
        <w:gridCol w:w="1018"/>
        <w:gridCol w:w="902"/>
        <w:gridCol w:w="1181"/>
      </w:tblGrid>
      <w:tr w:rsidR="00FC3F35" w:rsidRPr="00576C1D" w:rsidTr="00FC3F35">
        <w:trPr>
          <w:trHeight w:hRule="exact" w:val="374"/>
        </w:trPr>
        <w:tc>
          <w:tcPr>
            <w:tcW w:w="228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lastRenderedPageBreak/>
              <w:t>Prioritetna os</w:t>
            </w:r>
          </w:p>
        </w:tc>
        <w:tc>
          <w:tcPr>
            <w:tcW w:w="12865" w:type="dxa"/>
            <w:gridSpan w:val="1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6 </w:t>
            </w:r>
            <w:r w:rsidRPr="00576C1D">
              <w:rPr>
                <w:rFonts w:ascii="Times New Roman" w:eastAsia="Times New Roman" w:hAnsi="Times New Roman" w:cs="Times New Roman"/>
                <w:color w:val="000000"/>
                <w:spacing w:val="-1"/>
                <w:sz w:val="10"/>
                <w:szCs w:val="10"/>
                <w:lang w:eastAsia="hr-HR"/>
              </w:rPr>
              <w:t xml:space="preserve">- </w:t>
            </w:r>
            <w:r w:rsidRPr="00576C1D">
              <w:rPr>
                <w:rFonts w:ascii="Times New Roman" w:eastAsia="Times New Roman" w:hAnsi="Times New Roman" w:cs="Times New Roman"/>
                <w:b/>
                <w:bCs/>
                <w:color w:val="000000"/>
                <w:spacing w:val="-1"/>
                <w:sz w:val="10"/>
                <w:szCs w:val="10"/>
                <w:lang w:eastAsia="hr-HR"/>
              </w:rPr>
              <w:t>Zaštita okoliša i održivost sredstava</w:t>
            </w:r>
          </w:p>
        </w:tc>
      </w:tr>
      <w:tr w:rsidR="00FC3F35" w:rsidRPr="00576C1D" w:rsidTr="00FC3F35">
        <w:trPr>
          <w:trHeight w:hRule="exact" w:val="49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z w:val="10"/>
                <w:szCs w:val="16"/>
                <w:lang w:eastAsia="hr-HR"/>
              </w:rPr>
              <w:t>Identifikacijska oznaka</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relevantnosti pokazatelja, po potrebi</w:t>
            </w:r>
          </w:p>
        </w:tc>
      </w:tr>
      <w:tr w:rsidR="00FC3F35" w:rsidRPr="00576C1D" w:rsidTr="00FC3F35">
        <w:trPr>
          <w:trHeight w:hRule="exact" w:val="1862"/>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6.1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11"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Broj ugovorenih ugovora o radu za projekte vodoopskrbe</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KF</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9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30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80,00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Budući da je vrijednost većine projekata obrade otpadnih voda u Hrvatskoj manja od EUR 50.000,000, te kako bi se pokrila većina sredstava u sklopu PO-a, ključni provedbeni korak za obradu otpadnih voda  odnosi se na sve projekte, a ne samo na velike.</w:t>
            </w:r>
          </w:p>
        </w:tc>
      </w:tr>
      <w:tr w:rsidR="00FC3F35" w:rsidRPr="00576C1D" w:rsidTr="00FC3F35">
        <w:trPr>
          <w:trHeight w:hRule="exact" w:val="595"/>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6.2</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6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Broj velikih projekata za centre za gospodarenje otpadom koje je odobrila EZ</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KF</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7</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7,00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835"/>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6ca26</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Zatvorena i sanirana odlagališta otpada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KF</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9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20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60,00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Fond za zaštitu i energetsku učinkovitost</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shd w:val="clear" w:color="auto" w:fill="FFFFFF"/>
        <w:autoSpaceDE w:val="0"/>
        <w:autoSpaceDN w:val="0"/>
        <w:adjustRightInd w:val="0"/>
        <w:spacing w:before="451"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Dodatne kvalitativne informacije o uspostavi okvira uspješnosti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2.A.9 Kategorije intervencije</w:t>
      </w:r>
    </w:p>
    <w:p w:rsidR="00FC3F35" w:rsidRPr="00576C1D" w:rsidRDefault="00FC3F35" w:rsidP="00FC3F35">
      <w:pPr>
        <w:widowControl w:val="0"/>
        <w:shd w:val="clear" w:color="auto" w:fill="FFFFFF"/>
        <w:autoSpaceDE w:val="0"/>
        <w:autoSpaceDN w:val="0"/>
        <w:adjustRightInd w:val="0"/>
        <w:spacing w:before="130" w:after="0" w:line="269" w:lineRule="exact"/>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4"/>
          <w:szCs w:val="24"/>
          <w:lang w:eastAsia="hr-HR"/>
        </w:rPr>
        <w:t>Kategorije intervencije koje odgovaraju sadržaju prioritetne osi na temelju nazivlja koje usvaja Komisija, i indikativna analiza potpore Unije</w:t>
      </w:r>
      <w:r w:rsidRPr="00576C1D">
        <w:rPr>
          <w:rFonts w:ascii="Times New Roman" w:eastAsia="Times New Roman" w:hAnsi="Times New Roman" w:cs="Times New Roman"/>
          <w:color w:val="000000"/>
          <w:spacing w:val="-1"/>
          <w:sz w:val="24"/>
          <w:szCs w:val="24"/>
          <w:lang w:eastAsia="hr-HR"/>
        </w:rPr>
        <w:t>.</w:t>
      </w:r>
    </w:p>
    <w:p w:rsidR="005748BE" w:rsidRDefault="005748BE" w:rsidP="00FC3F35">
      <w:pPr>
        <w:widowControl w:val="0"/>
        <w:shd w:val="clear" w:color="auto" w:fill="FFFFFF"/>
        <w:autoSpaceDE w:val="0"/>
        <w:autoSpaceDN w:val="0"/>
        <w:adjustRightInd w:val="0"/>
        <w:spacing w:before="322" w:after="110" w:line="514" w:lineRule="exact"/>
        <w:ind w:left="542" w:right="11059"/>
        <w:rPr>
          <w:rFonts w:ascii="Times New Roman" w:eastAsia="Times New Roman" w:hAnsi="Times New Roman" w:cs="Times New Roman"/>
          <w:b/>
          <w:bCs/>
          <w:color w:val="000000"/>
          <w:spacing w:val="-3"/>
          <w:sz w:val="24"/>
          <w:szCs w:val="24"/>
          <w:lang w:eastAsia="hr-HR"/>
        </w:rPr>
      </w:pPr>
    </w:p>
    <w:p w:rsidR="005748BE" w:rsidRDefault="005748BE" w:rsidP="00FC3F35">
      <w:pPr>
        <w:widowControl w:val="0"/>
        <w:shd w:val="clear" w:color="auto" w:fill="FFFFFF"/>
        <w:autoSpaceDE w:val="0"/>
        <w:autoSpaceDN w:val="0"/>
        <w:adjustRightInd w:val="0"/>
        <w:spacing w:before="322" w:after="110" w:line="514" w:lineRule="exact"/>
        <w:ind w:left="542" w:right="11059"/>
        <w:rPr>
          <w:rFonts w:ascii="Times New Roman" w:eastAsia="Times New Roman" w:hAnsi="Times New Roman" w:cs="Times New Roman"/>
          <w:b/>
          <w:bCs/>
          <w:color w:val="000000"/>
          <w:spacing w:val="-3"/>
          <w:sz w:val="24"/>
          <w:szCs w:val="24"/>
          <w:lang w:eastAsia="hr-HR"/>
        </w:rPr>
      </w:pPr>
    </w:p>
    <w:p w:rsidR="005748BE" w:rsidRDefault="005748BE" w:rsidP="00FC3F35">
      <w:pPr>
        <w:widowControl w:val="0"/>
        <w:shd w:val="clear" w:color="auto" w:fill="FFFFFF"/>
        <w:autoSpaceDE w:val="0"/>
        <w:autoSpaceDN w:val="0"/>
        <w:adjustRightInd w:val="0"/>
        <w:spacing w:before="322" w:after="110" w:line="514" w:lineRule="exact"/>
        <w:ind w:left="542" w:right="11059"/>
        <w:rPr>
          <w:rFonts w:ascii="Times New Roman" w:eastAsia="Times New Roman" w:hAnsi="Times New Roman" w:cs="Times New Roman"/>
          <w:b/>
          <w:bCs/>
          <w:color w:val="000000"/>
          <w:spacing w:val="-3"/>
          <w:sz w:val="24"/>
          <w:szCs w:val="24"/>
          <w:lang w:eastAsia="hr-HR"/>
        </w:rPr>
      </w:pPr>
    </w:p>
    <w:p w:rsidR="005748BE" w:rsidRDefault="005748BE" w:rsidP="00FC3F35">
      <w:pPr>
        <w:widowControl w:val="0"/>
        <w:shd w:val="clear" w:color="auto" w:fill="FFFFFF"/>
        <w:autoSpaceDE w:val="0"/>
        <w:autoSpaceDN w:val="0"/>
        <w:adjustRightInd w:val="0"/>
        <w:spacing w:before="322" w:after="110" w:line="514" w:lineRule="exact"/>
        <w:ind w:left="542" w:right="11059"/>
        <w:rPr>
          <w:rFonts w:ascii="Times New Roman" w:eastAsia="Times New Roman" w:hAnsi="Times New Roman" w:cs="Times New Roman"/>
          <w:b/>
          <w:bCs/>
          <w:color w:val="000000"/>
          <w:spacing w:val="-3"/>
          <w:sz w:val="24"/>
          <w:szCs w:val="24"/>
          <w:lang w:eastAsia="hr-HR"/>
        </w:rPr>
      </w:pPr>
    </w:p>
    <w:p w:rsidR="005748BE" w:rsidRDefault="005748BE" w:rsidP="00FC3F35">
      <w:pPr>
        <w:widowControl w:val="0"/>
        <w:shd w:val="clear" w:color="auto" w:fill="FFFFFF"/>
        <w:autoSpaceDE w:val="0"/>
        <w:autoSpaceDN w:val="0"/>
        <w:adjustRightInd w:val="0"/>
        <w:spacing w:before="322" w:after="110" w:line="514" w:lineRule="exact"/>
        <w:ind w:left="542" w:right="11059"/>
        <w:rPr>
          <w:rFonts w:ascii="Times New Roman" w:eastAsia="Times New Roman" w:hAnsi="Times New Roman" w:cs="Times New Roman"/>
          <w:b/>
          <w:bCs/>
          <w:color w:val="000000"/>
          <w:spacing w:val="-3"/>
          <w:sz w:val="24"/>
          <w:szCs w:val="24"/>
          <w:lang w:eastAsia="hr-HR"/>
        </w:rPr>
      </w:pPr>
    </w:p>
    <w:p w:rsidR="00FC3F35" w:rsidRPr="00576C1D" w:rsidRDefault="00FC3F35" w:rsidP="00FC3F35">
      <w:pPr>
        <w:widowControl w:val="0"/>
        <w:shd w:val="clear" w:color="auto" w:fill="FFFFFF"/>
        <w:autoSpaceDE w:val="0"/>
        <w:autoSpaceDN w:val="0"/>
        <w:adjustRightInd w:val="0"/>
        <w:spacing w:before="322" w:after="110" w:line="514" w:lineRule="exact"/>
        <w:ind w:left="542" w:right="110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24"/>
          <w:szCs w:val="24"/>
          <w:lang w:eastAsia="hr-HR"/>
        </w:rPr>
        <w:t xml:space="preserve">Tablice 7-11: </w:t>
      </w:r>
      <w:r w:rsidRPr="00576C1D">
        <w:rPr>
          <w:rFonts w:ascii="Times New Roman" w:eastAsia="Times New Roman" w:hAnsi="Times New Roman" w:cs="Times New Roman"/>
          <w:b/>
          <w:bCs/>
          <w:color w:val="000000"/>
          <w:sz w:val="24"/>
          <w:szCs w:val="24"/>
          <w:lang w:eastAsia="hr-HR"/>
        </w:rPr>
        <w:t>Kategorije intervencije</w:t>
      </w:r>
      <w:r w:rsidRPr="00576C1D">
        <w:rPr>
          <w:rFonts w:ascii="Times New Roman" w:eastAsia="Times New Roman" w:hAnsi="Times New Roman" w:cs="Times New Roman"/>
          <w:color w:val="000000"/>
          <w:spacing w:val="-4"/>
          <w:lang w:eastAsia="hr-HR"/>
        </w:rPr>
        <w:t>Tablica 7: Dimenzija 1 - Područje intervencije</w:t>
      </w: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87"/>
      </w:tblGrid>
      <w:tr w:rsidR="00FC3F35" w:rsidRPr="00576C1D" w:rsidTr="00FC3F35">
        <w:trPr>
          <w:trHeight w:hRule="exact" w:val="44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6 - </w:t>
            </w:r>
            <w:r w:rsidRPr="00576C1D">
              <w:rPr>
                <w:rFonts w:ascii="Times New Roman" w:eastAsia="Times New Roman" w:hAnsi="Times New Roman" w:cs="Times New Roman"/>
                <w:b/>
                <w:color w:val="000000"/>
                <w:spacing w:val="-4"/>
                <w:sz w:val="16"/>
                <w:szCs w:val="18"/>
                <w:lang w:eastAsia="hr-HR"/>
              </w:rPr>
              <w:t>Zaštita okoliša i održivost resursa</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Iznos u €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083. Mjere kakvoće zraka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089. Obnova industrijskih lokacija i zagađenih terena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80.000,000,00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091. Razvoj i promicanje turističkog potencijala prirodnih prostora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109.669,123,00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094. Zaštita, razvoj i promicanje javnih kulturnih i baštinskih dobara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88.351,269,00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095. Razvoj i promicanje javnih kulturnih i baštinskih usluga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017. Gospodarenje otpadom u domaćinstvu (uključujući mjere smanjivanja, razvrstavanja, recikliranja)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50.000,000,00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018. Gospodarenje otpadom u domaćinstvu (uključujući mjere mehaničke biološke obrade, termičke obrade, spaljivanja i deponija)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425.000,000,00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020. Opskrba vodom za ljudsku potrošnju (infrastruktura za izvlačenje, obradu, skladištenje i distribuciju)</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169.340,216,00</w:t>
            </w:r>
          </w:p>
        </w:tc>
      </w:tr>
      <w:tr w:rsidR="00FC3F35" w:rsidRPr="00576C1D" w:rsidTr="00FC3F35">
        <w:trPr>
          <w:trHeight w:hRule="exact" w:val="614"/>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021. Gospodarenje vodama i očuvanje pitke vode (uključujući upravljanje riječnim bazenima, vodoopskrbu, određene mjere prilagodbe klimatskim promjenama, mjerenje jedinica i potrošača, sustave naplate i smanjenje isticanja)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022. Obrada otpadnih voda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840.000,000,00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085. Zaštita i unapređenje bioraznolikosti, zaštite prirode i „zelene“ infrastrukture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54.000,000,00</w:t>
            </w:r>
          </w:p>
        </w:tc>
      </w:tr>
      <w:tr w:rsidR="00FC3F35" w:rsidRPr="00576C1D" w:rsidTr="00FC3F35">
        <w:trPr>
          <w:trHeight w:hRule="exact" w:val="51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086. Zaštita, obnova i održivo korištenje  Natura 2000 područja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71.000,000,00</w:t>
            </w:r>
          </w:p>
        </w:tc>
      </w:tr>
      <w:tr w:rsidR="00FC3F35" w:rsidRPr="00576C1D" w:rsidTr="00FC3F35">
        <w:trPr>
          <w:trHeight w:hRule="exact" w:val="730"/>
        </w:trPr>
        <w:tc>
          <w:tcPr>
            <w:tcW w:w="15140" w:type="dxa"/>
            <w:gridSpan w:val="5"/>
            <w:tcBorders>
              <w:top w:val="single" w:sz="6" w:space="0" w:color="auto"/>
              <w:left w:val="nil"/>
              <w:bottom w:val="single" w:sz="6" w:space="0" w:color="auto"/>
              <w:right w:val="nil"/>
            </w:tcBorders>
            <w:shd w:val="clear" w:color="auto" w:fill="FFFFFF"/>
          </w:tcPr>
          <w:p w:rsidR="005748BE" w:rsidRDefault="005748BE"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eastAsia="hr-HR"/>
              </w:rPr>
            </w:pPr>
          </w:p>
          <w:p w:rsidR="005748BE" w:rsidRDefault="005748BE"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lang w:eastAsia="hr-HR"/>
              </w:rPr>
              <w:t>Tablica 8: Dimenzija 2 - Oblik financiranja</w:t>
            </w:r>
          </w:p>
        </w:tc>
      </w:tr>
      <w:tr w:rsidR="00FC3F35" w:rsidRPr="00576C1D" w:rsidTr="00FC3F35">
        <w:trPr>
          <w:trHeight w:hRule="exact" w:val="44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6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color w:val="000000"/>
                <w:spacing w:val="-4"/>
                <w:sz w:val="16"/>
                <w:szCs w:val="18"/>
                <w:lang w:eastAsia="hr-HR"/>
              </w:rPr>
              <w:t>Zaštita okoliša i održivost resursa</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338.020,392,00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1,649.340,216,00</w:t>
            </w:r>
          </w:p>
        </w:tc>
      </w:tr>
      <w:tr w:rsidR="00FC3F35" w:rsidRPr="00576C1D" w:rsidTr="00FC3F35">
        <w:trPr>
          <w:trHeight w:hRule="exact" w:val="749"/>
        </w:trPr>
        <w:tc>
          <w:tcPr>
            <w:tcW w:w="15140" w:type="dxa"/>
            <w:gridSpan w:val="5"/>
            <w:tcBorders>
              <w:top w:val="single" w:sz="6" w:space="0" w:color="auto"/>
              <w:left w:val="nil"/>
              <w:bottom w:val="single" w:sz="6" w:space="0" w:color="auto"/>
              <w:right w:val="nil"/>
            </w:tcBorders>
            <w:shd w:val="clear" w:color="auto" w:fill="FFFFFF"/>
          </w:tcPr>
          <w:p w:rsidR="00087359" w:rsidRDefault="00087359"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4"/>
                <w:lang w:eastAsia="hr-HR"/>
              </w:rPr>
            </w:pPr>
          </w:p>
          <w:p w:rsidR="00087359" w:rsidRDefault="00087359"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4"/>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lang w:eastAsia="hr-HR"/>
              </w:rPr>
              <w:t>Tablica 9: Dimenzija 3 - Vrsta teritorija</w:t>
            </w:r>
          </w:p>
        </w:tc>
      </w:tr>
      <w:tr w:rsidR="00FC3F35" w:rsidRPr="00576C1D" w:rsidTr="00FC3F35">
        <w:trPr>
          <w:trHeight w:hRule="exact" w:val="43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6 - </w:t>
            </w:r>
            <w:r w:rsidRPr="00576C1D">
              <w:rPr>
                <w:rFonts w:ascii="Times New Roman" w:eastAsia="Times New Roman" w:hAnsi="Times New Roman" w:cs="Times New Roman"/>
                <w:b/>
                <w:color w:val="000000"/>
                <w:spacing w:val="-4"/>
                <w:sz w:val="16"/>
                <w:szCs w:val="18"/>
                <w:lang w:eastAsia="hr-HR"/>
              </w:rPr>
              <w:t>Zaštita okoliša i održivost resursa</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Velika urbana područja (gusto naseljena &gt; 50 000 stanovnika)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80.000,000,00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258.020,392,00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Velika urbana područja (gusto naseljena &gt; 50 000 stanovnika)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 Velika urbana područja (gusto naseljena &gt; 50 000 stanovnika)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400.000,000,00</w:t>
            </w:r>
          </w:p>
        </w:tc>
      </w:tr>
      <w:tr w:rsidR="00FC3F35" w:rsidRPr="00576C1D" w:rsidTr="00FC3F35">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849.340,216,00</w:t>
            </w:r>
          </w:p>
        </w:tc>
      </w:tr>
      <w:tr w:rsidR="00FC3F35" w:rsidRPr="00576C1D" w:rsidTr="00FC3F35">
        <w:trPr>
          <w:trHeight w:hRule="exact" w:val="749"/>
        </w:trPr>
        <w:tc>
          <w:tcPr>
            <w:tcW w:w="15140" w:type="dxa"/>
            <w:gridSpan w:val="5"/>
            <w:tcBorders>
              <w:top w:val="single" w:sz="6" w:space="0" w:color="auto"/>
              <w:left w:val="nil"/>
              <w:bottom w:val="single" w:sz="6" w:space="0" w:color="auto"/>
              <w:right w:val="nil"/>
            </w:tcBorders>
            <w:shd w:val="clear" w:color="auto" w:fill="FFFFFF"/>
          </w:tcPr>
          <w:p w:rsidR="00087359" w:rsidRDefault="00087359"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lang w:eastAsia="hr-HR"/>
              </w:rPr>
            </w:pPr>
          </w:p>
          <w:p w:rsidR="00087359" w:rsidRDefault="00087359"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lang w:eastAsia="hr-HR"/>
              </w:rPr>
              <w:t>Tablica 10: Dimenzija 4 - Mehanizmi teritorijalne provedbe</w:t>
            </w:r>
          </w:p>
        </w:tc>
      </w:tr>
      <w:tr w:rsidR="00FC3F35" w:rsidRPr="00576C1D" w:rsidTr="00FC3F35">
        <w:trPr>
          <w:trHeight w:hRule="exact" w:val="451"/>
        </w:trPr>
        <w:tc>
          <w:tcPr>
            <w:tcW w:w="15140"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Prioritetna os                               6 – Zaštita okoliša i održivost resursa</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 xml:space="preserve">Iznos u € </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Integrirano teritorijalno ulaganje - Urbano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113.351,269,00</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224.669,123,00</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171"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44"/>
        <w:gridCol w:w="1642"/>
        <w:gridCol w:w="9178"/>
        <w:gridCol w:w="1987"/>
      </w:tblGrid>
      <w:tr w:rsidR="00FC3F35" w:rsidRPr="00576C1D" w:rsidTr="00FC3F35">
        <w:trPr>
          <w:trHeight w:hRule="exact" w:val="461"/>
        </w:trPr>
        <w:tc>
          <w:tcPr>
            <w:tcW w:w="2333"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lastRenderedPageBreak/>
              <w:t>Prioritetna os</w:t>
            </w:r>
          </w:p>
        </w:tc>
        <w:tc>
          <w:tcPr>
            <w:tcW w:w="12807"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 xml:space="preserve">6 - </w:t>
            </w:r>
            <w:r w:rsidRPr="00576C1D">
              <w:rPr>
                <w:rFonts w:ascii="Times New Roman" w:eastAsia="Times New Roman" w:hAnsi="Times New Roman" w:cs="Times New Roman"/>
                <w:color w:val="000000"/>
                <w:spacing w:val="2"/>
                <w:sz w:val="20"/>
                <w:szCs w:val="18"/>
                <w:lang w:eastAsia="hr-HR"/>
              </w:rPr>
              <w:t>Zaštita okoliša i održivost resursa</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Fond</w:t>
            </w:r>
          </w:p>
        </w:tc>
        <w:tc>
          <w:tcPr>
            <w:tcW w:w="2996"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Iznos u € </w:t>
            </w:r>
          </w:p>
        </w:tc>
      </w:tr>
      <w:tr w:rsidR="00FC3F35" w:rsidRPr="00576C1D" w:rsidTr="00FC3F35">
        <w:trPr>
          <w:trHeight w:hRule="exact" w:val="614"/>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6"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39" w:righ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 xml:space="preserve">1,649.340,216,0 </w:t>
            </w:r>
            <w:r w:rsidRPr="00576C1D">
              <w:rPr>
                <w:rFonts w:ascii="Times New Roman" w:eastAsia="Times New Roman" w:hAnsi="Times New Roman" w:cs="Times New Roman"/>
                <w:color w:val="000000"/>
                <w:sz w:val="16"/>
                <w:szCs w:val="16"/>
                <w:lang w:eastAsia="hr-HR"/>
              </w:rPr>
              <w:t>0</w:t>
            </w:r>
          </w:p>
        </w:tc>
      </w:tr>
      <w:tr w:rsidR="00FC3F35" w:rsidRPr="00576C1D" w:rsidTr="00FC3F35">
        <w:trPr>
          <w:trHeight w:hRule="exact" w:val="768"/>
        </w:trPr>
        <w:tc>
          <w:tcPr>
            <w:tcW w:w="15140" w:type="dxa"/>
            <w:gridSpan w:val="6"/>
            <w:tcBorders>
              <w:top w:val="single" w:sz="6" w:space="0" w:color="auto"/>
              <w:left w:val="nil"/>
              <w:bottom w:val="single" w:sz="6" w:space="0" w:color="auto"/>
              <w:right w:val="nil"/>
            </w:tcBorders>
            <w:shd w:val="clear" w:color="auto" w:fill="FFFFFF"/>
          </w:tcPr>
          <w:p w:rsidR="00087359" w:rsidRDefault="00087359"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0"/>
                <w:szCs w:val="20"/>
                <w:lang w:eastAsia="hr-HR"/>
              </w:rPr>
            </w:pPr>
          </w:p>
          <w:p w:rsidR="00087359" w:rsidRDefault="00087359"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0"/>
                <w:szCs w:val="20"/>
                <w:lang w:eastAsia="hr-HR"/>
              </w:rPr>
              <w:t xml:space="preserve">Tablica 11: Dimenzija 6 - </w:t>
            </w:r>
            <w:r w:rsidRPr="00576C1D">
              <w:rPr>
                <w:rFonts w:ascii="Times New Roman" w:eastAsia="Times New Roman" w:hAnsi="Times New Roman" w:cs="Times New Roman"/>
                <w:b/>
                <w:color w:val="000000"/>
                <w:spacing w:val="2"/>
                <w:sz w:val="20"/>
                <w:szCs w:val="20"/>
                <w:lang w:eastAsia="hr-HR"/>
              </w:rPr>
              <w:t xml:space="preserve">Sporedna tema Europskog socijalnog fonda </w:t>
            </w:r>
            <w:r w:rsidRPr="00576C1D">
              <w:rPr>
                <w:rFonts w:ascii="Times New Roman" w:eastAsia="Times New Roman" w:hAnsi="Times New Roman" w:cs="Times New Roman"/>
                <w:color w:val="000000"/>
                <w:spacing w:val="2"/>
                <w:sz w:val="20"/>
                <w:szCs w:val="20"/>
                <w:lang w:eastAsia="hr-HR"/>
              </w:rPr>
              <w:t>(samo Europski socijalni fond i Inicijativa za zapošljavanje mladih)</w:t>
            </w:r>
          </w:p>
        </w:tc>
      </w:tr>
      <w:tr w:rsidR="00FC3F35" w:rsidRPr="00576C1D" w:rsidTr="00FC3F35">
        <w:trPr>
          <w:trHeight w:hRule="exact" w:val="43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Prioritetna os</w:t>
            </w:r>
          </w:p>
        </w:tc>
        <w:tc>
          <w:tcPr>
            <w:tcW w:w="12951"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6 – Zaštita okoliša i održivost resursa</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Fond</w:t>
            </w:r>
          </w:p>
        </w:tc>
        <w:tc>
          <w:tcPr>
            <w:tcW w:w="2996"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Iznos u € </w:t>
            </w:r>
          </w:p>
        </w:tc>
      </w:tr>
    </w:tbl>
    <w:p w:rsidR="00FC3F35" w:rsidRPr="00576C1D" w:rsidRDefault="00C244E3" w:rsidP="00FC3F35">
      <w:pPr>
        <w:widowControl w:val="0"/>
        <w:shd w:val="clear" w:color="auto" w:fill="FFFFFF"/>
        <w:autoSpaceDE w:val="0"/>
        <w:autoSpaceDN w:val="0"/>
        <w:adjustRightInd w:val="0"/>
        <w:spacing w:before="514" w:after="240" w:line="274" w:lineRule="exact"/>
        <w:ind w:left="1392" w:hanging="854"/>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pict>
          <v:line id="Line 1959" o:spid="_x0000_s1291" style="position:absolute;left:0;text-align:left;z-index:251784704;visibility:visible;mso-position-horizontal-relative:margin;mso-position-vertical-relative:text" from="782.9pt,58.6pt" to="782.9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ZtFg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" o:allowincell="f" strokeweight=".25pt">
            <w10:wrap anchorx="margin"/>
          </v:line>
        </w:pict>
      </w:r>
      <w:r w:rsidR="00FC3F35" w:rsidRPr="00576C1D">
        <w:rPr>
          <w:rFonts w:ascii="Times New Roman" w:eastAsia="Times New Roman" w:hAnsi="Times New Roman" w:cs="Times New Roman"/>
          <w:b/>
          <w:bCs/>
          <w:color w:val="000000"/>
          <w:spacing w:val="5"/>
          <w:sz w:val="24"/>
          <w:szCs w:val="24"/>
          <w:lang w:eastAsia="hr-HR"/>
        </w:rPr>
        <w:t xml:space="preserve">2.A.10 Sažetak planiranog korištenja tehničke pomoći, uključujući, gdje je potrebno, aktivnosti kojima se jača administrativni kapacitet nadležnih tijela uključenih u kontrolu i upravljanje programima i korisnicima </w:t>
      </w:r>
      <w:r w:rsidR="00FC3F35" w:rsidRPr="00576C1D">
        <w:rPr>
          <w:rFonts w:ascii="Times New Roman" w:eastAsia="Times New Roman" w:hAnsi="Times New Roman" w:cs="Times New Roman"/>
          <w:bCs/>
          <w:color w:val="000000"/>
          <w:spacing w:val="5"/>
          <w:sz w:val="24"/>
          <w:szCs w:val="24"/>
          <w:lang w:eastAsia="hr-HR"/>
        </w:rPr>
        <w:t>(po potrebi) (po prioritetnoj osi)</w:t>
      </w:r>
    </w:p>
    <w:p w:rsidR="00FC3F35" w:rsidRPr="00576C1D" w:rsidRDefault="00FC3F35" w:rsidP="00FC3F35">
      <w:pPr>
        <w:widowControl w:val="0"/>
        <w:shd w:val="clear" w:color="auto" w:fill="FFFFFF"/>
        <w:autoSpaceDE w:val="0"/>
        <w:autoSpaceDN w:val="0"/>
        <w:adjustRightInd w:val="0"/>
        <w:spacing w:before="514" w:after="240" w:line="274" w:lineRule="exact"/>
        <w:ind w:left="1392" w:hanging="854"/>
        <w:rPr>
          <w:rFonts w:ascii="Times New Roman" w:eastAsia="Times New Roman" w:hAnsi="Times New Roman" w:cs="Times New Roman"/>
          <w:sz w:val="20"/>
          <w:szCs w:val="20"/>
          <w:lang w:eastAsia="hr-HR"/>
        </w:rPr>
        <w:sectPr w:rsidR="00FC3F35" w:rsidRPr="00576C1D">
          <w:pgSz w:w="16834" w:h="11909" w:orient="landscape"/>
          <w:pgMar w:top="1171"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38" o:spid="_x0000_s1290" style="position:absolute;z-index:251542016;visibility:visible;mso-position-horizontal-relative:margin" from="-5.75pt,-6.7pt" to="750.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1C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" o:allowincell="f" strokeweight=".7pt">
            <w10:wrap anchorx="margin"/>
          </v:line>
        </w:pict>
      </w:r>
      <w:r>
        <w:rPr>
          <w:rFonts w:ascii="Times New Roman" w:eastAsia="Times New Roman" w:hAnsi="Times New Roman" w:cs="Times New Roman"/>
          <w:noProof/>
          <w:sz w:val="20"/>
          <w:szCs w:val="20"/>
          <w:lang w:eastAsia="hr-HR"/>
        </w:rPr>
        <w:pict>
          <v:line id="Line 1639" o:spid="_x0000_s1289" style="position:absolute;z-index:251544064;visibility:visible;mso-position-horizontal-relative:margin" from="-5.75pt,-5.3pt" to="-5.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QWFgIAAC0EAAAOAAAAZHJzL2Uyb0RvYy54bWysU02P2jAQvVfqf7B8h3yQZS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640" o:spid="_x0000_s1288" style="position:absolute;z-index:251545088;visibility:visible;mso-position-horizontal-relative:margin" from="128.65pt,-5.3pt" to="128.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" o:allowincell="f" strokeweight=".7pt">
            <w10:wrap anchorx="margin"/>
          </v:line>
        </w:pict>
      </w:r>
      <w:r w:rsidR="00FC3F35" w:rsidRPr="00576C1D">
        <w:rPr>
          <w:rFonts w:ascii="Times New Roman" w:eastAsia="Times New Roman" w:hAnsi="Times New Roman" w:cs="Times New Roman"/>
          <w:color w:val="000000"/>
          <w:spacing w:val="3"/>
          <w:sz w:val="16"/>
          <w:szCs w:val="16"/>
          <w:lang w:eastAsia="hr-HR"/>
        </w:rPr>
        <w:t>Prioritetna os:</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71" w:right="8788" w:bottom="360" w:left="1183" w:header="720" w:footer="720" w:gutter="0"/>
          <w:cols w:num="2" w:space="720" w:equalWidth="0">
            <w:col w:w="1369" w:space="1328"/>
            <w:col w:w="4166"/>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3"/>
          <w:sz w:val="16"/>
          <w:szCs w:val="16"/>
          <w:lang w:eastAsia="hr-HR"/>
        </w:rPr>
        <w:lastRenderedPageBreak/>
        <w:t>6 - Zaštita okoliša i održivost resursa</w:t>
      </w:r>
    </w:p>
    <w:p w:rsidR="00FC3F35" w:rsidRPr="00576C1D" w:rsidRDefault="00C244E3" w:rsidP="00FC3F35">
      <w:pPr>
        <w:widowControl w:val="0"/>
        <w:shd w:val="clear" w:color="auto" w:fill="FFFFFF"/>
        <w:autoSpaceDE w:val="0"/>
        <w:autoSpaceDN w:val="0"/>
        <w:adjustRightInd w:val="0"/>
        <w:spacing w:before="254" w:after="0" w:line="240" w:lineRule="auto"/>
        <w:ind w:left="638"/>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pict>
          <v:line id="Line 1641" o:spid="_x0000_s1287" style="position:absolute;left:0;text-align:left;z-index:251546112;visibility:visible;mso-position-horizontal-relative:margin" from="26.4pt,6pt" to="78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4G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" o:allowincell="f" strokeweight=".25pt">
            <w10:wrap anchorx="margin"/>
          </v:line>
        </w:pict>
      </w:r>
      <w:r w:rsidR="00FC3F35" w:rsidRPr="00576C1D">
        <w:rPr>
          <w:rFonts w:ascii="Times New Roman" w:eastAsia="Times New Roman" w:hAnsi="Times New Roman" w:cs="Times New Roman"/>
          <w:sz w:val="24"/>
          <w:szCs w:val="24"/>
          <w:lang w:eastAsia="hr-HR"/>
        </w:rPr>
        <w:t xml:space="preserve"> Glavne vrste mjera tehničke pomoći predviđene u sklopu PO 6 su sljedeće</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tabs>
          <w:tab w:val="left" w:pos="1363"/>
        </w:tabs>
        <w:autoSpaceDE w:val="0"/>
        <w:autoSpaceDN w:val="0"/>
        <w:adjustRightInd w:val="0"/>
        <w:spacing w:before="278" w:after="0" w:line="274" w:lineRule="exact"/>
        <w:ind w:left="1363" w:hanging="32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w:t>
      </w:r>
      <w:r w:rsidRPr="00576C1D">
        <w:rPr>
          <w:rFonts w:ascii="Times New Roman" w:eastAsia="Times New Roman" w:hAnsi="Times New Roman" w:cs="Times New Roman"/>
          <w:color w:val="000000"/>
          <w:sz w:val="24"/>
          <w:szCs w:val="24"/>
          <w:lang w:eastAsia="hr-HR"/>
        </w:rPr>
        <w:tab/>
        <w:t>Jačanje administrativnih i tehničkih kapaciteta institucija odgovornih za primjenu i provedbu strategija vezanih za okoliš (od državne razine do lokalnih vlasti i služba za koje su odgovorni). Ovo također uključuje mjere za pomoć pri organizacijskom poboljšanju i učinkovitijem pružanju usluga zaštita okoliša, ponajviše komunalnih</w:t>
      </w:r>
    </w:p>
    <w:p w:rsidR="00FC3F35" w:rsidRPr="00576C1D" w:rsidRDefault="00C244E3" w:rsidP="00FC3F35">
      <w:pPr>
        <w:widowControl w:val="0"/>
        <w:shd w:val="clear" w:color="auto" w:fill="FFFFFF"/>
        <w:tabs>
          <w:tab w:val="left" w:pos="1358"/>
        </w:tabs>
        <w:autoSpaceDE w:val="0"/>
        <w:autoSpaceDN w:val="0"/>
        <w:adjustRightInd w:val="0"/>
        <w:spacing w:after="1862" w:line="552" w:lineRule="exact"/>
        <w:ind w:left="638" w:right="442" w:firstLine="39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642" o:spid="_x0000_s1286" style="position:absolute;left:0;text-align:left;z-index:251547136;visibility:visible;mso-position-horizontal-relative:margin" from="25.9pt,71.5pt" to="782.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DLFQIAAC0EAAAOAAAAZHJzL2Uyb0RvYy54bWysU8GO2jAQvVfqP1i+QxLIp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w:t>
      </w:r>
      <w:r w:rsidR="00FC3F35" w:rsidRPr="00576C1D">
        <w:rPr>
          <w:rFonts w:ascii="Times New Roman" w:eastAsia="Times New Roman" w:hAnsi="Times New Roman" w:cs="Times New Roman"/>
          <w:color w:val="000000"/>
          <w:sz w:val="24"/>
          <w:szCs w:val="24"/>
          <w:lang w:eastAsia="hr-HR"/>
        </w:rPr>
        <w:tab/>
      </w:r>
      <w:r w:rsidR="00FC3F35" w:rsidRPr="00576C1D">
        <w:rPr>
          <w:rFonts w:ascii="Times New Roman" w:eastAsia="Times New Roman" w:hAnsi="Times New Roman" w:cs="Times New Roman"/>
          <w:color w:val="000000"/>
          <w:spacing w:val="-1"/>
          <w:sz w:val="24"/>
          <w:szCs w:val="24"/>
          <w:lang w:eastAsia="hr-HR"/>
        </w:rPr>
        <w:t>Podizanje javne svijesti i obrazovanja povezanog s bitnošću sektora okoliša (npr. promicanje odvojenog skupljanja otpada)</w:t>
      </w:r>
      <w:r w:rsidR="00FC3F35" w:rsidRPr="00576C1D">
        <w:rPr>
          <w:rFonts w:ascii="Times New Roman" w:eastAsia="Times New Roman" w:hAnsi="Times New Roman" w:cs="Times New Roman"/>
          <w:color w:val="000000"/>
          <w:spacing w:val="-1"/>
          <w:sz w:val="24"/>
          <w:szCs w:val="24"/>
          <w:lang w:eastAsia="hr-HR"/>
        </w:rPr>
        <w:br/>
      </w:r>
      <w:r w:rsidR="00FC3F35" w:rsidRPr="00576C1D">
        <w:rPr>
          <w:rFonts w:ascii="Times New Roman" w:eastAsia="Times New Roman" w:hAnsi="Times New Roman" w:cs="Times New Roman"/>
          <w:color w:val="000000"/>
          <w:sz w:val="24"/>
          <w:szCs w:val="24"/>
          <w:lang w:eastAsia="hr-HR"/>
        </w:rPr>
        <w:t>Aktivnost pripreme projekta je horizontalna aktivnost unutar prioritetne osi (primjenjivo na sve specifične ciljeve).</w:t>
      </w:r>
    </w:p>
    <w:p w:rsidR="00FC3F35" w:rsidRPr="00576C1D" w:rsidRDefault="00FC3F35" w:rsidP="00FC3F35">
      <w:pPr>
        <w:widowControl w:val="0"/>
        <w:shd w:val="clear" w:color="auto" w:fill="FFFFFF"/>
        <w:tabs>
          <w:tab w:val="left" w:pos="1358"/>
        </w:tabs>
        <w:autoSpaceDE w:val="0"/>
        <w:autoSpaceDN w:val="0"/>
        <w:adjustRightInd w:val="0"/>
        <w:spacing w:after="1862" w:line="552" w:lineRule="exact"/>
        <w:ind w:left="638" w:right="442" w:firstLine="398"/>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2.A.I Prioritetna os</w:t>
      </w:r>
    </w:p>
    <w:p w:rsidR="00FC3F35" w:rsidRPr="00576C1D" w:rsidRDefault="00C244E3" w:rsidP="00FC3F35">
      <w:pPr>
        <w:widowControl w:val="0"/>
        <w:shd w:val="clear" w:color="auto" w:fill="FFFFFF"/>
        <w:autoSpaceDE w:val="0"/>
        <w:autoSpaceDN w:val="0"/>
        <w:adjustRightInd w:val="0"/>
        <w:spacing w:before="240" w:after="245" w:line="240" w:lineRule="auto"/>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285" style="position:absolute;left:0;text-align:left;z-index:251727872;visibility:visible;mso-position-horizontal-relative:margin" from="782.25pt,6.05pt" to="782.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37FQIAACs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643" o:spid="_x0000_s1284" style="position:absolute;left:0;text-align:left;z-index:251610112;visibility:visible" from="25.9pt,5.5pt" to="78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fB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" o:allowincell="f" strokeweight=".25pt"/>
        </w:pict>
      </w:r>
      <w:r w:rsidR="00FC3F35" w:rsidRPr="00576C1D">
        <w:rPr>
          <w:rFonts w:ascii="Times New Roman" w:eastAsia="Times New Roman" w:hAnsi="Times New Roman" w:cs="Times New Roman"/>
          <w:color w:val="000000"/>
          <w:spacing w:val="-1"/>
          <w:w w:val="105"/>
          <w:sz w:val="18"/>
          <w:szCs w:val="18"/>
          <w:lang w:eastAsia="hr-HR"/>
        </w:rPr>
        <w:t>Oznaka prioritetne osi</w:t>
      </w:r>
    </w:p>
    <w:p w:rsidR="00FC3F35" w:rsidRPr="00576C1D" w:rsidRDefault="00FC3F35" w:rsidP="00FC3F35">
      <w:pPr>
        <w:widowControl w:val="0"/>
        <w:shd w:val="clear" w:color="auto" w:fill="FFFFFF"/>
        <w:autoSpaceDE w:val="0"/>
        <w:autoSpaceDN w:val="0"/>
        <w:adjustRightInd w:val="0"/>
        <w:spacing w:before="240" w:after="245" w:line="240" w:lineRule="auto"/>
        <w:ind w:left="643"/>
        <w:rPr>
          <w:rFonts w:ascii="Times New Roman" w:eastAsia="Times New Roman" w:hAnsi="Times New Roman" w:cs="Times New Roman"/>
          <w:sz w:val="20"/>
          <w:szCs w:val="20"/>
          <w:lang w:eastAsia="hr-HR"/>
        </w:rPr>
        <w:sectPr w:rsidR="00FC3F35" w:rsidRPr="00576C1D">
          <w:pgSz w:w="16834" w:h="11909" w:orient="landscape"/>
          <w:pgMar w:top="1433"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44" o:spid="_x0000_s1283" style="position:absolute;z-index:251613184;visibility:visible;mso-position-horizontal-relative:margin" from="-6pt,-6.7pt" to="75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us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" o:allowincell="f" strokeweight=".7pt">
            <w10:wrap anchorx="margin"/>
          </v:line>
        </w:pict>
      </w:r>
      <w:r>
        <w:rPr>
          <w:rFonts w:ascii="Times New Roman" w:eastAsia="Times New Roman" w:hAnsi="Times New Roman" w:cs="Times New Roman"/>
          <w:noProof/>
          <w:sz w:val="20"/>
          <w:szCs w:val="20"/>
          <w:lang w:eastAsia="hr-HR"/>
        </w:rPr>
        <w:pict>
          <v:line id="Line 1645" o:spid="_x0000_s1282" style="position:absolute;z-index:251615232;visibility:visible;mso-position-horizontal-relative:margin" from="-6pt,-28.3pt" to="-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qOFQ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646" o:spid="_x0000_s1281" style="position:absolute;z-index:251618304;visibility:visible;mso-position-horizontal-relative:margin" from="128.4pt,-28.3pt" to="128.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omFg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" o:allowincell="f" strokeweight=".7pt">
            <w10:wrap anchorx="margin"/>
          </v:line>
        </w:pict>
      </w:r>
      <w:r w:rsidR="00FC3F35" w:rsidRPr="00576C1D">
        <w:rPr>
          <w:rFonts w:ascii="Times New Roman" w:eastAsia="Times New Roman" w:hAnsi="Times New Roman" w:cs="Times New Roman"/>
          <w:color w:val="000000"/>
          <w:spacing w:val="-1"/>
          <w:w w:val="105"/>
          <w:sz w:val="18"/>
          <w:szCs w:val="18"/>
          <w:lang w:eastAsia="hr-HR"/>
        </w:rPr>
        <w:t>Naziv prioritetne osi</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433" w:right="11063" w:bottom="360" w:left="1188" w:header="720" w:footer="720" w:gutter="0"/>
          <w:cols w:num="2" w:space="720" w:equalWidth="0">
            <w:col w:w="1814" w:space="878"/>
            <w:col w:w="1891"/>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6"/>
          <w:w w:val="105"/>
          <w:sz w:val="18"/>
          <w:szCs w:val="18"/>
          <w:lang w:eastAsia="hr-HR"/>
        </w:rPr>
        <w:lastRenderedPageBreak/>
        <w:t>Povezanost i mobilnost</w:t>
      </w:r>
    </w:p>
    <w:p w:rsidR="00FC3F35" w:rsidRPr="00576C1D" w:rsidRDefault="00C244E3" w:rsidP="00FC3F35">
      <w:pPr>
        <w:widowControl w:val="0"/>
        <w:numPr>
          <w:ilvl w:val="0"/>
          <w:numId w:val="5"/>
        </w:numPr>
        <w:shd w:val="clear" w:color="auto" w:fill="FFFFFF"/>
        <w:tabs>
          <w:tab w:val="left" w:pos="826"/>
        </w:tabs>
        <w:autoSpaceDE w:val="0"/>
        <w:autoSpaceDN w:val="0"/>
        <w:adjustRightInd w:val="0"/>
        <w:spacing w:before="413" w:after="0" w:line="288" w:lineRule="exact"/>
        <w:ind w:left="557"/>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noProof/>
          <w:sz w:val="20"/>
          <w:szCs w:val="20"/>
          <w:lang w:eastAsia="hr-HR"/>
        </w:rPr>
        <w:lastRenderedPageBreak/>
        <w:pict>
          <v:line id="Line 1647" o:spid="_x0000_s1280" style="position:absolute;left:0;text-align:left;z-index:251549184;visibility:visible;mso-position-horizontal-relative:margin" from="25.9pt,5.75pt" to="782.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ui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Cjelokupna će se prioritetna os provoditi isključivo financijskim instrumentima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će se prioritetna os provoditi isključivo financijskim instrumentima uspostavljenima na razini Unije</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će se prioritetna os provoditi lokalnim razvojem koji će voditi zajednica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Za ESF: Cjelokupna je prioritetna os posvećena socijalnoj inovaciji i međudržavnoj suradnji, ili oboje</w:t>
      </w:r>
    </w:p>
    <w:p w:rsidR="00FC3F35" w:rsidRPr="00576C1D" w:rsidRDefault="00FC3F35" w:rsidP="00FC3F35">
      <w:pPr>
        <w:widowControl w:val="0"/>
        <w:shd w:val="clear" w:color="auto" w:fill="FFFFFF"/>
        <w:autoSpaceDE w:val="0"/>
        <w:autoSpaceDN w:val="0"/>
        <w:adjustRightInd w:val="0"/>
        <w:spacing w:before="518" w:after="0" w:line="274" w:lineRule="exact"/>
        <w:ind w:left="542" w:right="1325"/>
        <w:rPr>
          <w:rFonts w:ascii="Times New Roman" w:eastAsia="Times New Roman" w:hAnsi="Times New Roman" w:cs="Times New Roman"/>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 xml:space="preserve">2.A.2 Opravdanje za uspostavu prioritetne osi koja obuhvaća više od jedne kategorije regije, tematskog cilja ili fonda </w:t>
      </w:r>
      <w:r w:rsidRPr="00576C1D">
        <w:rPr>
          <w:rFonts w:ascii="Times New Roman" w:eastAsia="Times New Roman" w:hAnsi="Times New Roman" w:cs="Times New Roman"/>
          <w:bCs/>
          <w:color w:val="000000"/>
          <w:spacing w:val="-1"/>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120" w:after="0" w:line="274"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Ova prioritetna os koristit će fondove KF-a i EFRR-a u skladu s Općom uredbom čime se definira mogućnost korištenja različitih fondova za investicijske prioritete unutar tematskog cilja 7. IP 7b (</w:t>
      </w:r>
      <w:r w:rsidRPr="00576C1D">
        <w:rPr>
          <w:rFonts w:ascii="Times New Roman" w:eastAsia="Times New Roman" w:hAnsi="Times New Roman" w:cs="Times New Roman"/>
          <w:bCs/>
          <w:sz w:val="24"/>
          <w:szCs w:val="20"/>
          <w:lang w:eastAsia="hr-HR"/>
        </w:rPr>
        <w:t>Poboljšavanje regionalne mobilnosti povezivanjem sekundarnih i tercijarnih čvorišta s infrastrukturom TEN-T-a, uključujući multimodalna čvorišta</w:t>
      </w:r>
      <w:r w:rsidRPr="00576C1D">
        <w:rPr>
          <w:rFonts w:ascii="Times New Roman" w:eastAsia="Times New Roman" w:hAnsi="Times New Roman" w:cs="Times New Roman"/>
          <w:color w:val="000000"/>
          <w:sz w:val="24"/>
          <w:szCs w:val="24"/>
          <w:lang w:eastAsia="hr-HR"/>
        </w:rPr>
        <w:t>) financira se isključivo iz fonda EFRR-a dok drugi IP-ovi mogu koristiti oba fonda. Nakon konačnog rasporeda sredstava po tematskim ciljevima, u skladu s tematskim pravilima usmjerenosti, većinu sredstava za prioritetnu os 7 pokriva KF, dok je EFRR zadužen za IP 7b</w:t>
      </w:r>
      <w:r w:rsidRPr="00576C1D">
        <w:rPr>
          <w:rFonts w:ascii="Times New Roman" w:eastAsia="Times New Roman" w:hAnsi="Times New Roman" w:cs="Times New Roman"/>
          <w:color w:val="000000"/>
          <w:spacing w:val="-2"/>
          <w:sz w:val="24"/>
          <w:szCs w:val="24"/>
          <w:lang w:eastAsia="hr-HR"/>
        </w:rPr>
        <w:t>.</w:t>
      </w:r>
    </w:p>
    <w:p w:rsidR="00FC3F35" w:rsidRPr="00576C1D" w:rsidRDefault="00FC3F35" w:rsidP="00FC3F35">
      <w:pPr>
        <w:widowControl w:val="0"/>
        <w:shd w:val="clear" w:color="auto" w:fill="FFFFFF"/>
        <w:autoSpaceDE w:val="0"/>
        <w:autoSpaceDN w:val="0"/>
        <w:adjustRightInd w:val="0"/>
        <w:spacing w:before="1224"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2.A.3 Fond, kategorija regije i obračunska osnovica za potporu Unije</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w w:val="105"/>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w w:val="105"/>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w w:val="105"/>
                <w:sz w:val="18"/>
                <w:szCs w:val="18"/>
                <w:lang w:eastAsia="hr-HR"/>
              </w:rPr>
              <w:t>Obračunska osnovica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w w:val="105"/>
                <w:sz w:val="18"/>
                <w:szCs w:val="18"/>
                <w:lang w:eastAsia="hr-HR"/>
              </w:rPr>
              <w:t>Kategorija regije za najudaljenije regije i sjeverne rijetko naseljene regije (po potrebi)</w:t>
            </w:r>
          </w:p>
        </w:tc>
      </w:tr>
      <w:tr w:rsidR="00FC3F35" w:rsidRPr="00576C1D" w:rsidTr="00FC3F35">
        <w:trPr>
          <w:trHeight w:hRule="exact" w:val="47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0"/>
                <w:w w:val="105"/>
                <w:sz w:val="18"/>
                <w:szCs w:val="18"/>
                <w:lang w:eastAsia="hr-HR"/>
              </w:rPr>
              <w:t>EFRR</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w w:val="105"/>
                <w:sz w:val="18"/>
                <w:szCs w:val="18"/>
                <w:lang w:eastAsia="hr-HR"/>
              </w:rPr>
              <w:t xml:space="preserve">Manje razvijena </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w w:val="105"/>
                <w:sz w:val="18"/>
                <w:szCs w:val="18"/>
                <w:lang w:eastAsia="hr-HR"/>
              </w:rPr>
              <w:t>Ukupno</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lastRenderedPageBreak/>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w w:val="105"/>
                <w:sz w:val="18"/>
                <w:szCs w:val="18"/>
                <w:lang w:eastAsia="hr-HR"/>
              </w:rPr>
              <w:t>Obračunska osnovica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w w:val="105"/>
                <w:sz w:val="18"/>
                <w:szCs w:val="18"/>
                <w:lang w:eastAsia="hr-HR"/>
              </w:rPr>
              <w:t>Kategorija regije za najudaljenije regije i sjeverne rijetko naseljene regije (po potrebi)</w:t>
            </w:r>
          </w:p>
        </w:tc>
      </w:tr>
      <w:tr w:rsidR="00FC3F35" w:rsidRPr="00576C1D" w:rsidTr="00FC3F35">
        <w:trPr>
          <w:trHeight w:hRule="exact" w:val="538"/>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KF</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Ukupno</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56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835"/>
        <w:gridCol w:w="270"/>
        <w:gridCol w:w="1919"/>
        <w:gridCol w:w="270"/>
        <w:gridCol w:w="738"/>
        <w:gridCol w:w="270"/>
        <w:gridCol w:w="546"/>
        <w:gridCol w:w="270"/>
        <w:gridCol w:w="594"/>
        <w:gridCol w:w="270"/>
        <w:gridCol w:w="2015"/>
        <w:gridCol w:w="270"/>
        <w:gridCol w:w="412"/>
        <w:gridCol w:w="270"/>
        <w:gridCol w:w="4328"/>
        <w:gridCol w:w="270"/>
      </w:tblGrid>
      <w:tr w:rsidR="00FC3F35" w:rsidRPr="00576C1D" w:rsidTr="00FC3F35">
        <w:trPr>
          <w:trHeight w:hRule="exact" w:val="346"/>
        </w:trPr>
        <w:tc>
          <w:tcPr>
            <w:tcW w:w="3105"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59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2189"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16"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64"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285"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82"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598"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gridAfter w:val="1"/>
          <w:wAfter w:w="270" w:type="dxa"/>
          <w:trHeight w:hRule="exact" w:val="33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2189"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7b</w:t>
            </w:r>
          </w:p>
        </w:tc>
        <w:tc>
          <w:tcPr>
            <w:tcW w:w="1008"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16"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64"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285"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82"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598"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gridAfter w:val="1"/>
          <w:wAfter w:w="270" w:type="dxa"/>
          <w:trHeight w:hRule="exact" w:val="34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2442" w:type="dxa"/>
            <w:gridSpan w:val="1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sz w:val="18"/>
                <w:szCs w:val="20"/>
                <w:lang w:eastAsia="hr-HR"/>
              </w:rPr>
              <w:t>Poboljšavanje regionalne mobilnosti povezivanjem sekundarnih i tercijarnih čvorišta s infrastrukturom TEN-T-a, uključujući multimodalna čvorišta</w:t>
            </w:r>
          </w:p>
        </w:tc>
      </w:tr>
    </w:tbl>
    <w:p w:rsidR="00FC3F35" w:rsidRPr="00576C1D" w:rsidRDefault="00C244E3" w:rsidP="00FC3F35">
      <w:pPr>
        <w:widowControl w:val="0"/>
        <w:shd w:val="clear" w:color="auto" w:fill="FFFFFF"/>
        <w:autoSpaceDE w:val="0"/>
        <w:autoSpaceDN w:val="0"/>
        <w:adjustRightInd w:val="0"/>
        <w:spacing w:before="494" w:after="178" w:line="240" w:lineRule="auto"/>
        <w:ind w:left="5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650" o:spid="_x0000_s1279" style="position:absolute;left:0;text-align:left;flip:x;z-index:251553280;visibility:visible;mso-position-horizontal-relative:margin;mso-position-vertical-relative:text" from="25.9pt,44.85pt" to="26.4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" o:allowincell="f" strokeweight=".25pt">
            <w10:wrap anchorx="margin"/>
          </v:line>
        </w:pict>
      </w:r>
      <w:r>
        <w:rPr>
          <w:rFonts w:ascii="Times New Roman" w:eastAsia="Times New Roman" w:hAnsi="Times New Roman" w:cs="Times New Roman"/>
          <w:noProof/>
          <w:sz w:val="20"/>
          <w:szCs w:val="20"/>
          <w:lang w:eastAsia="hr-HR"/>
        </w:rPr>
        <w:pict>
          <v:line id="Line 1651" o:spid="_x0000_s1278" style="position:absolute;left:0;text-align:left;z-index:251554304;visibility:visible;mso-position-horizontal-relative:margin;mso-position-vertical-relative:text" from="160.8pt,44.85pt" to="160.8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" o:allowincell="f" strokeweight=".7pt">
            <w10:wrap anchorx="margin"/>
          </v:line>
        </w:pict>
      </w:r>
      <w:r w:rsidR="00FC3F35"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shd w:val="clear" w:color="auto" w:fill="FFFFFF"/>
        <w:autoSpaceDE w:val="0"/>
        <w:autoSpaceDN w:val="0"/>
        <w:adjustRightInd w:val="0"/>
        <w:spacing w:before="494" w:after="178" w:line="240" w:lineRule="auto"/>
        <w:ind w:left="538"/>
        <w:rPr>
          <w:rFonts w:ascii="Times New Roman" w:eastAsia="Times New Roman" w:hAnsi="Times New Roman" w:cs="Times New Roman"/>
          <w:sz w:val="20"/>
          <w:szCs w:val="20"/>
          <w:lang w:eastAsia="hr-HR"/>
        </w:rPr>
        <w:sectPr w:rsidR="00FC3F35" w:rsidRPr="00576C1D">
          <w:pgSz w:w="16834" w:h="11909" w:orient="landscape"/>
          <w:pgMar w:top="1169"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48" o:spid="_x0000_s1277" style="position:absolute;z-index:251550208;visibility:visible;mso-position-horizontal-relative:margin" from="-6.25pt,-3.35pt" to="750.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pL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z w:val="18"/>
          <w:szCs w:val="18"/>
          <w:lang w:eastAsia="hr-HR"/>
        </w:rPr>
        <w:t>Oznaka specifičnog cilja</w:t>
      </w:r>
      <w:r w:rsidR="00FC3F35" w:rsidRPr="00576C1D">
        <w:rPr>
          <w:rFonts w:ascii="Times New Roman" w:eastAsia="Times New Roman" w:hAnsi="Times New Roman" w:cs="Times New Roman"/>
          <w:sz w:val="20"/>
          <w:szCs w:val="20"/>
          <w:lang w:eastAsia="hr-HR"/>
        </w:rPr>
        <w:br w:type="column"/>
      </w:r>
      <w:r w:rsidR="00FC3F35" w:rsidRPr="00576C1D">
        <w:rPr>
          <w:rFonts w:ascii="Times New Roman" w:eastAsia="Times New Roman" w:hAnsi="Times New Roman" w:cs="Times New Roman"/>
          <w:color w:val="000000"/>
          <w:sz w:val="18"/>
          <w:szCs w:val="18"/>
          <w:lang w:eastAsia="hr-HR"/>
        </w:rPr>
        <w:lastRenderedPageBreak/>
        <w:t>7bl</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69" w:right="12234" w:bottom="360" w:left="1183" w:header="720" w:footer="720" w:gutter="0"/>
          <w:cols w:num="2" w:sep="1" w:space="720" w:equalWidth="0">
            <w:col w:w="2361" w:space="336"/>
            <w:col w:w="720"/>
          </w:cols>
          <w:noEndnote/>
        </w:sectPr>
      </w:pPr>
    </w:p>
    <w:p w:rsidR="00FC3F35" w:rsidRPr="00576C1D" w:rsidRDefault="00FC3F35" w:rsidP="00FC3F35">
      <w:pPr>
        <w:widowControl w:val="0"/>
        <w:autoSpaceDE w:val="0"/>
        <w:autoSpaceDN w:val="0"/>
        <w:adjustRightInd w:val="0"/>
        <w:spacing w:before="125"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69" w:right="4583" w:bottom="360" w:left="118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49" o:spid="_x0000_s1276" style="position:absolute;z-index:251552256;visibility:visible;mso-position-horizontal-relative:margin" from="-6pt,-3.35pt" to="75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v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z w:val="18"/>
          <w:szCs w:val="18"/>
          <w:lang w:eastAsia="hr-HR"/>
        </w:rPr>
        <w:t>Naziv specifičnog cilja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Jačanje regionalne mobilnosti i povezanosti kroz poboljšanje regionalnih cesta i eliminaciju glavnih cestovnih uskih grla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69" w:right="4218" w:bottom="360" w:left="1188" w:header="720" w:footer="720" w:gutter="0"/>
          <w:cols w:num="2" w:space="720" w:equalWidth="0">
            <w:col w:w="2222" w:space="466"/>
            <w:col w:w="8740"/>
          </w:cols>
          <w:noEndnote/>
        </w:sectPr>
      </w:pPr>
    </w:p>
    <w:p w:rsidR="00FC3F35" w:rsidRPr="00576C1D" w:rsidRDefault="00FC3F35" w:rsidP="00FC3F35">
      <w:pPr>
        <w:widowControl w:val="0"/>
        <w:autoSpaceDE w:val="0"/>
        <w:autoSpaceDN w:val="0"/>
        <w:adjustRightInd w:val="0"/>
        <w:spacing w:before="130"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69" w:right="820" w:bottom="360" w:left="117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06" w:lineRule="exact"/>
        <w:ind w:left="10"/>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52" o:spid="_x0000_s1275" style="position:absolute;left:0;text-align:left;z-index:251555328;visibility:visible;mso-position-horizontal-relative:margin" from="-5.5pt,-3.6pt" to="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IN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653" o:spid="_x0000_s1274" style="position:absolute;left:0;text-align:left;z-index:251556352;visibility:visible;mso-position-horizontal-relative:margin" from="750.5pt,-36.25pt" to="750.5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25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Rezultati koje države članice žele postići uz potporu Unije</w:t>
      </w:r>
    </w:p>
    <w:p w:rsidR="00FC3F35" w:rsidRPr="00576C1D" w:rsidRDefault="00FC3F35" w:rsidP="00FC3F35">
      <w:pPr>
        <w:widowControl w:val="0"/>
        <w:shd w:val="clear" w:color="auto" w:fill="FFFFFF"/>
        <w:autoSpaceDE w:val="0"/>
        <w:autoSpaceDN w:val="0"/>
        <w:adjustRightInd w:val="0"/>
        <w:spacing w:before="67"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24"/>
          <w:szCs w:val="24"/>
          <w:lang w:eastAsia="hr-HR"/>
        </w:rPr>
        <w:lastRenderedPageBreak/>
        <w:t>Ovaj specifični cilj usredotočen je na poboljšanje dostupnosti cestovne TEN-T mreže, čime se osigurava integracija s postojećom sekundarnom i tercijarnom mrežom. Konkretno, ulaganje će biti usmjereno na nadogradnju mreže državnih cesta na mjestima gdje doprinosi uklanjanju cestovnih uskih grla</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Mreža autocesta u Hrvatskoj i TEN-T koridori su dovoljno razvijeni, ali kvaliteta državnih, županijskih i lokalnih cesta usporava lokalni gospodarskih razvoj i pristup jedinstvenom tržištu. 40,8 % državnih cesta je u dobrom ili vrlo dobrom stanju, 22,65 % je u prihvatljivom stanju i 36,6 % je u lošem ili vrlo lošem stanju. Ulaganje u regionalnu povezanost sa sveobuhvatnom i osnovnom TEN-T mrežom osigurat će pogodnosti velikih mreža za urbana i ruralna područja, čime se omogućava bolja povezanost i mobilnost ljudi i dobara diljem Hrvatske i s ostatkom EU-a. Poboljšana dostupnost će pridonijeti teritorijalnoj koheziji i smanjenju regionalnih nerazmjera, čime se regijama i privatnim gospodarskim subjektima u Hrvatskoj omogućava bolja konkurentnost u širem europskom okviru kao i povećano korištenje multimodalnih rješenja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67" w:after="0" w:line="274"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278" w:after="0" w:line="240" w:lineRule="auto"/>
        <w:ind w:left="10"/>
        <w:rPr>
          <w:rFonts w:ascii="Times New Roman" w:eastAsia="Times New Roman" w:hAnsi="Times New Roman" w:cs="Times New Roman"/>
          <w:sz w:val="20"/>
          <w:szCs w:val="20"/>
          <w:lang w:eastAsia="hr-HR"/>
        </w:rPr>
        <w:sectPr w:rsidR="00FC3F35" w:rsidRPr="00576C1D">
          <w:type w:val="continuous"/>
          <w:pgSz w:w="16834" w:h="11909" w:orient="landscape"/>
          <w:pgMar w:top="1169" w:right="820" w:bottom="360" w:left="1178" w:header="720" w:footer="720" w:gutter="0"/>
          <w:cols w:num="2" w:space="720" w:equalWidth="0">
            <w:col w:w="2404" w:space="432"/>
            <w:col w:w="12000"/>
          </w:cols>
          <w:noEndnote/>
        </w:sectPr>
      </w:pPr>
      <w:r w:rsidRPr="00576C1D">
        <w:rPr>
          <w:rFonts w:ascii="Times New Roman" w:eastAsia="Times New Roman" w:hAnsi="Times New Roman" w:cs="Times New Roman"/>
          <w:color w:val="000000"/>
          <w:sz w:val="24"/>
          <w:szCs w:val="24"/>
          <w:lang w:eastAsia="hr-HR"/>
        </w:rPr>
        <w:t xml:space="preserve">Zagušenja u cestovnom prometu sa sobom nose značajne gospodarske, društvene i okolišne troškove te će stoga ovaj </w:t>
      </w:r>
    </w:p>
    <w:p w:rsidR="00FC3F35" w:rsidRPr="00576C1D" w:rsidRDefault="00FC3F35" w:rsidP="00FC3F35">
      <w:pPr>
        <w:widowControl w:val="0"/>
        <w:autoSpaceDE w:val="0"/>
        <w:autoSpaceDN w:val="0"/>
        <w:adjustRightInd w:val="0"/>
        <w:spacing w:before="797"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before="278" w:after="0" w:line="240" w:lineRule="auto"/>
        <w:ind w:left="10"/>
        <w:rPr>
          <w:rFonts w:ascii="Times New Roman" w:eastAsia="Times New Roman" w:hAnsi="Times New Roman" w:cs="Times New Roman"/>
          <w:sz w:val="20"/>
          <w:szCs w:val="20"/>
          <w:lang w:eastAsia="hr-HR"/>
        </w:rPr>
        <w:sectPr w:rsidR="00FC3F35" w:rsidRPr="00576C1D">
          <w:type w:val="continuous"/>
          <w:pgSz w:w="16834" w:h="11909" w:orient="landscape"/>
          <w:pgMar w:top="1169"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54" o:spid="_x0000_s1273" style="position:absolute;z-index:251557376;visibility:visible;mso-position-horizontal-relative:margin" from="25.9pt,-40.3pt" to="782.8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N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" o:allowincell="f" strokeweight=".25pt">
            <w10:wrap anchorx="margin"/>
          </v:line>
        </w:pict>
      </w: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66" w:type="dxa"/>
        <w:tblLayout w:type="fixed"/>
        <w:tblCellMar>
          <w:left w:w="40" w:type="dxa"/>
          <w:right w:w="40" w:type="dxa"/>
        </w:tblCellMar>
        <w:tblLook w:val="0000" w:firstRow="0" w:lastRow="0" w:firstColumn="0" w:lastColumn="0" w:noHBand="0" w:noVBand="0"/>
      </w:tblPr>
      <w:tblGrid>
        <w:gridCol w:w="2693"/>
        <w:gridCol w:w="12030"/>
      </w:tblGrid>
      <w:tr w:rsidR="00FC3F35" w:rsidRPr="00576C1D" w:rsidTr="00024555">
        <w:trPr>
          <w:trHeight w:hRule="exact" w:val="3523"/>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3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left="139" w:righ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specifični cilj biti usmjeren na uklanjanje uskih grla u cestovnim mrežama i smanjenje zagušenja, posebno na trasama prema glavnim urbanim centrima za zapošljavanje, tržištima i multimodalnim čvorovima.</w:t>
            </w:r>
          </w:p>
          <w:p w:rsidR="00FC3F35" w:rsidRPr="00576C1D" w:rsidRDefault="00FC3F35" w:rsidP="00FC3F35">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Opširniji rezultati</w:t>
            </w:r>
          </w:p>
          <w:p w:rsidR="00FC3F35" w:rsidRPr="00576C1D" w:rsidRDefault="00FC3F35" w:rsidP="00FC3F35">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 skladu s pretpostavkama očekuje se da će se postići sljedeći rezultati:</w:t>
            </w:r>
          </w:p>
          <w:p w:rsidR="00FC3F35" w:rsidRPr="00576C1D" w:rsidRDefault="00FC3F35" w:rsidP="00FC3F35">
            <w:pPr>
              <w:widowControl w:val="0"/>
              <w:shd w:val="clear" w:color="auto" w:fill="FFFFFF"/>
              <w:autoSpaceDE w:val="0"/>
              <w:autoSpaceDN w:val="0"/>
              <w:adjustRightInd w:val="0"/>
              <w:spacing w:after="0" w:line="394" w:lineRule="exact"/>
              <w:ind w:left="139" w:righ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    poboljšana dostupnost ključnih cestovnih dionica usko povezanih s TEN-T mrežom i europskim tržištima </w:t>
            </w:r>
            <w:r w:rsidRPr="00576C1D">
              <w:rPr>
                <w:rFonts w:ascii="Times New Roman" w:eastAsia="Times New Roman" w:hAnsi="Times New Roman" w:cs="Times New Roman"/>
                <w:color w:val="000000"/>
                <w:sz w:val="24"/>
                <w:szCs w:val="24"/>
                <w:lang w:eastAsia="hr-HR"/>
              </w:rPr>
              <w:br/>
              <w:t>•    bolja dostupnost hrvatskih tvrtki i građana ključnim europskim prometnim koridorima</w:t>
            </w:r>
            <w:r w:rsidRPr="00576C1D">
              <w:rPr>
                <w:rFonts w:ascii="Times New Roman" w:eastAsia="Times New Roman" w:hAnsi="Times New Roman" w:cs="Times New Roman"/>
                <w:color w:val="000000"/>
                <w:sz w:val="24"/>
                <w:szCs w:val="24"/>
                <w:lang w:eastAsia="hr-HR"/>
              </w:rPr>
              <w:br/>
              <w:t>•    povećana regionalna mobilnost i povezanost s TEN-T čvorovima i koridorima</w:t>
            </w:r>
          </w:p>
        </w:tc>
      </w:tr>
      <w:tr w:rsidR="00FC3F35" w:rsidRPr="00576C1D" w:rsidTr="00024555">
        <w:tc>
          <w:tcPr>
            <w:tcW w:w="269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Oznaka specifičnog cilja</w:t>
            </w:r>
          </w:p>
        </w:tc>
        <w:tc>
          <w:tcPr>
            <w:tcW w:w="1203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7b2</w:t>
            </w:r>
          </w:p>
        </w:tc>
      </w:tr>
      <w:tr w:rsidR="00FC3F35" w:rsidRPr="00576C1D" w:rsidTr="00024555">
        <w:tc>
          <w:tcPr>
            <w:tcW w:w="269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203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Razvoj sigurnosne infrastrukture cestovnog prometa</w:t>
            </w:r>
          </w:p>
        </w:tc>
      </w:tr>
      <w:tr w:rsidR="00FC3F35" w:rsidRPr="00576C1D" w:rsidTr="00024555">
        <w:tc>
          <w:tcPr>
            <w:tcW w:w="2693" w:type="dxa"/>
            <w:tcBorders>
              <w:top w:val="single" w:sz="6" w:space="0" w:color="auto"/>
              <w:left w:val="single" w:sz="6" w:space="0" w:color="auto"/>
              <w:bottom w:val="single" w:sz="4"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Rezultati koje države članice žele postići uz potporu Unije</w:t>
            </w:r>
          </w:p>
        </w:tc>
        <w:tc>
          <w:tcPr>
            <w:tcW w:w="12030" w:type="dxa"/>
            <w:tcBorders>
              <w:top w:val="single" w:sz="6" w:space="0" w:color="auto"/>
              <w:left w:val="single" w:sz="6" w:space="0" w:color="auto"/>
              <w:bottom w:val="single" w:sz="4"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Pozornost će se dati projektima usmjerenima na povećanje razine sigurnosti na cestama.</w:t>
            </w:r>
          </w:p>
          <w:p w:rsidR="00FC3F35" w:rsidRPr="00576C1D" w:rsidRDefault="00FC3F35" w:rsidP="00FC3F35">
            <w:pPr>
              <w:widowControl w:val="0"/>
              <w:shd w:val="clear" w:color="auto" w:fill="FFFFFF"/>
              <w:autoSpaceDE w:val="0"/>
              <w:autoSpaceDN w:val="0"/>
              <w:adjustRightInd w:val="0"/>
              <w:spacing w:after="0" w:line="278" w:lineRule="exact"/>
              <w:ind w:righ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Iako se broj nesreća smanjuje zbog provedbe Nacionalnog programa sigurnosti cestovnog prometa Republike Hrvatske 2011. - 2020.godine, broj smrtnih slučajeva je još uvijek značajno viši od prosjeka Europske unije. Broj smrtno stradalih na milijun stanovnika u Hrvatskoj je: 146 (2001.), 99 (2010.), 86 (2013.); prosjek Europske unije je 62 (2010.), 52 (2013.). Hrvatska je otprilike tri puta lošija od vodećih zemalja Europske unije (Švedska s 28 smrtno stradalih na milijun stanovnika)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after="0" w:line="274" w:lineRule="exact"/>
              <w:ind w:righ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Potpora će biti usmjerena na daljnju provedbu prioriteta Nacionalnog programa sigurnosti cestovnog prometa Republike Hrvatske 2011.-2020.godine. Ovaj je program usklađen s 4. Akcijskim programom za sigurnost cestovnog prometa za razdoblje od 2011. do 2020. godine. Glavni cilj programa je smanjenje smrtno stradalih za 50 % u 2020. godini u odnosu na 2010. godinu.</w:t>
            </w:r>
          </w:p>
          <w:p w:rsidR="00024555" w:rsidRPr="00576C1D" w:rsidRDefault="00FC3F35" w:rsidP="00024555">
            <w:pPr>
              <w:widowControl w:val="0"/>
              <w:numPr>
                <w:ilvl w:val="0"/>
                <w:numId w:val="15"/>
              </w:numPr>
              <w:shd w:val="clear" w:color="auto" w:fill="FFFFFF"/>
              <w:tabs>
                <w:tab w:val="left" w:pos="4061"/>
              </w:tabs>
              <w:autoSpaceDE w:val="0"/>
              <w:autoSpaceDN w:val="0"/>
              <w:adjustRightInd w:val="0"/>
              <w:spacing w:after="0" w:line="394"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 xml:space="preserve">Ovim se programom definiraju tri vrste aktivnosti: </w:t>
            </w:r>
            <w:r w:rsidRPr="00576C1D">
              <w:rPr>
                <w:rFonts w:ascii="Times New Roman" w:eastAsia="Times New Roman" w:hAnsi="Times New Roman" w:cs="Times New Roman"/>
                <w:color w:val="000000"/>
                <w:spacing w:val="-1"/>
                <w:sz w:val="24"/>
                <w:szCs w:val="24"/>
                <w:lang w:eastAsia="hr-HR"/>
              </w:rPr>
              <w:br/>
            </w:r>
            <w:r w:rsidRPr="00576C1D">
              <w:rPr>
                <w:rFonts w:ascii="Times New Roman" w:eastAsia="Times New Roman" w:hAnsi="Times New Roman" w:cs="Times New Roman"/>
                <w:color w:val="000000"/>
                <w:spacing w:val="-2"/>
                <w:sz w:val="24"/>
                <w:szCs w:val="24"/>
                <w:lang w:eastAsia="hr-HR"/>
              </w:rPr>
              <w:t>•    promjena ponašanja osoba u prometu</w:t>
            </w:r>
            <w:r w:rsidR="00024555" w:rsidRPr="00576C1D">
              <w:rPr>
                <w:rFonts w:ascii="Times New Roman" w:eastAsia="Times New Roman" w:hAnsi="Times New Roman" w:cs="Times New Roman"/>
                <w:color w:val="000000"/>
                <w:sz w:val="24"/>
                <w:szCs w:val="24"/>
                <w:lang w:eastAsia="hr-HR"/>
              </w:rPr>
              <w:t>poboljšanje cestovne infrastrukture</w:t>
            </w:r>
          </w:p>
          <w:p w:rsidR="00024555" w:rsidRPr="00576C1D" w:rsidRDefault="00024555" w:rsidP="00024555">
            <w:pPr>
              <w:widowControl w:val="0"/>
              <w:numPr>
                <w:ilvl w:val="0"/>
                <w:numId w:val="15"/>
              </w:numPr>
              <w:shd w:val="clear" w:color="auto" w:fill="FFFFFF"/>
              <w:tabs>
                <w:tab w:val="left" w:pos="4061"/>
              </w:tabs>
              <w:autoSpaceDE w:val="0"/>
              <w:autoSpaceDN w:val="0"/>
              <w:adjustRightInd w:val="0"/>
              <w:spacing w:after="0" w:line="394"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poboljšana sigurnost vozila</w:t>
            </w:r>
          </w:p>
          <w:p w:rsidR="00024555" w:rsidRPr="00576C1D" w:rsidRDefault="00024555" w:rsidP="00024555">
            <w:pPr>
              <w:widowControl w:val="0"/>
              <w:numPr>
                <w:ilvl w:val="0"/>
                <w:numId w:val="15"/>
              </w:numPr>
              <w:shd w:val="clear" w:color="auto" w:fill="FFFFFF"/>
              <w:tabs>
                <w:tab w:val="left" w:pos="4061"/>
              </w:tabs>
              <w:autoSpaceDE w:val="0"/>
              <w:autoSpaceDN w:val="0"/>
              <w:adjustRightInd w:val="0"/>
              <w:spacing w:after="0" w:line="394"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poboljšane hitne medicinske službe i zbrinjavanje nakon nesreće</w:t>
            </w:r>
          </w:p>
          <w:p w:rsidR="00024555" w:rsidRPr="00576C1D" w:rsidRDefault="00024555" w:rsidP="00024555">
            <w:pPr>
              <w:widowControl w:val="0"/>
              <w:shd w:val="clear" w:color="auto" w:fill="FFFFFF"/>
              <w:autoSpaceDE w:val="0"/>
              <w:autoSpaceDN w:val="0"/>
              <w:adjustRightInd w:val="0"/>
              <w:spacing w:before="254" w:after="0" w:line="274" w:lineRule="exact"/>
              <w:ind w:left="3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Ovaj će se specifični cilj usmjeriti na "čvrste" mjere - poboljšanje infrastrukture, budući da se analizom crnih točaka koju su provele Hrvatske ceste d.o.o. 2013. godine identificirala značajna potreba za takvim poboljšanjima. Rekonstrukcija i zaobilaženje tih crnih točaka pomoći će sigurnosti prometa na cestama, , poboljšat će se svijest o situaciji </w:t>
            </w:r>
            <w:r w:rsidRPr="00576C1D">
              <w:rPr>
                <w:rFonts w:ascii="Times New Roman" w:eastAsia="Times New Roman" w:hAnsi="Times New Roman" w:cs="Times New Roman"/>
                <w:color w:val="000000"/>
                <w:sz w:val="24"/>
                <w:szCs w:val="24"/>
                <w:lang w:eastAsia="hr-HR"/>
              </w:rPr>
              <w:lastRenderedPageBreak/>
              <w:t>i smanjit će se vjerojatnost sudara</w:t>
            </w:r>
            <w:r w:rsidRPr="00576C1D">
              <w:rPr>
                <w:rFonts w:ascii="Times New Roman" w:eastAsia="Times New Roman" w:hAnsi="Times New Roman" w:cs="Times New Roman"/>
                <w:color w:val="000000"/>
                <w:spacing w:val="-1"/>
                <w:sz w:val="24"/>
                <w:szCs w:val="24"/>
                <w:lang w:eastAsia="hr-HR"/>
              </w:rPr>
              <w:t>.</w:t>
            </w:r>
          </w:p>
          <w:p w:rsidR="00024555" w:rsidRPr="00576C1D" w:rsidRDefault="00024555" w:rsidP="00024555">
            <w:pPr>
              <w:widowControl w:val="0"/>
              <w:shd w:val="clear" w:color="auto" w:fill="FFFFFF"/>
              <w:autoSpaceDE w:val="0"/>
              <w:autoSpaceDN w:val="0"/>
              <w:adjustRightInd w:val="0"/>
              <w:spacing w:before="278" w:after="0" w:line="274" w:lineRule="exact"/>
              <w:ind w:left="3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Budući da se većina nesreća zbiva u naseljima, kratke zaobilaznice mogu preusmjeriti gust promet kako bi se zaštitilo najranjivije osobe u prometu: pješake i bicikliste. Pješačke i biciklističke staze značajno povećavaju sigurnost cesta i trebaju se primijeniti čak i na regionalnim poveznicama gdje postoji očita potreba za njima</w:t>
            </w:r>
            <w:r w:rsidRPr="00576C1D">
              <w:rPr>
                <w:rFonts w:ascii="Times New Roman" w:eastAsia="Times New Roman" w:hAnsi="Times New Roman" w:cs="Times New Roman"/>
                <w:color w:val="000000"/>
                <w:sz w:val="24"/>
                <w:szCs w:val="24"/>
                <w:lang w:eastAsia="hr-HR"/>
              </w:rPr>
              <w:t>.</w:t>
            </w:r>
          </w:p>
          <w:p w:rsidR="00024555" w:rsidRPr="00576C1D" w:rsidRDefault="00024555" w:rsidP="00024555">
            <w:pPr>
              <w:widowControl w:val="0"/>
              <w:shd w:val="clear" w:color="auto" w:fill="FFFFFF"/>
              <w:autoSpaceDE w:val="0"/>
              <w:autoSpaceDN w:val="0"/>
              <w:adjustRightInd w:val="0"/>
              <w:spacing w:before="58" w:after="0" w:line="552" w:lineRule="exact"/>
              <w:ind w:left="3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Opširniji rezultati</w:t>
            </w:r>
          </w:p>
          <w:p w:rsidR="00024555" w:rsidRPr="00576C1D" w:rsidRDefault="00024555" w:rsidP="00024555">
            <w:pPr>
              <w:widowControl w:val="0"/>
              <w:shd w:val="clear" w:color="auto" w:fill="FFFFFF"/>
              <w:autoSpaceDE w:val="0"/>
              <w:autoSpaceDN w:val="0"/>
              <w:adjustRightInd w:val="0"/>
              <w:spacing w:before="5" w:after="0" w:line="552" w:lineRule="exact"/>
              <w:ind w:left="3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 skladu s pretpostavkama očekuje se da će se postići sljedeći rezultati:</w:t>
            </w:r>
          </w:p>
          <w:p w:rsidR="00024555" w:rsidRPr="00576C1D" w:rsidRDefault="00024555" w:rsidP="00024555">
            <w:pPr>
              <w:widowControl w:val="0"/>
              <w:numPr>
                <w:ilvl w:val="0"/>
                <w:numId w:val="15"/>
              </w:numPr>
              <w:shd w:val="clear" w:color="auto" w:fill="FFFFFF"/>
              <w:tabs>
                <w:tab w:val="left" w:pos="4061"/>
              </w:tabs>
              <w:autoSpaceDE w:val="0"/>
              <w:autoSpaceDN w:val="0"/>
              <w:adjustRightInd w:val="0"/>
              <w:spacing w:after="0" w:line="552"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uklanjanje crnih točaka</w:t>
            </w:r>
          </w:p>
          <w:p w:rsidR="00FC3F35" w:rsidRPr="00576C1D" w:rsidRDefault="00024555" w:rsidP="00024555">
            <w:pPr>
              <w:widowControl w:val="0"/>
              <w:shd w:val="clear" w:color="auto" w:fill="FFFFFF"/>
              <w:autoSpaceDE w:val="0"/>
              <w:autoSpaceDN w:val="0"/>
              <w:adjustRightInd w:val="0"/>
              <w:spacing w:after="0" w:line="557" w:lineRule="exact"/>
              <w:ind w:righ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povećana sigurnost dionica ceste s velikom količinom mješovitog prometa</w:t>
            </w:r>
          </w:p>
        </w:tc>
      </w:tr>
    </w:tbl>
    <w:p w:rsidR="00024555" w:rsidRDefault="0002455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20"/>
                <w:szCs w:val="20"/>
                <w:lang w:eastAsia="hr-HR"/>
              </w:rPr>
              <w:t>7bl - Jačanje regionalne mobilnosti i povezanosti kroz poboljšanje regionalnih cesta i eliminaciju glavnih cestovnih uskih grla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509"/>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8"/>
                <w:sz w:val="14"/>
                <w:szCs w:val="14"/>
                <w:lang w:eastAsia="hr-HR"/>
              </w:rPr>
              <w:t>7bll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 županija s povećanom povezanošću</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3,00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20"/>
                <w:szCs w:val="20"/>
                <w:lang w:eastAsia="hr-HR"/>
              </w:rPr>
              <w:t xml:space="preserve">7b2 - </w:t>
            </w:r>
            <w:r w:rsidRPr="00576C1D">
              <w:rPr>
                <w:rFonts w:ascii="Times New Roman" w:eastAsia="Times New Roman" w:hAnsi="Times New Roman" w:cs="Times New Roman"/>
                <w:sz w:val="20"/>
                <w:szCs w:val="20"/>
                <w:lang w:eastAsia="hr-HR"/>
              </w:rPr>
              <w:t>Razvoj sigurnosne infrastrukture cestovnog prometa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8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7b21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Povećana razina cestovne sigurnosti</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smrtno stradalih na milijun stanovnika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86,00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45,00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Državnizavod za statistiku / Ministarstvo unutarnjih poslova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p>
    <w:p w:rsidR="00FC3F35" w:rsidRPr="00576C1D" w:rsidRDefault="00FC3F35" w:rsidP="00031A6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 xml:space="preserve">2.A.6 Aktivnosti koje će se podržati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Default="00FC3F35" w:rsidP="00FC3F35">
      <w:pPr>
        <w:widowControl w:val="0"/>
        <w:shd w:val="clear" w:color="auto" w:fill="FFFFFF"/>
        <w:autoSpaceDE w:val="0"/>
        <w:autoSpaceDN w:val="0"/>
        <w:adjustRightInd w:val="0"/>
        <w:spacing w:before="504" w:after="0" w:line="278" w:lineRule="exact"/>
        <w:ind w:left="538" w:right="442"/>
        <w:rPr>
          <w:rFonts w:ascii="Times New Roman" w:eastAsia="Times New Roman" w:hAnsi="Times New Roman" w:cs="Times New Roman"/>
          <w:b/>
          <w:bCs/>
          <w:i/>
          <w:iCs/>
          <w:color w:val="000000"/>
          <w:spacing w:val="-2"/>
          <w:sz w:val="24"/>
          <w:szCs w:val="24"/>
          <w:lang w:eastAsia="hr-HR"/>
        </w:rPr>
      </w:pPr>
      <w:r w:rsidRPr="00576C1D">
        <w:rPr>
          <w:rFonts w:ascii="Times New Roman" w:eastAsia="Times New Roman" w:hAnsi="Times New Roman" w:cs="Times New Roman"/>
          <w:b/>
          <w:bCs/>
          <w:i/>
          <w:iCs/>
          <w:color w:val="000000"/>
          <w:spacing w:val="-2"/>
          <w:sz w:val="24"/>
          <w:szCs w:val="24"/>
          <w:lang w:eastAsia="hr-HR"/>
        </w:rPr>
        <w:lastRenderedPageBreak/>
        <w:t>2. A. 6.1 Opis vrste i primjeri aktivnosti koje se podržava i njihov očekivani doprinos specifičnim ciljevima, uključujući, po potrebi, prepoznavanje glavnih ciljnih skupina, specifičnih ciljnih područja i vrsta korisnika</w:t>
      </w:r>
    </w:p>
    <w:tbl>
      <w:tblPr>
        <w:tblStyle w:val="TableGrid"/>
        <w:tblW w:w="0" w:type="auto"/>
        <w:tblLook w:val="04A0" w:firstRow="1" w:lastRow="0" w:firstColumn="1" w:lastColumn="0" w:noHBand="0" w:noVBand="1"/>
      </w:tblPr>
      <w:tblGrid>
        <w:gridCol w:w="1242"/>
        <w:gridCol w:w="14034"/>
      </w:tblGrid>
      <w:tr w:rsidR="00024555" w:rsidRPr="005E763C" w:rsidTr="00024555">
        <w:tc>
          <w:tcPr>
            <w:tcW w:w="1242" w:type="dxa"/>
            <w:vAlign w:val="center"/>
          </w:tcPr>
          <w:p w:rsidR="00024555" w:rsidRPr="00593567" w:rsidRDefault="00024555" w:rsidP="00A552D9">
            <w:pPr>
              <w:widowControl w:val="0"/>
              <w:shd w:val="clear" w:color="auto" w:fill="FFFFFF"/>
              <w:autoSpaceDE w:val="0"/>
              <w:autoSpaceDN w:val="0"/>
              <w:adjustRightInd w:val="0"/>
              <w:rPr>
                <w:rFonts w:ascii="Times New Roman" w:hAnsi="Times New Roman"/>
                <w:sz w:val="24"/>
                <w:szCs w:val="24"/>
              </w:rPr>
            </w:pPr>
            <w:r w:rsidRPr="00576C1D">
              <w:rPr>
                <w:rFonts w:ascii="Times New Roman" w:hAnsi="Times New Roman"/>
                <w:b/>
                <w:bCs/>
                <w:color w:val="000000"/>
                <w:spacing w:val="-1"/>
                <w:sz w:val="18"/>
                <w:szCs w:val="18"/>
              </w:rPr>
              <w:t>Investicijski prioritet</w:t>
            </w:r>
          </w:p>
        </w:tc>
        <w:tc>
          <w:tcPr>
            <w:tcW w:w="14034" w:type="dxa"/>
            <w:vAlign w:val="center"/>
          </w:tcPr>
          <w:p w:rsidR="00024555" w:rsidRPr="00576C1D" w:rsidRDefault="00024555" w:rsidP="00A552D9">
            <w:pPr>
              <w:widowControl w:val="0"/>
              <w:shd w:val="clear" w:color="auto" w:fill="FFFFFF"/>
              <w:autoSpaceDE w:val="0"/>
              <w:autoSpaceDN w:val="0"/>
              <w:adjustRightInd w:val="0"/>
              <w:rPr>
                <w:rFonts w:ascii="Times New Roman" w:hAnsi="Times New Roman"/>
                <w:color w:val="000000"/>
                <w:spacing w:val="-1"/>
                <w:sz w:val="18"/>
                <w:szCs w:val="18"/>
              </w:rPr>
            </w:pPr>
            <w:r w:rsidRPr="001337C6">
              <w:rPr>
                <w:rFonts w:ascii="Times New Roman" w:hAnsi="Times New Roman"/>
                <w:color w:val="000000"/>
                <w:spacing w:val="-1"/>
                <w:sz w:val="18"/>
                <w:szCs w:val="18"/>
              </w:rPr>
              <w:t>7b - Poboljšavanje regionalne mobilnosti povezivanjem sekundarnih i tercijarnih čvorišta s infrastrukturom TEN-T-a, uključujući multimodalna čvorišta</w:t>
            </w:r>
          </w:p>
        </w:tc>
      </w:tr>
      <w:tr w:rsidR="00024555" w:rsidRPr="004C117D" w:rsidTr="00024555">
        <w:tc>
          <w:tcPr>
            <w:tcW w:w="15276" w:type="dxa"/>
            <w:gridSpan w:val="2"/>
            <w:vAlign w:val="center"/>
          </w:tcPr>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SC 7bl:</w:t>
            </w:r>
          </w:p>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w:t>
            </w:r>
            <w:r w:rsidRPr="001337C6">
              <w:rPr>
                <w:rFonts w:ascii="Times New Roman" w:hAnsi="Times New Roman"/>
              </w:rPr>
              <w:tab/>
              <w:t>poboljšanje cestovne mreže (izgradnja ili modernizacija postojeće)</w:t>
            </w:r>
          </w:p>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w:t>
            </w:r>
            <w:r w:rsidRPr="001337C6">
              <w:rPr>
                <w:rFonts w:ascii="Times New Roman" w:hAnsi="Times New Roman"/>
              </w:rPr>
              <w:tab/>
              <w:t>izgradnja infrastrukture kojom će se smanjiti utjecaj na okoliš</w:t>
            </w:r>
          </w:p>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w:t>
            </w:r>
            <w:r w:rsidRPr="001337C6">
              <w:rPr>
                <w:rFonts w:ascii="Times New Roman" w:hAnsi="Times New Roman"/>
              </w:rPr>
              <w:tab/>
              <w:t>priprema projektne dokumentacije</w:t>
            </w:r>
          </w:p>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SC 7b2:</w:t>
            </w:r>
          </w:p>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w:t>
            </w:r>
            <w:r w:rsidRPr="001337C6">
              <w:rPr>
                <w:rFonts w:ascii="Times New Roman" w:hAnsi="Times New Roman"/>
              </w:rPr>
              <w:tab/>
              <w:t>fizička poboljšanja odabranih odjeljaka cestovne mreže (uključujući pješačke i biciklističke staze/trake)</w:t>
            </w:r>
          </w:p>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w:t>
            </w:r>
            <w:r w:rsidRPr="001337C6">
              <w:rPr>
                <w:rFonts w:ascii="Times New Roman" w:hAnsi="Times New Roman"/>
              </w:rPr>
              <w:tab/>
              <w:t>rekonstrukcija cesta malog opsega i na pojedinačnim točkama (uključujući pješačke i biciklističke staze/trake)</w:t>
            </w:r>
          </w:p>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w:t>
            </w:r>
            <w:r w:rsidRPr="001337C6">
              <w:rPr>
                <w:rFonts w:ascii="Times New Roman" w:hAnsi="Times New Roman"/>
              </w:rPr>
              <w:tab/>
              <w:t>poboljšavanje pokrivenosti cesta prometnim znakovima, horizontalnom signalizacijom te njihova poboljšana vidljivost</w:t>
            </w:r>
          </w:p>
          <w:p w:rsidR="00024555" w:rsidRPr="001337C6"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w:t>
            </w:r>
            <w:r w:rsidRPr="001337C6">
              <w:rPr>
                <w:rFonts w:ascii="Times New Roman" w:hAnsi="Times New Roman"/>
              </w:rPr>
              <w:tab/>
              <w:t>priprema projektne dokumentacijeUnutar ovog investicijskog prioriteta, glavni korisnici bit će imenovana tijela nadležna za ceste, ponajviše Hrvatske ceste kao i tijela lokalne vlasti. Također se očekuje da se konzorciji korisnika mogu prijaviti za financiranje.</w:t>
            </w:r>
          </w:p>
          <w:p w:rsidR="00024555" w:rsidRPr="004C117D" w:rsidRDefault="00024555" w:rsidP="00A552D9">
            <w:pPr>
              <w:widowControl w:val="0"/>
              <w:shd w:val="clear" w:color="auto" w:fill="FFFFFF"/>
              <w:autoSpaceDE w:val="0"/>
              <w:autoSpaceDN w:val="0"/>
              <w:adjustRightInd w:val="0"/>
              <w:rPr>
                <w:rFonts w:ascii="Times New Roman" w:hAnsi="Times New Roman"/>
              </w:rPr>
            </w:pPr>
            <w:r w:rsidRPr="001337C6">
              <w:rPr>
                <w:rFonts w:ascii="Times New Roman" w:hAnsi="Times New Roman"/>
              </w:rPr>
              <w:t>Javna intervencija će biti usmjerena na krajnje korisnike cesta.</w:t>
            </w:r>
          </w:p>
        </w:tc>
      </w:tr>
    </w:tbl>
    <w:p w:rsidR="00024555" w:rsidRDefault="00024555" w:rsidP="00FC3F35">
      <w:pPr>
        <w:widowControl w:val="0"/>
        <w:shd w:val="clear" w:color="auto" w:fill="FFFFFF"/>
        <w:autoSpaceDE w:val="0"/>
        <w:autoSpaceDN w:val="0"/>
        <w:adjustRightInd w:val="0"/>
        <w:spacing w:before="504" w:after="0" w:line="278" w:lineRule="exact"/>
        <w:ind w:left="538" w:right="442"/>
        <w:rPr>
          <w:rFonts w:ascii="Times New Roman" w:eastAsia="Times New Roman" w:hAnsi="Times New Roman" w:cs="Times New Roman"/>
          <w:bCs/>
          <w:i/>
          <w:iCs/>
          <w:color w:val="000000"/>
          <w:spacing w:val="-2"/>
          <w:sz w:val="24"/>
          <w:szCs w:val="24"/>
          <w:lang w:eastAsia="hr-HR"/>
        </w:rPr>
      </w:pPr>
    </w:p>
    <w:tbl>
      <w:tblPr>
        <w:tblStyle w:val="TableGrid"/>
        <w:tblW w:w="0" w:type="auto"/>
        <w:tblLook w:val="04A0" w:firstRow="1" w:lastRow="0" w:firstColumn="1" w:lastColumn="0" w:noHBand="0" w:noVBand="1"/>
      </w:tblPr>
      <w:tblGrid>
        <w:gridCol w:w="4531"/>
        <w:gridCol w:w="8193"/>
      </w:tblGrid>
      <w:tr w:rsidR="00D4618F" w:rsidTr="00D4618F">
        <w:tc>
          <w:tcPr>
            <w:tcW w:w="4531" w:type="dxa"/>
          </w:tcPr>
          <w:p w:rsidR="00D4618F" w:rsidRDefault="00D4618F" w:rsidP="00B43B00">
            <w:r w:rsidRPr="00576C1D">
              <w:rPr>
                <w:rFonts w:ascii="Times New Roman" w:hAnsi="Times New Roman"/>
                <w:b/>
                <w:bCs/>
                <w:color w:val="000000"/>
                <w:spacing w:val="-1"/>
                <w:sz w:val="18"/>
                <w:szCs w:val="18"/>
              </w:rPr>
              <w:t>Investicijski prioritet</w:t>
            </w:r>
          </w:p>
        </w:tc>
        <w:tc>
          <w:tcPr>
            <w:tcW w:w="8193" w:type="dxa"/>
          </w:tcPr>
          <w:p w:rsidR="00D4618F" w:rsidRDefault="00D4618F" w:rsidP="00B43B00">
            <w:r w:rsidRPr="00576C1D">
              <w:rPr>
                <w:rFonts w:ascii="Times New Roman" w:hAnsi="Times New Roman"/>
                <w:color w:val="000000"/>
                <w:spacing w:val="-1"/>
                <w:sz w:val="18"/>
                <w:szCs w:val="18"/>
              </w:rPr>
              <w:t>7b - Poboljšavanje regionalne mobilnosti povezivanjem sekundarnih i tercijarnih čvorišta s infrastrukturom TEN-T-a, uključujući multimodalna čvorišta</w:t>
            </w:r>
          </w:p>
        </w:tc>
      </w:tr>
      <w:tr w:rsidR="00D4618F" w:rsidTr="00D4618F">
        <w:tc>
          <w:tcPr>
            <w:tcW w:w="12724" w:type="dxa"/>
            <w:gridSpan w:val="2"/>
          </w:tcPr>
          <w:p w:rsidR="00D4618F" w:rsidRPr="0056089C" w:rsidRDefault="00D4618F" w:rsidP="00B43B00">
            <w:pPr>
              <w:rPr>
                <w:rFonts w:ascii="Times New Roman" w:hAnsi="Times New Roman"/>
              </w:rPr>
            </w:pPr>
            <w:r w:rsidRPr="0056089C">
              <w:rPr>
                <w:rFonts w:ascii="Times New Roman" w:hAnsi="Times New Roman"/>
              </w:rPr>
              <w:t>Mogući korisnici i konačni primatelji</w:t>
            </w:r>
          </w:p>
          <w:p w:rsidR="00D4618F" w:rsidRPr="0056089C" w:rsidRDefault="00D4618F" w:rsidP="00B43B00">
            <w:pPr>
              <w:rPr>
                <w:rFonts w:ascii="Times New Roman" w:hAnsi="Times New Roman"/>
              </w:rPr>
            </w:pPr>
            <w:r w:rsidRPr="0056089C">
              <w:rPr>
                <w:rFonts w:ascii="Times New Roman" w:hAnsi="Times New Roman"/>
              </w:rPr>
              <w:t>Unutar ovog investicijskog prioriteta, glavni korisnici bit će imenovana tijela nadležna za ceste, ponajviše Hrvatske ceste kao i tijela lokalne vlasti. Također se očekuje da se konzorciji korisnika mogu prijaviti za financiranje.</w:t>
            </w:r>
          </w:p>
          <w:p w:rsidR="00D4618F" w:rsidRDefault="00D4618F" w:rsidP="00B43B00">
            <w:r w:rsidRPr="0056089C">
              <w:rPr>
                <w:rFonts w:ascii="Times New Roman" w:hAnsi="Times New Roman"/>
              </w:rPr>
              <w:t>Javna intervencija će biti usmjerena na krajnje korisnike cesta.</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rsidSect="00031A65">
          <w:type w:val="continuous"/>
          <w:pgSz w:w="16834" w:h="11909" w:orient="landscape"/>
          <w:pgMar w:top="1433" w:right="541" w:bottom="360" w:left="540" w:header="720" w:footer="720" w:gutter="0"/>
          <w:cols w:space="6922"/>
          <w:noEndnote/>
        </w:sectPr>
      </w:pPr>
    </w:p>
    <w:p w:rsidR="00FC3F35" w:rsidRPr="00576C1D" w:rsidRDefault="00FC3F35" w:rsidP="00FC3F35">
      <w:pPr>
        <w:widowControl w:val="0"/>
        <w:shd w:val="clear" w:color="auto" w:fill="FFFFFF"/>
        <w:autoSpaceDE w:val="0"/>
        <w:autoSpaceDN w:val="0"/>
        <w:adjustRightInd w:val="0"/>
        <w:spacing w:before="1008" w:after="0" w:line="240" w:lineRule="auto"/>
        <w:ind w:left="5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lastRenderedPageBreak/>
        <w:t>2.A.6.2 Vodeća načela za odabir operacija</w:t>
      </w:r>
    </w:p>
    <w:tbl>
      <w:tblPr>
        <w:tblStyle w:val="TableGrid"/>
        <w:tblW w:w="0" w:type="auto"/>
        <w:tblLook w:val="04A0" w:firstRow="1" w:lastRow="0" w:firstColumn="1" w:lastColumn="0" w:noHBand="0" w:noVBand="1"/>
      </w:tblPr>
      <w:tblGrid>
        <w:gridCol w:w="4531"/>
        <w:gridCol w:w="10603"/>
      </w:tblGrid>
      <w:tr w:rsidR="00D4618F" w:rsidTr="00D4618F">
        <w:tc>
          <w:tcPr>
            <w:tcW w:w="4531" w:type="dxa"/>
          </w:tcPr>
          <w:p w:rsidR="00D4618F" w:rsidRDefault="00D4618F" w:rsidP="00B43B00">
            <w:r w:rsidRPr="00576C1D">
              <w:rPr>
                <w:rFonts w:ascii="Times New Roman" w:hAnsi="Times New Roman"/>
                <w:b/>
                <w:bCs/>
                <w:color w:val="000000"/>
                <w:spacing w:val="-1"/>
                <w:sz w:val="18"/>
                <w:szCs w:val="18"/>
              </w:rPr>
              <w:t>Investicijski prioritet</w:t>
            </w:r>
          </w:p>
        </w:tc>
        <w:tc>
          <w:tcPr>
            <w:tcW w:w="10603" w:type="dxa"/>
          </w:tcPr>
          <w:p w:rsidR="00D4618F" w:rsidRDefault="00D4618F" w:rsidP="00B43B00">
            <w:r w:rsidRPr="0056089C">
              <w:rPr>
                <w:rFonts w:ascii="Times New Roman" w:hAnsi="Times New Roman"/>
                <w:color w:val="000000"/>
                <w:spacing w:val="-1"/>
                <w:sz w:val="18"/>
                <w:szCs w:val="18"/>
              </w:rPr>
              <w:t>7b - Poboljšavanje regionalne mobilnosti povezivanjem sekundarnih i tercijarnih čvorišta s infrastrukturom TEN-T-a, uključujući multimodalna čvorišta</w:t>
            </w:r>
          </w:p>
        </w:tc>
      </w:tr>
      <w:tr w:rsidR="00D4618F" w:rsidTr="00D4618F">
        <w:tc>
          <w:tcPr>
            <w:tcW w:w="15134" w:type="dxa"/>
            <w:gridSpan w:val="2"/>
          </w:tcPr>
          <w:p w:rsidR="00D4618F" w:rsidRPr="0056089C" w:rsidRDefault="00D4618F" w:rsidP="00B43B00">
            <w:pPr>
              <w:rPr>
                <w:rFonts w:ascii="Times New Roman" w:hAnsi="Times New Roman"/>
              </w:rPr>
            </w:pPr>
            <w:r w:rsidRPr="0056089C">
              <w:rPr>
                <w:rFonts w:ascii="Times New Roman" w:hAnsi="Times New Roman"/>
              </w:rPr>
              <w:t>SC 7bl:</w:t>
            </w:r>
          </w:p>
          <w:p w:rsidR="00D4618F" w:rsidRPr="0056089C" w:rsidRDefault="00D4618F" w:rsidP="00B43B00">
            <w:pPr>
              <w:rPr>
                <w:rFonts w:ascii="Times New Roman" w:hAnsi="Times New Roman"/>
              </w:rPr>
            </w:pPr>
            <w:r w:rsidRPr="0056089C">
              <w:rPr>
                <w:rFonts w:ascii="Times New Roman" w:hAnsi="Times New Roman"/>
              </w:rPr>
              <w:t>Svi projekti predloženi za sufinanciranje moraju biti u skladu sa sljedećim načelima:</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projekt mora biti u skladu s pripadajućim sveobuhvatnim prometnim planom koji pripremaju i usvajaju nadležna tijela</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projekt se mora nalaziti izravno na dijelu cesta povezanih s TEN-T mrežom</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projekt mora prikazati bolju povezanost s TEN-T mrežom</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mora imati najmanji mogući negativni utjecaj na  okoliš</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gdje je to god ostvarivo, mora omogućavati integraciju s projektima koji nisu vezani za promet na istim trasama (poput širokopojasne infrastrukture, distribucije vode te otpadnih voda i ostalog).</w:t>
            </w:r>
          </w:p>
          <w:p w:rsidR="00D4618F" w:rsidRDefault="00D4618F" w:rsidP="00B43B00">
            <w:r w:rsidRPr="0056089C">
              <w:rPr>
                <w:rFonts w:ascii="Times New Roman" w:hAnsi="Times New Roman"/>
              </w:rPr>
              <w:t>SC 7b2:</w:t>
            </w:r>
          </w:p>
          <w:p w:rsidR="00D4618F" w:rsidRPr="0056089C" w:rsidRDefault="00D4618F" w:rsidP="00B43B00">
            <w:pPr>
              <w:rPr>
                <w:rFonts w:ascii="Times New Roman" w:hAnsi="Times New Roman"/>
              </w:rPr>
            </w:pPr>
            <w:r w:rsidRPr="0056089C">
              <w:rPr>
                <w:rFonts w:ascii="Times New Roman" w:hAnsi="Times New Roman"/>
              </w:rPr>
              <w:t>Svi projekti predloženi za sufinanciranje moraju biti u skladu sa sljedećim načelima:</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biti na odabranom dijelu cesta s prethodno naznačenim značajnim sigurnosnim problemima (revizije sigurnosti na cesti)</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biti u skladu s Nacionalnim programom sigurnosti cestovnog prometa 2011.-2020.godine i crnim točkama u Hrvatskoj (popisale HC d.o.o, u lipnju 2013.)</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biti proporcionalni svojoj glavnoj svrsi (sigurnost)</w:t>
            </w:r>
          </w:p>
          <w:p w:rsidR="00D4618F" w:rsidRPr="0056089C" w:rsidRDefault="00D4618F" w:rsidP="00B43B00">
            <w:pPr>
              <w:rPr>
                <w:rFonts w:ascii="Times New Roman" w:hAnsi="Times New Roman"/>
              </w:rPr>
            </w:pPr>
            <w:r w:rsidRPr="0056089C">
              <w:rPr>
                <w:rFonts w:ascii="Times New Roman" w:hAnsi="Times New Roman"/>
              </w:rPr>
              <w:t>•</w:t>
            </w:r>
            <w:r w:rsidRPr="0056089C">
              <w:rPr>
                <w:rFonts w:ascii="Times New Roman" w:hAnsi="Times New Roman"/>
              </w:rPr>
              <w:tab/>
              <w:t>ne smiju imati dodatni negativni utjecaj na okoliš, u usporedbi sa stanjem prije projekta</w:t>
            </w:r>
          </w:p>
          <w:p w:rsidR="00D4618F" w:rsidRDefault="00D4618F" w:rsidP="00B43B00">
            <w:r w:rsidRPr="0056089C">
              <w:rPr>
                <w:rFonts w:ascii="Times New Roman" w:hAnsi="Times New Roman"/>
              </w:rPr>
              <w:t>•</w:t>
            </w:r>
            <w:r w:rsidRPr="0056089C">
              <w:rPr>
                <w:rFonts w:ascii="Times New Roman" w:hAnsi="Times New Roman"/>
              </w:rPr>
              <w:tab/>
              <w:t>biti u skladu s Direktivom o sigurnosti cestovne infrastrukture Europske unije</w:t>
            </w:r>
          </w:p>
        </w:tc>
      </w:tr>
    </w:tbl>
    <w:p w:rsidR="007D4EF1" w:rsidRDefault="007D4EF1" w:rsidP="007D4EF1">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i/>
          <w:iCs/>
          <w:color w:val="000000"/>
          <w:spacing w:val="1"/>
          <w:sz w:val="24"/>
          <w:szCs w:val="24"/>
          <w:lang w:eastAsia="hr-HR"/>
        </w:rPr>
      </w:pPr>
    </w:p>
    <w:p w:rsidR="00FC3F35" w:rsidRDefault="00FC3F35" w:rsidP="007D4EF1">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i/>
          <w:iCs/>
          <w:color w:val="000000"/>
          <w:spacing w:val="1"/>
          <w:sz w:val="24"/>
          <w:szCs w:val="24"/>
          <w:lang w:eastAsia="hr-HR"/>
        </w:rPr>
      </w:pPr>
      <w:r w:rsidRPr="00576C1D">
        <w:rPr>
          <w:rFonts w:ascii="Times New Roman" w:eastAsia="Times New Roman" w:hAnsi="Times New Roman" w:cs="Times New Roman"/>
          <w:i/>
          <w:iCs/>
          <w:color w:val="000000"/>
          <w:spacing w:val="1"/>
          <w:sz w:val="24"/>
          <w:szCs w:val="24"/>
          <w:lang w:eastAsia="hr-HR"/>
        </w:rPr>
        <w:t>2.A.6.3 Planirano korištenje financijskih instrumenata (po potrebi)</w:t>
      </w:r>
    </w:p>
    <w:tbl>
      <w:tblPr>
        <w:tblStyle w:val="TableGrid"/>
        <w:tblW w:w="0" w:type="auto"/>
        <w:tblLook w:val="04A0" w:firstRow="1" w:lastRow="0" w:firstColumn="1" w:lastColumn="0" w:noHBand="0" w:noVBand="1"/>
      </w:tblPr>
      <w:tblGrid>
        <w:gridCol w:w="2072"/>
        <w:gridCol w:w="13204"/>
      </w:tblGrid>
      <w:tr w:rsidR="007D4EF1" w:rsidTr="007D4EF1">
        <w:tc>
          <w:tcPr>
            <w:tcW w:w="2072" w:type="dxa"/>
          </w:tcPr>
          <w:p w:rsidR="007D4EF1" w:rsidRDefault="007D4EF1" w:rsidP="007D4EF1">
            <w:r w:rsidRPr="00576C1D">
              <w:rPr>
                <w:rFonts w:ascii="Times New Roman" w:hAnsi="Times New Roman"/>
                <w:b/>
                <w:sz w:val="18"/>
                <w:szCs w:val="18"/>
              </w:rPr>
              <w:t>Investicijski prioritet</w:t>
            </w:r>
          </w:p>
        </w:tc>
        <w:tc>
          <w:tcPr>
            <w:tcW w:w="13204" w:type="dxa"/>
          </w:tcPr>
          <w:p w:rsidR="007D4EF1" w:rsidRPr="00576C1D" w:rsidRDefault="007D4EF1" w:rsidP="007D4EF1">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7b - Poboljšavanje regionalne mobilnosti povezivanjem sekundarnih i tercijarnih čvorišta s infrastrukturom TEN-T-a, uključujući multimodalna čvorišta</w:t>
            </w:r>
          </w:p>
        </w:tc>
      </w:tr>
      <w:tr w:rsidR="007D4EF1" w:rsidTr="007D4EF1">
        <w:trPr>
          <w:trHeight w:val="338"/>
        </w:trPr>
        <w:tc>
          <w:tcPr>
            <w:tcW w:w="15276" w:type="dxa"/>
            <w:gridSpan w:val="2"/>
          </w:tcPr>
          <w:p w:rsidR="007D4EF1" w:rsidRDefault="007D4EF1" w:rsidP="00F37F5D">
            <w:r w:rsidRPr="00576C1D">
              <w:rPr>
                <w:rFonts w:ascii="Times New Roman" w:hAnsi="Times New Roman"/>
              </w:rPr>
              <w:t>Nije primjenjivo</w:t>
            </w:r>
          </w:p>
        </w:tc>
      </w:tr>
    </w:tbl>
    <w:p w:rsidR="007D4EF1" w:rsidRDefault="007D4EF1" w:rsidP="007D4EF1">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i/>
          <w:iCs/>
          <w:color w:val="000000"/>
          <w:spacing w:val="1"/>
          <w:sz w:val="24"/>
          <w:szCs w:val="24"/>
          <w:lang w:eastAsia="hr-HR"/>
        </w:rPr>
      </w:pPr>
    </w:p>
    <w:p w:rsidR="00FC3F35" w:rsidRDefault="00FC3F35" w:rsidP="007D4EF1">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i/>
          <w:iCs/>
          <w:color w:val="000000"/>
          <w:spacing w:val="1"/>
          <w:sz w:val="24"/>
          <w:szCs w:val="24"/>
          <w:lang w:eastAsia="hr-HR"/>
        </w:rPr>
        <w:t xml:space="preserve">2.A.6.Planirano korištenje velikih projekata </w:t>
      </w:r>
      <w:r w:rsidRPr="00576C1D">
        <w:rPr>
          <w:rFonts w:ascii="Times New Roman" w:eastAsia="Times New Roman" w:hAnsi="Times New Roman" w:cs="Times New Roman"/>
          <w:color w:val="000000"/>
          <w:spacing w:val="1"/>
          <w:sz w:val="24"/>
          <w:szCs w:val="24"/>
          <w:lang w:eastAsia="hr-HR"/>
        </w:rPr>
        <w:t>(po potrebi)</w:t>
      </w:r>
    </w:p>
    <w:tbl>
      <w:tblPr>
        <w:tblStyle w:val="TableGrid"/>
        <w:tblW w:w="0" w:type="auto"/>
        <w:tblLook w:val="04A0" w:firstRow="1" w:lastRow="0" w:firstColumn="1" w:lastColumn="0" w:noHBand="0" w:noVBand="1"/>
      </w:tblPr>
      <w:tblGrid>
        <w:gridCol w:w="2072"/>
        <w:gridCol w:w="13204"/>
      </w:tblGrid>
      <w:tr w:rsidR="007D4EF1" w:rsidTr="007D4EF1">
        <w:tc>
          <w:tcPr>
            <w:tcW w:w="2072" w:type="dxa"/>
          </w:tcPr>
          <w:p w:rsidR="007D4EF1" w:rsidRDefault="007D4EF1" w:rsidP="007D4EF1">
            <w:r w:rsidRPr="00576C1D">
              <w:rPr>
                <w:rFonts w:ascii="Times New Roman" w:hAnsi="Times New Roman"/>
                <w:b/>
                <w:sz w:val="18"/>
                <w:szCs w:val="18"/>
              </w:rPr>
              <w:t>Investicijski prioritet</w:t>
            </w:r>
          </w:p>
        </w:tc>
        <w:tc>
          <w:tcPr>
            <w:tcW w:w="13204" w:type="dxa"/>
          </w:tcPr>
          <w:p w:rsidR="007D4EF1" w:rsidRPr="00576C1D" w:rsidRDefault="007D4EF1" w:rsidP="007D4EF1">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7b - Poboljšavanje regionalne mobilnosti povezivanjem sekundarnih i tercijarnih čvorišta s infrastrukturom TEN-T-a, uključujući multimodalna čvorišta</w:t>
            </w:r>
          </w:p>
        </w:tc>
      </w:tr>
      <w:tr w:rsidR="007D4EF1" w:rsidTr="007D4EF1">
        <w:trPr>
          <w:trHeight w:val="1031"/>
        </w:trPr>
        <w:tc>
          <w:tcPr>
            <w:tcW w:w="15276" w:type="dxa"/>
            <w:gridSpan w:val="2"/>
          </w:tcPr>
          <w:p w:rsidR="007D4EF1" w:rsidRPr="00070D1E" w:rsidRDefault="007D4EF1" w:rsidP="007D4EF1">
            <w:pPr>
              <w:rPr>
                <w:rFonts w:ascii="Times New Roman" w:hAnsi="Times New Roman"/>
              </w:rPr>
            </w:pPr>
            <w:r w:rsidRPr="00070D1E">
              <w:rPr>
                <w:rFonts w:ascii="Times New Roman" w:hAnsi="Times New Roman"/>
              </w:rPr>
              <w:t>SC 7bl:</w:t>
            </w:r>
          </w:p>
          <w:p w:rsidR="007D4EF1" w:rsidRPr="00070D1E" w:rsidRDefault="007D4EF1" w:rsidP="007D4EF1">
            <w:pPr>
              <w:rPr>
                <w:rFonts w:ascii="Times New Roman" w:hAnsi="Times New Roman"/>
              </w:rPr>
            </w:pPr>
            <w:r w:rsidRPr="00070D1E">
              <w:rPr>
                <w:rFonts w:ascii="Times New Roman" w:hAnsi="Times New Roman"/>
              </w:rPr>
              <w:t>•</w:t>
            </w:r>
            <w:r w:rsidRPr="00070D1E">
              <w:rPr>
                <w:rFonts w:ascii="Times New Roman" w:hAnsi="Times New Roman"/>
              </w:rPr>
              <w:tab/>
              <w:t>Cesta koja povezuje južnu Dalmaciju</w:t>
            </w:r>
          </w:p>
          <w:p w:rsidR="007D4EF1" w:rsidRPr="00070D1E" w:rsidRDefault="007D4EF1" w:rsidP="007D4EF1">
            <w:pPr>
              <w:rPr>
                <w:rFonts w:ascii="Times New Roman" w:hAnsi="Times New Roman"/>
              </w:rPr>
            </w:pPr>
            <w:r w:rsidRPr="00070D1E">
              <w:rPr>
                <w:rFonts w:ascii="Times New Roman" w:hAnsi="Times New Roman"/>
              </w:rPr>
              <w:t>•</w:t>
            </w:r>
            <w:r w:rsidRPr="00070D1E">
              <w:rPr>
                <w:rFonts w:ascii="Times New Roman" w:hAnsi="Times New Roman"/>
              </w:rPr>
              <w:tab/>
              <w:t>most kod Gradiške</w:t>
            </w:r>
          </w:p>
          <w:p w:rsidR="007D4EF1" w:rsidRDefault="007D4EF1" w:rsidP="007D4EF1">
            <w:pPr>
              <w:rPr>
                <w:rFonts w:ascii="Times New Roman" w:hAnsi="Times New Roman"/>
              </w:rPr>
            </w:pPr>
            <w:r w:rsidRPr="00070D1E">
              <w:rPr>
                <w:rFonts w:ascii="Times New Roman" w:hAnsi="Times New Roman"/>
              </w:rPr>
              <w:t>•</w:t>
            </w:r>
            <w:r w:rsidRPr="00070D1E">
              <w:rPr>
                <w:rFonts w:ascii="Times New Roman" w:hAnsi="Times New Roman"/>
              </w:rPr>
              <w:tab/>
              <w:t>Izgradnja koridora Vc, dionica autoceste Beli Manastir-Osijek</w:t>
            </w:r>
          </w:p>
          <w:p w:rsidR="007D4EF1" w:rsidRDefault="007D4EF1" w:rsidP="007D4EF1">
            <w:pPr>
              <w:widowControl w:val="0"/>
              <w:shd w:val="clear" w:color="auto" w:fill="FFFFFF"/>
              <w:autoSpaceDE w:val="0"/>
              <w:autoSpaceDN w:val="0"/>
              <w:adjustRightInd w:val="0"/>
              <w:rPr>
                <w:rFonts w:ascii="Times New Roman" w:hAnsi="Times New Roman"/>
                <w:color w:val="000000"/>
                <w:spacing w:val="-1"/>
                <w:sz w:val="24"/>
                <w:szCs w:val="24"/>
              </w:rPr>
            </w:pPr>
            <w:r w:rsidRPr="00576C1D">
              <w:rPr>
                <w:rFonts w:ascii="Times New Roman" w:hAnsi="Times New Roman"/>
                <w:color w:val="000000"/>
                <w:spacing w:val="-1"/>
                <w:sz w:val="24"/>
                <w:szCs w:val="24"/>
              </w:rPr>
              <w:t>•</w:t>
            </w:r>
            <w:r>
              <w:rPr>
                <w:rFonts w:ascii="Times New Roman" w:hAnsi="Times New Roman"/>
                <w:color w:val="000000"/>
                <w:spacing w:val="-1"/>
                <w:sz w:val="24"/>
                <w:szCs w:val="24"/>
              </w:rPr>
              <w:tab/>
            </w:r>
            <w:r w:rsidRPr="00576C1D">
              <w:rPr>
                <w:rFonts w:ascii="Times New Roman" w:hAnsi="Times New Roman"/>
                <w:color w:val="000000"/>
                <w:spacing w:val="-1"/>
                <w:sz w:val="24"/>
                <w:szCs w:val="24"/>
              </w:rPr>
              <w:t xml:space="preserve">Treća traka na trasi autoceste Zagreb-Karlovac </w:t>
            </w:r>
          </w:p>
          <w:p w:rsidR="007D4EF1" w:rsidRPr="007D4EF1" w:rsidRDefault="007D4EF1" w:rsidP="007D4EF1">
            <w:pPr>
              <w:pStyle w:val="ListParagraph"/>
              <w:numPr>
                <w:ilvl w:val="0"/>
                <w:numId w:val="15"/>
              </w:numPr>
              <w:shd w:val="clear" w:color="auto" w:fill="FFFFFF"/>
              <w:ind w:hanging="720"/>
              <w:rPr>
                <w:rFonts w:ascii="Times New Roman" w:hAnsi="Times New Roman" w:cs="Times New Roman"/>
                <w:color w:val="000000"/>
                <w:spacing w:val="-1"/>
                <w:sz w:val="24"/>
                <w:szCs w:val="24"/>
              </w:rPr>
            </w:pPr>
            <w:r w:rsidRPr="007D4EF1">
              <w:rPr>
                <w:rFonts w:ascii="Times New Roman" w:hAnsi="Times New Roman" w:cs="Times New Roman"/>
                <w:color w:val="000000"/>
                <w:spacing w:val="-4"/>
                <w:sz w:val="24"/>
                <w:szCs w:val="24"/>
              </w:rPr>
              <w:t>Riječka regija, Rijeka D403</w:t>
            </w:r>
          </w:p>
          <w:p w:rsidR="007D4EF1" w:rsidRDefault="007D4EF1" w:rsidP="007D4EF1">
            <w:pPr>
              <w:widowControl w:val="0"/>
              <w:shd w:val="clear" w:color="auto" w:fill="FFFFFF"/>
              <w:autoSpaceDE w:val="0"/>
              <w:autoSpaceDN w:val="0"/>
              <w:adjustRightInd w:val="0"/>
              <w:rPr>
                <w:rFonts w:ascii="Times New Roman" w:hAnsi="Times New Roman"/>
                <w:color w:val="000000"/>
                <w:spacing w:val="-2"/>
                <w:sz w:val="24"/>
                <w:szCs w:val="24"/>
              </w:rPr>
            </w:pPr>
            <w:r w:rsidRPr="00576C1D">
              <w:rPr>
                <w:rFonts w:ascii="Times New Roman" w:hAnsi="Times New Roman"/>
                <w:color w:val="000000"/>
                <w:spacing w:val="-2"/>
                <w:sz w:val="24"/>
                <w:szCs w:val="24"/>
              </w:rPr>
              <w:t>Moguće je dodati druge velike projekte ovisno o konačnom opsegu pripremanih projekata</w:t>
            </w:r>
          </w:p>
          <w:p w:rsidR="007D4EF1" w:rsidRDefault="007D4EF1" w:rsidP="007D4EF1">
            <w:pPr>
              <w:widowControl w:val="0"/>
              <w:shd w:val="clear" w:color="auto" w:fill="FFFFFF"/>
              <w:autoSpaceDE w:val="0"/>
              <w:autoSpaceDN w:val="0"/>
              <w:adjustRightInd w:val="0"/>
              <w:rPr>
                <w:rFonts w:ascii="Times New Roman" w:hAnsi="Times New Roman"/>
                <w:b/>
                <w:bCs/>
                <w:color w:val="000000"/>
                <w:spacing w:val="-5"/>
                <w:sz w:val="24"/>
                <w:szCs w:val="24"/>
              </w:rPr>
            </w:pPr>
            <w:r w:rsidRPr="00576C1D">
              <w:rPr>
                <w:rFonts w:ascii="Times New Roman" w:hAnsi="Times New Roman"/>
                <w:color w:val="000000"/>
                <w:spacing w:val="-5"/>
                <w:sz w:val="24"/>
                <w:szCs w:val="24"/>
              </w:rPr>
              <w:t xml:space="preserve">SC </w:t>
            </w:r>
            <w:r w:rsidRPr="00576C1D">
              <w:rPr>
                <w:rFonts w:ascii="Times New Roman" w:hAnsi="Times New Roman"/>
                <w:b/>
                <w:bCs/>
                <w:color w:val="000000"/>
                <w:spacing w:val="-5"/>
                <w:sz w:val="24"/>
                <w:szCs w:val="24"/>
              </w:rPr>
              <w:t>7b2</w:t>
            </w:r>
          </w:p>
          <w:p w:rsidR="007D4EF1" w:rsidRPr="00576C1D" w:rsidRDefault="007D4EF1" w:rsidP="007D4EF1">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2"/>
                <w:sz w:val="24"/>
                <w:szCs w:val="24"/>
              </w:rPr>
              <w:t>Nije predviđeno</w:t>
            </w:r>
          </w:p>
          <w:p w:rsidR="007D4EF1" w:rsidRDefault="007D4EF1" w:rsidP="007D4EF1"/>
        </w:tc>
      </w:tr>
    </w:tbl>
    <w:p w:rsidR="00FC3F35" w:rsidRPr="00576C1D" w:rsidRDefault="00FC3F35" w:rsidP="00FC3F35">
      <w:pPr>
        <w:widowControl w:val="0"/>
        <w:shd w:val="clear" w:color="auto" w:fill="FFFFFF"/>
        <w:autoSpaceDE w:val="0"/>
        <w:autoSpaceDN w:val="0"/>
        <w:adjustRightInd w:val="0"/>
        <w:spacing w:before="504"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lastRenderedPageBreak/>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4" w:after="0" w:line="278"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pokazatelji neposrednih rezultata specifični za program </w:t>
      </w:r>
      <w:r w:rsidRPr="00576C1D">
        <w:rPr>
          <w:rFonts w:ascii="Times New Roman" w:eastAsia="Times New Roman" w:hAnsi="Times New Roman" w:cs="Times New Roman"/>
          <w:bCs/>
          <w:color w:val="000000"/>
          <w:spacing w:val="-1"/>
          <w:sz w:val="24"/>
          <w:szCs w:val="24"/>
          <w:lang w:eastAsia="hr-HR"/>
        </w:rPr>
        <w:t>(po investicijskom prioritetu, podijeljeno po kategoriji regije za ESF i, po potrebi, za EFRR)</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7b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color w:val="000000"/>
                <w:spacing w:val="-1"/>
                <w:sz w:val="18"/>
                <w:szCs w:val="18"/>
                <w:lang w:eastAsia="hr-HR"/>
              </w:rPr>
              <w:t>Poboljšavanje regionalne mobilnosti povezivanjem sekundarnih i tercijarnih čvorišta s infrastrukturom TEN-T-a, uključujući multimodalna čvorišta</w:t>
            </w:r>
          </w:p>
        </w:tc>
      </w:tr>
      <w:tr w:rsidR="00FC3F35" w:rsidRPr="00576C1D" w:rsidTr="00FC3F35">
        <w:trPr>
          <w:trHeight w:hRule="exact" w:val="432"/>
        </w:trPr>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80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COO</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4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Ceste: Ukupna duljina novoizgrađenih cesta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km</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53,00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godišnje</w:t>
            </w:r>
          </w:p>
        </w:tc>
      </w:tr>
      <w:tr w:rsidR="00FC3F35" w:rsidRPr="00576C1D" w:rsidTr="00FC3F35">
        <w:trPr>
          <w:trHeight w:hRule="exact" w:val="63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7b22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6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uklonjenih crnih točaka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tbl>
      <w:tblPr>
        <w:tblW w:w="15839" w:type="dxa"/>
        <w:tblInd w:w="40" w:type="dxa"/>
        <w:tblLayout w:type="fixed"/>
        <w:tblCellMar>
          <w:left w:w="40" w:type="dxa"/>
          <w:right w:w="40" w:type="dxa"/>
        </w:tblCellMar>
        <w:tblLook w:val="0000" w:firstRow="0" w:lastRow="0" w:firstColumn="0" w:lastColumn="0" w:noHBand="0" w:noVBand="0"/>
      </w:tblPr>
      <w:tblGrid>
        <w:gridCol w:w="2835"/>
        <w:gridCol w:w="563"/>
        <w:gridCol w:w="368"/>
        <w:gridCol w:w="563"/>
        <w:gridCol w:w="435"/>
        <w:gridCol w:w="563"/>
        <w:gridCol w:w="2739"/>
        <w:gridCol w:w="563"/>
        <w:gridCol w:w="6647"/>
        <w:gridCol w:w="563"/>
      </w:tblGrid>
      <w:tr w:rsidR="00FC3F35" w:rsidRPr="00576C1D" w:rsidTr="00FC3F35">
        <w:trPr>
          <w:trHeight w:hRule="exact" w:val="346"/>
        </w:trPr>
        <w:tc>
          <w:tcPr>
            <w:tcW w:w="3398"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931"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98"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302"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210"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gridAfter w:val="1"/>
          <w:wAfter w:w="563" w:type="dxa"/>
          <w:trHeight w:hRule="exact" w:val="336"/>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931"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7i</w:t>
            </w:r>
          </w:p>
        </w:tc>
        <w:tc>
          <w:tcPr>
            <w:tcW w:w="998"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302"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210"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gridAfter w:val="1"/>
          <w:wAfter w:w="563" w:type="dxa"/>
          <w:trHeight w:hRule="exact" w:val="355"/>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2441"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t>Podupiranje multimodalnog jedinstvenog europskog prometnog prostora ulaganjem u TEN-T</w:t>
            </w:r>
          </w:p>
        </w:tc>
      </w:tr>
    </w:tbl>
    <w:p w:rsidR="00FC3F35" w:rsidRPr="00576C1D" w:rsidRDefault="00FC3F35" w:rsidP="00FC3F35">
      <w:pPr>
        <w:widowControl w:val="0"/>
        <w:shd w:val="clear" w:color="auto" w:fill="FFFFFF"/>
        <w:autoSpaceDE w:val="0"/>
        <w:autoSpaceDN w:val="0"/>
        <w:adjustRightInd w:val="0"/>
        <w:spacing w:before="485"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2442"/>
      </w:tblGrid>
      <w:tr w:rsidR="00FC3F35" w:rsidRPr="00576C1D" w:rsidTr="007D4EF1">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7il</w:t>
            </w:r>
          </w:p>
        </w:tc>
      </w:tr>
      <w:tr w:rsidR="00FC3F35" w:rsidRPr="00576C1D" w:rsidTr="007D4EF1">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Modernizacija ključne TEN-T infrastrukture unutarnjih plovnih putova</w:t>
            </w:r>
          </w:p>
        </w:tc>
      </w:tr>
      <w:tr w:rsidR="00FC3F35" w:rsidRPr="00576C1D" w:rsidTr="007D4EF1">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Rezultati koje države članice žele postići uz potporu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left="134" w:right="19"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Ovaj je specifični cilj usmjeren na dovršetak nedostajućih dijelova infrastrukture i uklanjanje uskih grla u osnovnoj TEN-T mreži unutarnjih plovnih putova (što uključuje koridor Rajna-Dunav osnovne mreže), kako bi se povećala mobilnost i održivost međunarodnog teretnog tranzita kroz Hrvatsku. Povećati će ulogu luka u osnovnoj (tj. Vukovar i Slavonski Brod) i </w:t>
            </w:r>
            <w:r w:rsidRPr="00576C1D">
              <w:rPr>
                <w:rFonts w:ascii="Times New Roman" w:eastAsia="Times New Roman" w:hAnsi="Times New Roman" w:cs="Times New Roman"/>
                <w:color w:val="000000"/>
                <w:sz w:val="24"/>
                <w:szCs w:val="24"/>
                <w:lang w:eastAsia="hr-HR"/>
              </w:rPr>
              <w:lastRenderedPageBreak/>
              <w:t>sveobuhvatnoj TEN-T mreži (tj. Osijek), tako što će ih modernizirati, a poboljšanjem koridora i čvorova unutarnjih plovnih putova TEN-T mreže će se povećati dostupnost i mobilnost tereta kroz Hrvatsku.</w:t>
            </w:r>
          </w:p>
          <w:p w:rsidR="00FC3F35" w:rsidRPr="00576C1D" w:rsidRDefault="00FC3F35" w:rsidP="00FC3F35">
            <w:pPr>
              <w:widowControl w:val="0"/>
              <w:shd w:val="clear" w:color="auto" w:fill="FFFFFF"/>
              <w:autoSpaceDE w:val="0"/>
              <w:autoSpaceDN w:val="0"/>
              <w:adjustRightInd w:val="0"/>
              <w:spacing w:after="0" w:line="274" w:lineRule="exact"/>
              <w:ind w:left="134" w:right="19"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Glavni izazovi u razvoju unutarnjih plovnih putova TEN-T mreže u Hrvatskoj su manjak integracije i promjenjiva tržišna potražnja diljem sustava, te niska razina plovnosti. Mrežu treba na dosljedan i cjelovit način modernizirati kako bi se povećala plovnost koridora; učinkovitost i sigurnost luka unutarnje plovidbe, i razvoj intermodalnih čvorova koji se vežu na druge oblike prijevoza tj. povezanost luka. Tri najrazvijenija unutarnja plovna puta u Hrvatskoj su Dunav, Sava i Drava, s bivšom klasifikacijom VI c vodne trase od međunarodne važnosti. Budući da se Dunavom slobodno plovi i Strategijom prometnog razvoja RH se ne predviđa daljnji razvoj plovnosti Drave nakon Osijeka, fokus je na Savi koja je ograničeno plovna na 380 km od 562 km. Kako bi unutarnji plovni putovi u Hrvatskoj unutar TEN-T mreže iskoristili svoj potencijal i sudjelovali u jedinstvenom europskom prometnom prostoru, statistike za Savu moraju se značajno popraviti. Unutar cjelovitog su pristupa, zacrtanog za čitav sustav, planirane intervencije zajedno s razvojem drugih oblika prijevoza. Stoga je poboljšanje plovnosti na Savi preduvjet drugim ulaganjima na tom plovnom putu. Nadalje, najveći je problem pri razvoju plovnih putova zaštita okoliša. Aktivnosti trebaju biti proporcionalne ostvarivim, realističnim ciljevima i trebaju biti ekološki održive bez velikih negativnih učinaka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Poboljšanjem dostupnosti diljem unutarnjih plovnih putova u TEN-T mreži/koridorima, ovaj će specifični cilj osigurati isplativiji tranzit tereta kroz Hrvatsku, povećanu održivost, smanjenje stakleničkih plinova i doprinijet će stvaranju jedinstvenog europskog prometnog područja.</w:t>
            </w:r>
          </w:p>
        </w:tc>
      </w:tr>
    </w:tbl>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74" w:lineRule="exact"/>
        <w:ind w:left="3485"/>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53" w:after="0" w:line="557" w:lineRule="exact"/>
        <w:ind w:left="3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Opširniji rezultati</w:t>
      </w:r>
    </w:p>
    <w:p w:rsidR="00FC3F35" w:rsidRPr="00576C1D" w:rsidRDefault="00FC3F35" w:rsidP="00FC3F35">
      <w:pPr>
        <w:widowControl w:val="0"/>
        <w:shd w:val="clear" w:color="auto" w:fill="FFFFFF"/>
        <w:autoSpaceDE w:val="0"/>
        <w:autoSpaceDN w:val="0"/>
        <w:adjustRightInd w:val="0"/>
        <w:spacing w:after="0" w:line="557" w:lineRule="exact"/>
        <w:ind w:left="3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 skladu s pretpostavkama očekuje se da će se postići sljedeći rezultati:</w:t>
      </w:r>
    </w:p>
    <w:p w:rsidR="00FC3F35" w:rsidRPr="00576C1D" w:rsidRDefault="00FC3F35" w:rsidP="00FC3F35">
      <w:pPr>
        <w:widowControl w:val="0"/>
        <w:numPr>
          <w:ilvl w:val="0"/>
          <w:numId w:val="15"/>
        </w:numPr>
        <w:shd w:val="clear" w:color="auto" w:fill="FFFFFF"/>
        <w:tabs>
          <w:tab w:val="left" w:pos="4061"/>
        </w:tabs>
        <w:autoSpaceDE w:val="0"/>
        <w:autoSpaceDN w:val="0"/>
        <w:adjustRightInd w:val="0"/>
        <w:spacing w:after="0" w:line="557"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unaprijeđena međunarodna povezanost hrvatskih unutarnjih plovnih putova TEN-T mreže;</w:t>
      </w:r>
    </w:p>
    <w:p w:rsidR="00FC3F35" w:rsidRPr="00576C1D" w:rsidRDefault="00FC3F35" w:rsidP="00FC3F35">
      <w:pPr>
        <w:widowControl w:val="0"/>
        <w:numPr>
          <w:ilvl w:val="0"/>
          <w:numId w:val="15"/>
        </w:numPr>
        <w:shd w:val="clear" w:color="auto" w:fill="FFFFFF"/>
        <w:tabs>
          <w:tab w:val="left" w:pos="4061"/>
        </w:tabs>
        <w:autoSpaceDE w:val="0"/>
        <w:autoSpaceDN w:val="0"/>
        <w:adjustRightInd w:val="0"/>
        <w:spacing w:after="0" w:line="394"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dovršene poveznice koje nedostaju u unutarnjim plovnim putovima TEN-T mreže i sprečavaju kretanje dobara i osoba;</w:t>
      </w:r>
    </w:p>
    <w:p w:rsidR="00FC3F35" w:rsidRPr="00576C1D" w:rsidRDefault="00FC3F35" w:rsidP="00FC3F35">
      <w:pPr>
        <w:widowControl w:val="0"/>
        <w:numPr>
          <w:ilvl w:val="0"/>
          <w:numId w:val="15"/>
        </w:numPr>
        <w:shd w:val="clear" w:color="auto" w:fill="FFFFFF"/>
        <w:tabs>
          <w:tab w:val="left" w:pos="4061"/>
        </w:tabs>
        <w:autoSpaceDE w:val="0"/>
        <w:autoSpaceDN w:val="0"/>
        <w:adjustRightInd w:val="0"/>
        <w:spacing w:after="0" w:line="394"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povećana sposobnost obavljanja nacionalne i međunarodne trgovine ključnih luka unutarnjih plovnih putova TEN-T mreže;</w:t>
      </w:r>
    </w:p>
    <w:p w:rsidR="00FC3F35" w:rsidRPr="00576C1D" w:rsidRDefault="00FC3F35" w:rsidP="00FC3F35">
      <w:pPr>
        <w:widowControl w:val="0"/>
        <w:numPr>
          <w:ilvl w:val="0"/>
          <w:numId w:val="15"/>
        </w:numPr>
        <w:shd w:val="clear" w:color="auto" w:fill="FFFFFF"/>
        <w:tabs>
          <w:tab w:val="left" w:pos="4061"/>
        </w:tabs>
        <w:autoSpaceDE w:val="0"/>
        <w:autoSpaceDN w:val="0"/>
        <w:adjustRightInd w:val="0"/>
        <w:spacing w:after="0" w:line="394"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poboljšana povezanost luka s cestovnom i željezničkom mrežom;</w:t>
      </w:r>
    </w:p>
    <w:p w:rsidR="00FC3F35" w:rsidRPr="00576C1D" w:rsidRDefault="00FC3F35" w:rsidP="00FC3F35">
      <w:pPr>
        <w:widowControl w:val="0"/>
        <w:numPr>
          <w:ilvl w:val="0"/>
          <w:numId w:val="15"/>
        </w:numPr>
        <w:shd w:val="clear" w:color="auto" w:fill="FFFFFF"/>
        <w:tabs>
          <w:tab w:val="left" w:pos="4061"/>
        </w:tabs>
        <w:autoSpaceDE w:val="0"/>
        <w:autoSpaceDN w:val="0"/>
        <w:adjustRightInd w:val="0"/>
        <w:spacing w:after="0" w:line="394" w:lineRule="exact"/>
        <w:ind w:left="37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smanjen utjecaj TEN-T koridora na okoliš; </w:t>
      </w:r>
    </w:p>
    <w:p w:rsidR="007D4EF1" w:rsidRPr="007D4EF1" w:rsidRDefault="00FC3F35" w:rsidP="00F37F5D">
      <w:pPr>
        <w:widowControl w:val="0"/>
        <w:numPr>
          <w:ilvl w:val="0"/>
          <w:numId w:val="15"/>
        </w:numPr>
        <w:shd w:val="clear" w:color="auto" w:fill="FFFFFF"/>
        <w:tabs>
          <w:tab w:val="left" w:pos="4061"/>
        </w:tabs>
        <w:autoSpaceDE w:val="0"/>
        <w:autoSpaceDN w:val="0"/>
        <w:adjustRightInd w:val="0"/>
        <w:spacing w:before="144" w:after="0" w:line="240" w:lineRule="auto"/>
        <w:ind w:left="542"/>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z w:val="24"/>
          <w:szCs w:val="24"/>
          <w:lang w:eastAsia="hr-HR"/>
        </w:rPr>
        <w:t>povećana sigurnost TEN-T infrastrukture.</w:t>
      </w:r>
    </w:p>
    <w:p w:rsidR="007D4EF1" w:rsidRPr="007D4EF1" w:rsidRDefault="007D4EF1" w:rsidP="007D4EF1">
      <w:pPr>
        <w:widowControl w:val="0"/>
        <w:shd w:val="clear" w:color="auto" w:fill="FFFFFF"/>
        <w:tabs>
          <w:tab w:val="left" w:pos="4061"/>
        </w:tabs>
        <w:autoSpaceDE w:val="0"/>
        <w:autoSpaceDN w:val="0"/>
        <w:adjustRightInd w:val="0"/>
        <w:spacing w:before="144" w:after="0" w:line="240" w:lineRule="auto"/>
        <w:ind w:left="542"/>
        <w:rPr>
          <w:rFonts w:ascii="Times New Roman" w:eastAsia="Times New Roman" w:hAnsi="Times New Roman" w:cs="Times New Roman"/>
          <w:sz w:val="20"/>
          <w:szCs w:val="20"/>
          <w:lang w:eastAsia="hr-HR"/>
        </w:rPr>
      </w:pPr>
    </w:p>
    <w:p w:rsidR="00FC3F35" w:rsidRPr="007D4EF1" w:rsidRDefault="00FC3F35" w:rsidP="007D4EF1">
      <w:pPr>
        <w:widowControl w:val="0"/>
        <w:shd w:val="clear" w:color="auto" w:fill="FFFFFF"/>
        <w:tabs>
          <w:tab w:val="left" w:pos="4061"/>
        </w:tabs>
        <w:autoSpaceDE w:val="0"/>
        <w:autoSpaceDN w:val="0"/>
        <w:adjustRightInd w:val="0"/>
        <w:spacing w:before="144" w:after="0" w:line="240" w:lineRule="auto"/>
        <w:ind w:left="542"/>
        <w:rPr>
          <w:rFonts w:ascii="Times New Roman" w:eastAsia="Times New Roman" w:hAnsi="Times New Roman" w:cs="Times New Roman"/>
          <w:sz w:val="20"/>
          <w:szCs w:val="20"/>
          <w:lang w:eastAsia="hr-HR"/>
        </w:rPr>
      </w:pPr>
      <w:r w:rsidRPr="007D4EF1">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7D4EF1">
        <w:rPr>
          <w:rFonts w:ascii="Times New Roman" w:eastAsia="Times New Roman" w:hAnsi="Times New Roman" w:cs="Times New Roman"/>
          <w:bCs/>
          <w:color w:val="000000"/>
          <w:spacing w:val="-1"/>
          <w:sz w:val="24"/>
          <w:szCs w:val="24"/>
          <w:lang w:eastAsia="hr-HR"/>
        </w:rPr>
        <w:t>(za EFRR i Kohezijski Fond)</w:t>
      </w:r>
      <w:r w:rsidRPr="007D4EF1">
        <w:rPr>
          <w:rFonts w:ascii="Times New Roman" w:eastAsia="Times New Roman" w:hAnsi="Times New Roman" w:cs="Times New Roman"/>
          <w:bCs/>
          <w:color w:val="000000"/>
          <w:spacing w:val="-1"/>
          <w:sz w:val="24"/>
          <w:szCs w:val="24"/>
          <w:lang w:eastAsia="hr-HR"/>
        </w:rPr>
        <w:tab/>
      </w:r>
      <w:r w:rsidRPr="007D4EF1">
        <w:rPr>
          <w:rFonts w:ascii="Times New Roman" w:eastAsia="Times New Roman" w:hAnsi="Times New Roman" w:cs="Times New Roman"/>
          <w:bCs/>
          <w:color w:val="000000"/>
          <w:spacing w:val="-1"/>
          <w:sz w:val="24"/>
          <w:szCs w:val="24"/>
          <w:lang w:eastAsia="hr-HR"/>
        </w:rPr>
        <w:tab/>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r w:rsidRPr="00576C1D">
        <w:rPr>
          <w:rFonts w:ascii="Times New Roman" w:eastAsia="Times New Roman" w:hAnsi="Times New Roman" w:cs="Times New Roman"/>
          <w:sz w:val="2"/>
          <w:szCs w:val="2"/>
          <w:lang w:eastAsia="hr-HR"/>
        </w:rPr>
        <w:tab/>
      </w: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20"/>
                <w:szCs w:val="20"/>
                <w:lang w:eastAsia="hr-HR"/>
              </w:rPr>
              <w:t>7il - Modernizacija ključne TEN-T infrastrukture unutarnjih vodnih putova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70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sz w:val="16"/>
                <w:szCs w:val="16"/>
                <w:lang w:eastAsia="hr-HR"/>
              </w:rPr>
              <w:t>7call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Prijevoz tereta unutarnjim plovnim putovima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mil. tona / km</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43,00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8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Državni zavod za statistiku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 xml:space="preserve">2.A.6 Aktivnosti koje će se podržati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Pr="00576C1D" w:rsidRDefault="00C244E3"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pict>
          <v:line id="Line 1960" o:spid="_x0000_s1272" style="position:absolute;left:0;text-align:left;z-index:251785728;visibility:visible;mso-position-horizontal-relative:margin" from="782.9pt,55.65pt" to="782.9pt,3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" o:allowincell="f" strokeweight=".25pt">
            <w10:wrap anchorx="margin"/>
          </v:line>
        </w:pict>
      </w:r>
      <w:r w:rsidR="00FC3F35" w:rsidRPr="00576C1D">
        <w:rPr>
          <w:rFonts w:ascii="Times New Roman" w:eastAsia="Times New Roman" w:hAnsi="Times New Roman" w:cs="Times New Roman"/>
          <w:i/>
          <w:iCs/>
          <w:color w:val="000000"/>
          <w:sz w:val="24"/>
          <w:szCs w:val="24"/>
          <w:lang w:eastAsia="hr-HR"/>
        </w:rPr>
        <w:t>2. A. 6.1 Opis vrste i primjera aktivnosti koje će se podržati i njihov očekivani doprinos specifičnim ciljevima uključujući, po potrebi, prepoznavanje glavnih ciljnih skupina, određenih ciljnih područja i vrsta korisnika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FC3F35" w:rsidRPr="00576C1D">
          <w:pgSz w:w="16834" w:h="11909" w:orient="landscape"/>
          <w:pgMar w:top="1433"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680" o:spid="_x0000_s1271" style="position:absolute;z-index:251561472;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8xFg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Q4ovMR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681" o:spid="_x0000_s1270" style="position:absolute;z-index:251563520;visibility:visible;mso-position-horizontal-relative:margin" from="-5.75pt,-2.65pt" to="-5.7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HOFgIAAC0EAAAOAAAAZHJzL2Uyb0RvYy54bWysU8uu2jAQ3VfqP1jeQxJIuR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682" o:spid="_x0000_s1269" style="position:absolute;z-index:251564544;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7i - Podupiranje multimodalnog jedinstvenog europskog prometnog prostora ulaganjem u TEN-T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433" w:right="5494" w:bottom="360" w:left="1183" w:header="720" w:footer="720" w:gutter="0"/>
          <w:cols w:num="2" w:space="720" w:equalWidth="0">
            <w:col w:w="2078" w:space="264"/>
            <w:col w:w="7815"/>
          </w:cols>
          <w:noEndnote/>
        </w:sectPr>
      </w:pPr>
    </w:p>
    <w:p w:rsidR="00FC3F35" w:rsidRPr="00576C1D" w:rsidRDefault="00C244E3" w:rsidP="00FC3F35">
      <w:pPr>
        <w:widowControl w:val="0"/>
        <w:numPr>
          <w:ilvl w:val="0"/>
          <w:numId w:val="25"/>
        </w:numPr>
        <w:shd w:val="clear" w:color="auto" w:fill="FFFFFF"/>
        <w:autoSpaceDE w:val="0"/>
        <w:autoSpaceDN w:val="0"/>
        <w:adjustRightInd w:val="0"/>
        <w:spacing w:before="192" w:after="0" w:line="274" w:lineRule="exact"/>
        <w:ind w:right="442"/>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pict>
          <v:line id="Line 1683" o:spid="_x0000_s1268" style="position:absolute;left:0;text-align:left;z-index:251805184;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bTFgIAAC4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" o:allowincell="f" strokeweight=".25pt">
            <w10:wrap anchorx="margin"/>
          </v:line>
        </w:pict>
      </w:r>
      <w:r w:rsidR="00FC3F35" w:rsidRPr="00576C1D">
        <w:rPr>
          <w:rFonts w:ascii="Times New Roman" w:eastAsia="Times New Roman" w:hAnsi="Times New Roman" w:cs="Times New Roman"/>
          <w:sz w:val="24"/>
          <w:szCs w:val="24"/>
          <w:lang w:eastAsia="hr-HR"/>
        </w:rPr>
        <w:t>izgradnja ili modernizacija infrastrukture namijenjene operabilnosti luka unutarnjih plovnih putova, uključujući izravan pristup i povezanost s drugim oblicima prijevoza</w:t>
      </w:r>
    </w:p>
    <w:p w:rsidR="00FC3F35" w:rsidRPr="00576C1D" w:rsidRDefault="00FC3F35" w:rsidP="00FC3F35">
      <w:pPr>
        <w:widowControl w:val="0"/>
        <w:numPr>
          <w:ilvl w:val="0"/>
          <w:numId w:val="25"/>
        </w:numPr>
        <w:shd w:val="clear" w:color="auto" w:fill="FFFFFF"/>
        <w:autoSpaceDE w:val="0"/>
        <w:autoSpaceDN w:val="0"/>
        <w:adjustRightInd w:val="0"/>
        <w:spacing w:before="24" w:after="0" w:line="394" w:lineRule="exact"/>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unaprjeđenje plovnosti unutarnjih plovnih putova </w:t>
      </w:r>
    </w:p>
    <w:p w:rsidR="00FC3F35" w:rsidRPr="00576C1D" w:rsidRDefault="00FC3F35" w:rsidP="00FC3F35">
      <w:pPr>
        <w:widowControl w:val="0"/>
        <w:numPr>
          <w:ilvl w:val="0"/>
          <w:numId w:val="25"/>
        </w:numPr>
        <w:shd w:val="clear" w:color="auto" w:fill="FFFFFF"/>
        <w:autoSpaceDE w:val="0"/>
        <w:autoSpaceDN w:val="0"/>
        <w:adjustRightInd w:val="0"/>
        <w:spacing w:after="0" w:line="394" w:lineRule="exact"/>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razvoj riječnih informacijskih sustava na unutarnjim plovnim putovima</w:t>
      </w:r>
    </w:p>
    <w:p w:rsidR="00FC3F35" w:rsidRPr="00576C1D" w:rsidRDefault="00FC3F35" w:rsidP="00FC3F35">
      <w:pPr>
        <w:widowControl w:val="0"/>
        <w:numPr>
          <w:ilvl w:val="0"/>
          <w:numId w:val="25"/>
        </w:numPr>
        <w:shd w:val="clear" w:color="auto" w:fill="FFFFFF"/>
        <w:autoSpaceDE w:val="0"/>
        <w:autoSpaceDN w:val="0"/>
        <w:adjustRightInd w:val="0"/>
        <w:spacing w:after="0" w:line="394" w:lineRule="exact"/>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izgradnja ili osuvremenjivanje infrastrukture čime se smanjuje utjecaj prometa unutarnjim plovnim putovima na okoliš</w:t>
      </w:r>
    </w:p>
    <w:p w:rsidR="00FC3F35" w:rsidRPr="00576C1D" w:rsidRDefault="00FC3F35" w:rsidP="00FC3F35">
      <w:pPr>
        <w:widowControl w:val="0"/>
        <w:numPr>
          <w:ilvl w:val="0"/>
          <w:numId w:val="25"/>
        </w:numPr>
        <w:shd w:val="clear" w:color="auto" w:fill="FFFFFF"/>
        <w:autoSpaceDE w:val="0"/>
        <w:autoSpaceDN w:val="0"/>
        <w:adjustRightInd w:val="0"/>
        <w:spacing w:after="0" w:line="394" w:lineRule="exact"/>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priprema projektne dokumentacije</w:t>
      </w:r>
    </w:p>
    <w:p w:rsidR="00FC3F35" w:rsidRPr="00576C1D" w:rsidRDefault="00FC3F35" w:rsidP="00FC3F35">
      <w:pPr>
        <w:widowControl w:val="0"/>
        <w:shd w:val="clear" w:color="auto" w:fill="FFFFFF"/>
        <w:autoSpaceDE w:val="0"/>
        <w:autoSpaceDN w:val="0"/>
        <w:adjustRightInd w:val="0"/>
        <w:spacing w:before="590" w:after="0" w:line="557"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Korisnici i glavne ciljne skupine:</w:t>
      </w:r>
    </w:p>
    <w:p w:rsidR="00FC3F35" w:rsidRPr="00576C1D" w:rsidRDefault="00FC3F35" w:rsidP="00FC3F35">
      <w:pPr>
        <w:widowControl w:val="0"/>
        <w:shd w:val="clear" w:color="auto" w:fill="FFFFFF"/>
        <w:autoSpaceDE w:val="0"/>
        <w:autoSpaceDN w:val="0"/>
        <w:adjustRightInd w:val="0"/>
        <w:spacing w:after="0" w:line="557"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Unutar ovog specifičnog cilja, glavni će korisnici biti gradske vlasti</w:t>
      </w:r>
    </w:p>
    <w:p w:rsidR="00FC3F35" w:rsidRPr="00576C1D" w:rsidRDefault="00FC3F35" w:rsidP="00FC3F35">
      <w:pPr>
        <w:widowControl w:val="0"/>
        <w:shd w:val="clear" w:color="auto" w:fill="FFFFFF"/>
        <w:autoSpaceDE w:val="0"/>
        <w:autoSpaceDN w:val="0"/>
        <w:adjustRightInd w:val="0"/>
        <w:spacing w:after="0" w:line="557"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Također se očekuje da se konzorciji korisnika mogu prijaviti za financiranje.</w:t>
      </w:r>
    </w:p>
    <w:p w:rsidR="00FC3F35" w:rsidRPr="00576C1D" w:rsidRDefault="00C244E3" w:rsidP="00FC3F35">
      <w:pPr>
        <w:widowControl w:val="0"/>
        <w:shd w:val="clear" w:color="auto" w:fill="FFFFFF"/>
        <w:autoSpaceDE w:val="0"/>
        <w:autoSpaceDN w:val="0"/>
        <w:adjustRightInd w:val="0"/>
        <w:spacing w:after="1781" w:line="557" w:lineRule="exact"/>
        <w:ind w:left="64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684" o:spid="_x0000_s1267" style="position:absolute;left:0;text-align:left;z-index:251565568;visibility:visible;mso-position-horizontal-relative:margin" from="26.4pt,57.45pt" to="782.9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pDFgIAAC0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" o:allowincell="f" strokeweight=".7pt">
            <w10:wrap anchorx="margin"/>
          </v:line>
        </w:pict>
      </w:r>
      <w:r w:rsidR="00FC3F35" w:rsidRPr="00576C1D">
        <w:rPr>
          <w:rFonts w:ascii="Times New Roman" w:eastAsia="Times New Roman" w:hAnsi="Times New Roman" w:cs="Times New Roman"/>
          <w:color w:val="000000"/>
          <w:spacing w:val="-1"/>
          <w:sz w:val="24"/>
          <w:szCs w:val="24"/>
          <w:lang w:eastAsia="hr-HR"/>
        </w:rPr>
        <w:t>Javna intervencija će biti usmjerena na krajnje korisnike, ponajviše opću populaciju.</w:t>
      </w:r>
    </w:p>
    <w:p w:rsidR="00FC3F35" w:rsidRPr="00576C1D" w:rsidRDefault="00FC3F35" w:rsidP="00FC3F35">
      <w:pPr>
        <w:widowControl w:val="0"/>
        <w:shd w:val="clear" w:color="auto" w:fill="FFFFFF"/>
        <w:autoSpaceDE w:val="0"/>
        <w:autoSpaceDN w:val="0"/>
        <w:adjustRightInd w:val="0"/>
        <w:spacing w:after="1781" w:line="557" w:lineRule="exact"/>
        <w:ind w:left="648"/>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1"/>
          <w:sz w:val="24"/>
          <w:szCs w:val="24"/>
          <w:lang w:eastAsia="hr-HR"/>
        </w:rPr>
        <w:lastRenderedPageBreak/>
        <w:t>2.A.6.2 Vodeća načela za odabir operacija</w:t>
      </w:r>
    </w:p>
    <w:tbl>
      <w:tblPr>
        <w:tblStyle w:val="TableGrid"/>
        <w:tblW w:w="0" w:type="auto"/>
        <w:tblLook w:val="04A0" w:firstRow="1" w:lastRow="0" w:firstColumn="1" w:lastColumn="0" w:noHBand="0" w:noVBand="1"/>
      </w:tblPr>
      <w:tblGrid>
        <w:gridCol w:w="7956"/>
        <w:gridCol w:w="8013"/>
      </w:tblGrid>
      <w:tr w:rsidR="00031A65" w:rsidTr="00B43B00">
        <w:tc>
          <w:tcPr>
            <w:tcW w:w="4531" w:type="dxa"/>
          </w:tcPr>
          <w:p w:rsidR="00031A65" w:rsidRDefault="00031A65" w:rsidP="00B43B00">
            <w:r w:rsidRPr="00576C1D">
              <w:rPr>
                <w:rFonts w:ascii="Times New Roman" w:hAnsi="Times New Roman"/>
                <w:b/>
                <w:bCs/>
                <w:color w:val="000000"/>
                <w:spacing w:val="-1"/>
                <w:sz w:val="18"/>
                <w:szCs w:val="18"/>
              </w:rPr>
              <w:t>Investicijski prioritet</w:t>
            </w:r>
          </w:p>
        </w:tc>
        <w:tc>
          <w:tcPr>
            <w:tcW w:w="4531" w:type="dxa"/>
          </w:tcPr>
          <w:p w:rsidR="00031A65" w:rsidRPr="00576C1D" w:rsidRDefault="00031A65" w:rsidP="00B43B00">
            <w:pPr>
              <w:widowControl w:val="0"/>
              <w:shd w:val="clear" w:color="auto" w:fill="FFFFFF"/>
              <w:autoSpaceDE w:val="0"/>
              <w:autoSpaceDN w:val="0"/>
              <w:adjustRightInd w:val="0"/>
              <w:rPr>
                <w:rFonts w:ascii="Times New Roman" w:hAnsi="Times New Roman"/>
              </w:rPr>
            </w:pPr>
            <w:r w:rsidRPr="00576C1D">
              <w:rPr>
                <w:rFonts w:ascii="Times New Roman" w:hAnsi="Times New Roman"/>
              </w:rPr>
              <w:br w:type="column"/>
            </w:r>
            <w:r w:rsidRPr="00576C1D">
              <w:rPr>
                <w:rFonts w:ascii="Times New Roman" w:hAnsi="Times New Roman"/>
                <w:color w:val="000000"/>
                <w:spacing w:val="-1"/>
                <w:sz w:val="18"/>
                <w:szCs w:val="18"/>
              </w:rPr>
              <w:t>7i - Podupiranje multimodalnog jedinstvenog europskog prometnog prostora ulaganjem u TEN-T</w:t>
            </w:r>
          </w:p>
          <w:p w:rsidR="00031A65" w:rsidRDefault="00031A65" w:rsidP="00B43B00"/>
        </w:tc>
      </w:tr>
      <w:tr w:rsidR="00031A65" w:rsidTr="00031A65">
        <w:trPr>
          <w:trHeight w:val="1904"/>
        </w:trPr>
        <w:tc>
          <w:tcPr>
            <w:tcW w:w="0" w:type="auto"/>
            <w:gridSpan w:val="2"/>
          </w:tcPr>
          <w:p w:rsidR="00031A65" w:rsidRDefault="00031A65" w:rsidP="00B43B00">
            <w:r>
              <w:t>Svi projekti predloženi za sufinanciranje moraju biti u skladu sa sljedećim načelima:</w:t>
            </w:r>
          </w:p>
          <w:p w:rsidR="00031A65" w:rsidRDefault="00031A65" w:rsidP="00B43B00">
            <w:r>
              <w:t>•</w:t>
            </w:r>
            <w:r>
              <w:tab/>
              <w:t>projekt mora biti u skladu s pripadajućim sveobuhvatnim prometnim planom koji pripremaju i usvajaju nadležna tijela</w:t>
            </w:r>
          </w:p>
          <w:p w:rsidR="00031A65" w:rsidRDefault="00031A65" w:rsidP="00B43B00">
            <w:r>
              <w:t>•</w:t>
            </w:r>
            <w:r>
              <w:tab/>
              <w:t>mora poštovati EU zakonodavstvo iz područja zaštite okoliša i načela kojima se uređuju područja NATURA 2000, u skladu s Direktivom 2000/60/EZ Europskog parlamenta i Vijeća od 23. listopada 2000. o uspostavi okvira za djelovanje Zajednice u području vodne politike</w:t>
            </w:r>
          </w:p>
          <w:p w:rsidR="00031A65" w:rsidRDefault="00031A65" w:rsidP="00B43B00">
            <w:r>
              <w:t>•</w:t>
            </w:r>
            <w:r>
              <w:tab/>
              <w:t>mora biti smješten na TEN-T mreži ili popunjavati nedostajuće dijelove infrastrukture ili uklanjati uska grla na unutarnjim plovnim putovima TEN-T mreže</w:t>
            </w:r>
          </w:p>
          <w:p w:rsidR="00031A65" w:rsidRDefault="00031A65" w:rsidP="00B43B00">
            <w:r>
              <w:t>•</w:t>
            </w:r>
            <w:r>
              <w:tab/>
              <w:t>mora imati analizu dugoročne potražnje kojom se opravdava planirano korištenje novoizgrađene ili modernizirane infrastrukture luka unutarnje plovidbe</w:t>
            </w:r>
          </w:p>
          <w:p w:rsidR="00031A65" w:rsidRPr="00A502DF" w:rsidRDefault="00031A65" w:rsidP="00B43B00">
            <w:r>
              <w:t>•</w:t>
            </w:r>
            <w:r>
              <w:tab/>
              <w:t>luke na Savi se smiju razvijati tek nakon što započne poboljšanje plovnosti Save</w:t>
            </w:r>
          </w:p>
        </w:tc>
      </w:tr>
    </w:tbl>
    <w:p w:rsidR="00FC3F35" w:rsidRDefault="00FC3F35"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sz w:val="20"/>
          <w:szCs w:val="20"/>
          <w:lang w:eastAsia="hr-HR"/>
        </w:rPr>
      </w:pPr>
    </w:p>
    <w:p w:rsidR="00FC3F35" w:rsidRDefault="00FC3F35" w:rsidP="00FC3F35">
      <w:pPr>
        <w:widowControl w:val="0"/>
        <w:shd w:val="clear" w:color="auto" w:fill="FFFFFF"/>
        <w:autoSpaceDE w:val="0"/>
        <w:autoSpaceDN w:val="0"/>
        <w:adjustRightInd w:val="0"/>
        <w:spacing w:before="984" w:after="182" w:line="240" w:lineRule="auto"/>
        <w:ind w:left="533"/>
        <w:rPr>
          <w:rFonts w:ascii="Times New Roman" w:eastAsia="Times New Roman" w:hAnsi="Times New Roman" w:cs="Times New Roman"/>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2.A.6.3 Planirano korištenje financijskih instrumenata </w:t>
      </w:r>
      <w:r w:rsidRPr="00576C1D">
        <w:rPr>
          <w:rFonts w:ascii="Times New Roman" w:eastAsia="Times New Roman" w:hAnsi="Times New Roman" w:cs="Times New Roman"/>
          <w:bCs/>
          <w:i/>
          <w:iCs/>
          <w:color w:val="000000"/>
          <w:spacing w:val="-1"/>
          <w:sz w:val="24"/>
          <w:szCs w:val="24"/>
          <w:lang w:eastAsia="hr-HR"/>
        </w:rPr>
        <w:t>(po potrebi)</w:t>
      </w:r>
    </w:p>
    <w:tbl>
      <w:tblPr>
        <w:tblStyle w:val="TableGrid"/>
        <w:tblW w:w="15984" w:type="dxa"/>
        <w:tblLook w:val="04A0" w:firstRow="1" w:lastRow="0" w:firstColumn="1" w:lastColumn="0" w:noHBand="0" w:noVBand="1"/>
      </w:tblPr>
      <w:tblGrid>
        <w:gridCol w:w="4471"/>
        <w:gridCol w:w="11513"/>
      </w:tblGrid>
      <w:tr w:rsidR="00031A65" w:rsidTr="00031A65">
        <w:tc>
          <w:tcPr>
            <w:tcW w:w="4471" w:type="dxa"/>
          </w:tcPr>
          <w:p w:rsidR="00031A65" w:rsidRDefault="00031A65" w:rsidP="00B43B00">
            <w:r w:rsidRPr="00576C1D">
              <w:rPr>
                <w:rFonts w:ascii="Times New Roman" w:hAnsi="Times New Roman"/>
                <w:b/>
                <w:bCs/>
                <w:color w:val="000000"/>
                <w:spacing w:val="-1"/>
                <w:sz w:val="18"/>
                <w:szCs w:val="18"/>
              </w:rPr>
              <w:t>Investicijski prioritet</w:t>
            </w:r>
          </w:p>
        </w:tc>
        <w:tc>
          <w:tcPr>
            <w:tcW w:w="11513" w:type="dxa"/>
          </w:tcPr>
          <w:p w:rsidR="00031A65" w:rsidRPr="00576C1D" w:rsidRDefault="00031A65" w:rsidP="00B43B00">
            <w:pPr>
              <w:widowControl w:val="0"/>
              <w:shd w:val="clear" w:color="auto" w:fill="FFFFFF"/>
              <w:autoSpaceDE w:val="0"/>
              <w:autoSpaceDN w:val="0"/>
              <w:adjustRightInd w:val="0"/>
              <w:rPr>
                <w:rFonts w:ascii="Times New Roman" w:hAnsi="Times New Roman"/>
              </w:rPr>
            </w:pPr>
            <w:r w:rsidRPr="00576C1D">
              <w:rPr>
                <w:rFonts w:ascii="Times New Roman" w:hAnsi="Times New Roman"/>
              </w:rPr>
              <w:br w:type="column"/>
            </w:r>
            <w:r w:rsidRPr="00576C1D">
              <w:rPr>
                <w:rFonts w:ascii="Times New Roman" w:hAnsi="Times New Roman"/>
                <w:color w:val="000000"/>
                <w:spacing w:val="-1"/>
                <w:sz w:val="18"/>
                <w:szCs w:val="18"/>
              </w:rPr>
              <w:t>7i - Podupiranje multimodalnog jedinstvenog europskog prometnog prostora ulaganjem u TEN-T</w:t>
            </w:r>
          </w:p>
          <w:p w:rsidR="00031A65" w:rsidRDefault="00031A65" w:rsidP="00B43B00"/>
        </w:tc>
      </w:tr>
      <w:tr w:rsidR="00031A65" w:rsidTr="00031A65">
        <w:trPr>
          <w:trHeight w:val="401"/>
        </w:trPr>
        <w:tc>
          <w:tcPr>
            <w:tcW w:w="15984" w:type="dxa"/>
            <w:gridSpan w:val="2"/>
          </w:tcPr>
          <w:p w:rsidR="00031A65" w:rsidRDefault="00031A65" w:rsidP="00B43B00">
            <w:r w:rsidRPr="00026684">
              <w:rPr>
                <w:rFonts w:ascii="Times New Roman" w:hAnsi="Times New Roman"/>
              </w:rPr>
              <w:t>Nije primjenjivo</w:t>
            </w:r>
          </w:p>
        </w:tc>
      </w:tr>
    </w:tbl>
    <w:p w:rsidR="00FC3F35" w:rsidRDefault="00FC3F35"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bCs/>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2.A.6.4 Planirano korištenje velikih projekata </w:t>
      </w:r>
      <w:r w:rsidRPr="00576C1D">
        <w:rPr>
          <w:rFonts w:ascii="Times New Roman" w:eastAsia="Times New Roman" w:hAnsi="Times New Roman" w:cs="Times New Roman"/>
          <w:bCs/>
          <w:i/>
          <w:iCs/>
          <w:color w:val="000000"/>
          <w:spacing w:val="-1"/>
          <w:sz w:val="24"/>
          <w:szCs w:val="24"/>
          <w:lang w:eastAsia="hr-HR"/>
        </w:rPr>
        <w:t>(po potrebi)</w:t>
      </w:r>
    </w:p>
    <w:tbl>
      <w:tblPr>
        <w:tblStyle w:val="TableGrid"/>
        <w:tblW w:w="15984" w:type="dxa"/>
        <w:tblLook w:val="04A0" w:firstRow="1" w:lastRow="0" w:firstColumn="1" w:lastColumn="0" w:noHBand="0" w:noVBand="1"/>
      </w:tblPr>
      <w:tblGrid>
        <w:gridCol w:w="4471"/>
        <w:gridCol w:w="11513"/>
      </w:tblGrid>
      <w:tr w:rsidR="00031A65" w:rsidTr="00031A65">
        <w:tc>
          <w:tcPr>
            <w:tcW w:w="4471" w:type="dxa"/>
          </w:tcPr>
          <w:p w:rsidR="00031A65" w:rsidRDefault="00031A65" w:rsidP="00B43B00">
            <w:r w:rsidRPr="00576C1D">
              <w:rPr>
                <w:rFonts w:ascii="Times New Roman" w:hAnsi="Times New Roman"/>
                <w:b/>
                <w:bCs/>
                <w:color w:val="000000"/>
                <w:spacing w:val="-1"/>
                <w:sz w:val="18"/>
                <w:szCs w:val="18"/>
              </w:rPr>
              <w:t>Investicijski prioritet</w:t>
            </w:r>
          </w:p>
        </w:tc>
        <w:tc>
          <w:tcPr>
            <w:tcW w:w="11513" w:type="dxa"/>
          </w:tcPr>
          <w:p w:rsidR="00031A65" w:rsidRPr="00576C1D" w:rsidRDefault="00031A65" w:rsidP="00B43B00">
            <w:pPr>
              <w:widowControl w:val="0"/>
              <w:shd w:val="clear" w:color="auto" w:fill="FFFFFF"/>
              <w:autoSpaceDE w:val="0"/>
              <w:autoSpaceDN w:val="0"/>
              <w:adjustRightInd w:val="0"/>
              <w:rPr>
                <w:rFonts w:ascii="Times New Roman" w:hAnsi="Times New Roman"/>
              </w:rPr>
            </w:pPr>
            <w:r w:rsidRPr="00576C1D">
              <w:rPr>
                <w:rFonts w:ascii="Times New Roman" w:hAnsi="Times New Roman"/>
              </w:rPr>
              <w:br w:type="column"/>
            </w:r>
            <w:r w:rsidRPr="00576C1D">
              <w:rPr>
                <w:rFonts w:ascii="Times New Roman" w:hAnsi="Times New Roman"/>
                <w:color w:val="000000"/>
                <w:spacing w:val="-1"/>
                <w:sz w:val="18"/>
                <w:szCs w:val="18"/>
              </w:rPr>
              <w:t>7i - Podupiranje multimodalnog jedinstvenog europskog prometnog prostora ulaganjem u TEN-T</w:t>
            </w:r>
          </w:p>
          <w:p w:rsidR="00031A65" w:rsidRDefault="00031A65" w:rsidP="00B43B00"/>
        </w:tc>
      </w:tr>
      <w:tr w:rsidR="00031A65" w:rsidTr="00031A65">
        <w:trPr>
          <w:trHeight w:val="435"/>
        </w:trPr>
        <w:tc>
          <w:tcPr>
            <w:tcW w:w="15984" w:type="dxa"/>
            <w:gridSpan w:val="2"/>
          </w:tcPr>
          <w:p w:rsidR="00031A65" w:rsidRDefault="00031A65" w:rsidP="00B43B00">
            <w:r w:rsidRPr="00026684">
              <w:rPr>
                <w:rFonts w:ascii="Times New Roman" w:hAnsi="Times New Roman"/>
              </w:rPr>
              <w:t>Nije primjenjivo</w:t>
            </w:r>
          </w:p>
        </w:tc>
      </w:tr>
    </w:tbl>
    <w:p w:rsidR="00031A65" w:rsidRDefault="00031A6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i/>
          <w:iCs/>
          <w:color w:val="000000"/>
          <w:sz w:val="24"/>
          <w:szCs w:val="24"/>
          <w:lang w:eastAsia="hr-HR"/>
        </w:rPr>
      </w:pPr>
    </w:p>
    <w:p w:rsidR="00031A65" w:rsidRDefault="00031A65">
      <w:pPr>
        <w:rPr>
          <w:rFonts w:ascii="Times New Roman" w:eastAsia="Times New Roman" w:hAnsi="Times New Roman" w:cs="Times New Roman"/>
          <w:b/>
          <w:bCs/>
          <w:i/>
          <w:iCs/>
          <w:color w:val="000000"/>
          <w:sz w:val="24"/>
          <w:szCs w:val="24"/>
          <w:lang w:eastAsia="hr-HR"/>
        </w:rPr>
      </w:pPr>
      <w:r>
        <w:rPr>
          <w:rFonts w:ascii="Times New Roman" w:eastAsia="Times New Roman" w:hAnsi="Times New Roman" w:cs="Times New Roman"/>
          <w:b/>
          <w:bCs/>
          <w:i/>
          <w:iCs/>
          <w:color w:val="000000"/>
          <w:sz w:val="24"/>
          <w:szCs w:val="24"/>
          <w:lang w:eastAsia="hr-HR"/>
        </w:rPr>
        <w:br w:type="page"/>
      </w: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lastRenderedPageBreak/>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pokazatelji neposrednih rezultata specifični za program </w:t>
      </w:r>
      <w:r w:rsidRPr="00576C1D">
        <w:rPr>
          <w:rFonts w:ascii="Times New Roman" w:eastAsia="Times New Roman" w:hAnsi="Times New Roman" w:cs="Times New Roman"/>
          <w:bCs/>
          <w:color w:val="000000"/>
          <w:spacing w:val="-1"/>
          <w:sz w:val="24"/>
          <w:szCs w:val="24"/>
          <w:lang w:eastAsia="hr-HR"/>
        </w:rPr>
        <w:t>(po investicijskom prioritetu, podijeljeno po kategoriji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02"/>
        <w:gridCol w:w="1373"/>
        <w:gridCol w:w="1555"/>
        <w:gridCol w:w="1565"/>
        <w:gridCol w:w="2554"/>
        <w:gridCol w:w="1555"/>
        <w:gridCol w:w="1555"/>
        <w:gridCol w:w="1565"/>
        <w:gridCol w:w="1277"/>
        <w:gridCol w:w="1238"/>
      </w:tblGrid>
      <w:tr w:rsidR="00FC3F35" w:rsidRPr="00576C1D" w:rsidTr="00FC3F35">
        <w:trPr>
          <w:trHeight w:hRule="exact" w:val="442"/>
        </w:trPr>
        <w:tc>
          <w:tcPr>
            <w:tcW w:w="227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7i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color w:val="000000"/>
                <w:spacing w:val="-1"/>
                <w:sz w:val="16"/>
                <w:szCs w:val="18"/>
                <w:lang w:eastAsia="hr-HR"/>
              </w:rPr>
              <w:t>Podupiranje multimodalnog jedinstvenog europskog prometnog prostora ulaganjem u TEN-T</w:t>
            </w:r>
          </w:p>
        </w:tc>
      </w:tr>
      <w:tr w:rsidR="00FC3F35" w:rsidRPr="00576C1D" w:rsidTr="00FC3F35">
        <w:trPr>
          <w:trHeight w:hRule="exact" w:val="442"/>
        </w:trPr>
        <w:tc>
          <w:tcPr>
            <w:tcW w:w="90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prikladno)</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1354"/>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CO16</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Unutarnji plovni putovi: Ukupna duljina poboljšanih ili izrađenih unutarnjih plovnih putova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km</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380,00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godišnje</w:t>
            </w:r>
          </w:p>
        </w:tc>
      </w:tr>
      <w:tr w:rsidR="00FC3F35" w:rsidRPr="00576C1D" w:rsidTr="00FC3F35">
        <w:trPr>
          <w:trHeight w:hRule="exact" w:val="634"/>
        </w:trPr>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7cal2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01"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Broj poboljšanih luka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b/>
          <w:bCs/>
          <w:color w:val="000000"/>
          <w:spacing w:val="-2"/>
          <w:sz w:val="24"/>
          <w:szCs w:val="24"/>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bl>
      <w:tblPr>
        <w:tblW w:w="0" w:type="auto"/>
        <w:tblInd w:w="40" w:type="dxa"/>
        <w:tblLayout w:type="fixed"/>
        <w:tblCellMar>
          <w:left w:w="40" w:type="dxa"/>
          <w:right w:w="40" w:type="dxa"/>
        </w:tblCellMar>
        <w:tblLook w:val="0000" w:firstRow="0" w:lastRow="0" w:firstColumn="0" w:lastColumn="0" w:noHBand="0" w:noVBand="0"/>
      </w:tblPr>
      <w:tblGrid>
        <w:gridCol w:w="2707"/>
        <w:gridCol w:w="12442"/>
      </w:tblGrid>
      <w:tr w:rsidR="00706475" w:rsidRPr="00576C1D" w:rsidTr="00B43B00">
        <w:trPr>
          <w:trHeight w:hRule="exact" w:val="314"/>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706475" w:rsidRPr="00576C1D" w:rsidRDefault="00706475" w:rsidP="00B43B00">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18"/>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706475" w:rsidRPr="00576C1D" w:rsidRDefault="00706475" w:rsidP="00B43B00">
            <w:pPr>
              <w:widowControl w:val="0"/>
              <w:shd w:val="clear" w:color="auto" w:fill="FFFFFF"/>
              <w:autoSpaceDE w:val="0"/>
              <w:autoSpaceDN w:val="0"/>
              <w:adjustRightInd w:val="0"/>
              <w:spacing w:after="0" w:line="274" w:lineRule="exact"/>
              <w:ind w:left="134" w:right="144"/>
              <w:rPr>
                <w:rFonts w:ascii="Times New Roman" w:eastAsia="Times New Roman" w:hAnsi="Times New Roman" w:cs="Times New Roman"/>
                <w:color w:val="000000"/>
                <w:sz w:val="24"/>
                <w:szCs w:val="24"/>
                <w:lang w:eastAsia="hr-HR"/>
              </w:rPr>
            </w:pPr>
          </w:p>
        </w:tc>
      </w:tr>
      <w:tr w:rsidR="00706475" w:rsidRPr="00576C1D" w:rsidTr="00B43B00">
        <w:trPr>
          <w:trHeight w:hRule="exact" w:val="418"/>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706475" w:rsidRPr="00576C1D" w:rsidRDefault="00706475" w:rsidP="00B43B00">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18"/>
                <w:szCs w:val="20"/>
                <w:lang w:eastAsia="hr-HR"/>
              </w:rPr>
            </w:pPr>
            <w:r w:rsidRPr="00576C1D">
              <w:rPr>
                <w:rFonts w:ascii="Times New Roman" w:eastAsia="Times New Roman" w:hAnsi="Times New Roman" w:cs="Times New Roman"/>
                <w:b/>
                <w:bCs/>
                <w:color w:val="000000"/>
                <w:spacing w:val="-1"/>
                <w:sz w:val="18"/>
                <w:szCs w:val="18"/>
                <w:lang w:eastAsia="hr-HR"/>
              </w:rPr>
              <w:t>Naziv investicijskog prioriteta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706475" w:rsidRPr="00576C1D" w:rsidRDefault="00706475" w:rsidP="0070647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Razvoj i unapređenje prometnih sustava prihvatljivih za okoliš (uključujući one s niskom razinom buke), i prometni sustavi sa niskim emisijama CO2, uključujući unutarnje plovne putove i pomorski prijevoz, luke, multimodalne veze i aerodromsku infrastrukturu, radi promicanja održive regionalne i lokalne mobilnosti</w:t>
            </w:r>
          </w:p>
          <w:p w:rsidR="00706475" w:rsidRPr="00576C1D" w:rsidRDefault="00706475" w:rsidP="00B43B00">
            <w:pPr>
              <w:widowControl w:val="0"/>
              <w:shd w:val="clear" w:color="auto" w:fill="FFFFFF"/>
              <w:autoSpaceDE w:val="0"/>
              <w:autoSpaceDN w:val="0"/>
              <w:adjustRightInd w:val="0"/>
              <w:spacing w:after="0" w:line="274" w:lineRule="exact"/>
              <w:ind w:left="134" w:right="144"/>
              <w:rPr>
                <w:rFonts w:ascii="Times New Roman" w:eastAsia="Times New Roman" w:hAnsi="Times New Roman" w:cs="Times New Roman"/>
                <w:color w:val="000000"/>
                <w:sz w:val="24"/>
                <w:szCs w:val="24"/>
                <w:lang w:eastAsia="hr-HR"/>
              </w:rPr>
            </w:pPr>
          </w:p>
        </w:tc>
      </w:tr>
    </w:tbl>
    <w:p w:rsidR="00FC3F35" w:rsidRPr="00576C1D" w:rsidRDefault="00FC3F35" w:rsidP="00FC3F35">
      <w:pPr>
        <w:widowControl w:val="0"/>
        <w:shd w:val="clear" w:color="auto" w:fill="FFFFFF"/>
        <w:autoSpaceDE w:val="0"/>
        <w:autoSpaceDN w:val="0"/>
        <w:adjustRightInd w:val="0"/>
        <w:spacing w:before="566"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tbl>
      <w:tblPr>
        <w:tblW w:w="0" w:type="auto"/>
        <w:tblInd w:w="40" w:type="dxa"/>
        <w:tblLayout w:type="fixed"/>
        <w:tblCellMar>
          <w:left w:w="40" w:type="dxa"/>
          <w:right w:w="40" w:type="dxa"/>
        </w:tblCellMar>
        <w:tblLook w:val="0000" w:firstRow="0" w:lastRow="0" w:firstColumn="0" w:lastColumn="0" w:noHBand="0" w:noVBand="0"/>
      </w:tblPr>
      <w:tblGrid>
        <w:gridCol w:w="2707"/>
        <w:gridCol w:w="12442"/>
      </w:tblGrid>
      <w:tr w:rsidR="00031A6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031A65" w:rsidRPr="007D4EF1" w:rsidRDefault="0070647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7D4EF1">
              <w:rPr>
                <w:rFonts w:ascii="Times New Roman" w:eastAsia="Times New Roman" w:hAnsi="Times New Roman" w:cs="Times New Roman"/>
                <w:b/>
                <w:bCs/>
                <w:color w:val="000000"/>
                <w:sz w:val="20"/>
                <w:szCs w:val="20"/>
                <w:lang w:eastAsia="hr-HR"/>
              </w:rPr>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031A65" w:rsidRPr="007D4EF1" w:rsidRDefault="00031A65" w:rsidP="00FC3F35">
            <w:pPr>
              <w:widowControl w:val="0"/>
              <w:shd w:val="clear" w:color="auto" w:fill="FFFFFF"/>
              <w:autoSpaceDE w:val="0"/>
              <w:autoSpaceDN w:val="0"/>
              <w:adjustRightInd w:val="0"/>
              <w:spacing w:after="0" w:line="274" w:lineRule="exact"/>
              <w:ind w:left="134" w:right="144"/>
              <w:rPr>
                <w:rFonts w:ascii="Times New Roman" w:eastAsia="Times New Roman" w:hAnsi="Times New Roman" w:cs="Times New Roman"/>
                <w:color w:val="000000"/>
                <w:sz w:val="20"/>
                <w:szCs w:val="20"/>
                <w:lang w:eastAsia="hr-HR"/>
              </w:rPr>
            </w:pPr>
          </w:p>
        </w:tc>
      </w:tr>
      <w:tr w:rsidR="00031A6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031A65" w:rsidRPr="007D4EF1" w:rsidRDefault="0070647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r w:rsidRPr="007D4EF1">
              <w:rPr>
                <w:rFonts w:ascii="Times New Roman" w:eastAsia="Times New Roman" w:hAnsi="Times New Roman" w:cs="Times New Roman"/>
                <w:b/>
                <w:bCs/>
                <w:color w:val="000000"/>
                <w:sz w:val="20"/>
                <w:szCs w:val="20"/>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031A65" w:rsidRPr="007D4EF1" w:rsidRDefault="00706475" w:rsidP="00FC3F35">
            <w:pPr>
              <w:widowControl w:val="0"/>
              <w:shd w:val="clear" w:color="auto" w:fill="FFFFFF"/>
              <w:autoSpaceDE w:val="0"/>
              <w:autoSpaceDN w:val="0"/>
              <w:adjustRightInd w:val="0"/>
              <w:spacing w:after="0" w:line="274" w:lineRule="exact"/>
              <w:ind w:left="134" w:right="144"/>
              <w:rPr>
                <w:rFonts w:ascii="Times New Roman" w:eastAsia="Times New Roman" w:hAnsi="Times New Roman" w:cs="Times New Roman"/>
                <w:color w:val="000000"/>
                <w:sz w:val="20"/>
                <w:szCs w:val="20"/>
                <w:lang w:eastAsia="hr-HR"/>
              </w:rPr>
            </w:pPr>
            <w:r w:rsidRPr="007D4EF1">
              <w:rPr>
                <w:rFonts w:ascii="Times New Roman" w:eastAsia="Times New Roman" w:hAnsi="Times New Roman" w:cs="Times New Roman"/>
                <w:color w:val="000000"/>
                <w:spacing w:val="-1"/>
                <w:sz w:val="20"/>
                <w:szCs w:val="20"/>
                <w:lang w:eastAsia="hr-HR"/>
              </w:rPr>
              <w:t>Poboljšanje teritorijalne kohezije i povezanosti te dostupnosti otoka</w:t>
            </w:r>
          </w:p>
        </w:tc>
      </w:tr>
      <w:tr w:rsidR="00FC3F3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sz w:val="20"/>
                <w:szCs w:val="20"/>
                <w:lang w:eastAsia="hr-HR"/>
              </w:rPr>
            </w:pP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706475" w:rsidP="00FC3F35">
            <w:pPr>
              <w:widowControl w:val="0"/>
              <w:shd w:val="clear" w:color="auto" w:fill="FFFFFF"/>
              <w:autoSpaceDE w:val="0"/>
              <w:autoSpaceDN w:val="0"/>
              <w:adjustRightInd w:val="0"/>
              <w:spacing w:after="0" w:line="274" w:lineRule="exact"/>
              <w:ind w:left="134" w:right="144"/>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pacing w:val="-1"/>
                <w:sz w:val="20"/>
                <w:szCs w:val="20"/>
                <w:lang w:eastAsia="hr-HR"/>
              </w:rPr>
              <w:t>Ovim se specifičnim ciljem želi integrirati hrvatske otoke u širu prometnu mrežu i svladati ključnu prepreku za lokalni</w:t>
            </w:r>
            <w:r w:rsidR="00FC3F35" w:rsidRPr="007D4EF1">
              <w:rPr>
                <w:rFonts w:ascii="Times New Roman" w:eastAsia="Times New Roman" w:hAnsi="Times New Roman" w:cs="Times New Roman"/>
                <w:color w:val="000000"/>
                <w:sz w:val="20"/>
                <w:szCs w:val="20"/>
                <w:lang w:eastAsia="hr-HR"/>
              </w:rPr>
              <w:t xml:space="preserve">gospodarski rast. Hrvatska obala jedna je od najrazvedenijih u Europi. Ima gotovo 50 nastanjenih otoka koji jako ovise o javnom prijevozu za pristup zapošljavanju i uslugama, te su izloženi problemima kapaciteta u špici turističke sezone. Izolacija i opći manjak povezanosti otoka su jedan od uzroka emigracije, većina usluga javnog prijevoza je neprofitabilna i održava se državnom potporom, a luke na kopnu (22 luke) i na otocima (73 luke) imaju sve više problema-u prijevozu putnika čiji brojevi stalno rastu. Gospodarski subjekti su koncesionari i obvezani su na obavljanje javnih usluga, tj. moraju održavati određeni minimum linija i učestalosti putovanja. Gospodarski subjekti pružaju uslugu prijevoza na temelju Ugovora o koncesiji ili Ugovora o pružanju javnih usluga koji se sklapaju s Agencijom za obalni linijski promet, koja također plaća subvencije za prijevoz iz državnog proračuna i nadgleda </w:t>
            </w:r>
            <w:r w:rsidR="00FC3F35" w:rsidRPr="007D4EF1">
              <w:rPr>
                <w:rFonts w:ascii="Times New Roman" w:eastAsia="Times New Roman" w:hAnsi="Times New Roman" w:cs="Times New Roman"/>
                <w:color w:val="000000"/>
                <w:sz w:val="20"/>
                <w:szCs w:val="20"/>
                <w:lang w:eastAsia="hr-HR"/>
              </w:rPr>
              <w:lastRenderedPageBreak/>
              <w:t>primjenu ugovora. Očekuje se da će pritisak zbog turizma rasti te bi čak i tijekom ljeta moglo biti teško osigurati dovoljne kapacitete za lokalne putnike</w:t>
            </w:r>
            <w:r w:rsidR="00FC3F35" w:rsidRPr="007D4EF1">
              <w:rPr>
                <w:rFonts w:ascii="Times New Roman" w:eastAsia="Times New Roman" w:hAnsi="Times New Roman" w:cs="Times New Roman"/>
                <w:color w:val="000000"/>
                <w:spacing w:val="-2"/>
                <w:sz w:val="20"/>
                <w:szCs w:val="20"/>
                <w:lang w:eastAsia="hr-HR"/>
              </w:rPr>
              <w:t>.</w:t>
            </w:r>
          </w:p>
          <w:p w:rsidR="00FC3F35" w:rsidRPr="007D4EF1" w:rsidDel="001146ED" w:rsidRDefault="00FC3F35" w:rsidP="00FC3F35">
            <w:pPr>
              <w:widowControl w:val="0"/>
              <w:shd w:val="clear" w:color="auto" w:fill="FFFFFF"/>
              <w:autoSpaceDE w:val="0"/>
              <w:autoSpaceDN w:val="0"/>
              <w:adjustRightInd w:val="0"/>
              <w:spacing w:after="0" w:line="274" w:lineRule="exact"/>
              <w:ind w:left="134" w:right="144"/>
              <w:rPr>
                <w:rFonts w:ascii="Times New Roman" w:eastAsia="Times New Roman" w:hAnsi="Times New Roman" w:cs="Times New Roman"/>
                <w:color w:val="000000"/>
                <w:sz w:val="20"/>
                <w:szCs w:val="20"/>
                <w:lang w:eastAsia="hr-HR"/>
              </w:rPr>
            </w:pPr>
            <w:r w:rsidRPr="007D4EF1">
              <w:rPr>
                <w:rFonts w:ascii="Times New Roman" w:eastAsia="Times New Roman" w:hAnsi="Times New Roman" w:cs="Times New Roman"/>
                <w:color w:val="000000"/>
                <w:spacing w:val="-1"/>
                <w:sz w:val="20"/>
                <w:szCs w:val="20"/>
                <w:lang w:eastAsia="hr-HR"/>
              </w:rPr>
              <w:t>Cilj je postupno pružati otocima održive i moderne usluge prijevoza tijekom cijele godine bez obzira na pritisak turizma i time poboljšati dostupnost zapošljavanja, obrazovanja i drugih usluga otočnim zajednicama</w:t>
            </w:r>
            <w:r w:rsidRPr="007D4EF1">
              <w:rPr>
                <w:rFonts w:ascii="Times New Roman" w:eastAsia="Times New Roman" w:hAnsi="Times New Roman" w:cs="Times New Roman"/>
                <w:color w:val="000000"/>
                <w:spacing w:val="-2"/>
                <w:sz w:val="20"/>
                <w:szCs w:val="20"/>
                <w:lang w:eastAsia="hr-HR"/>
              </w:rPr>
              <w:t>.</w:t>
            </w:r>
          </w:p>
          <w:p w:rsidR="00FC3F35" w:rsidRPr="007D4EF1" w:rsidRDefault="00FC3F35" w:rsidP="00FC3F35">
            <w:pPr>
              <w:widowControl w:val="0"/>
              <w:shd w:val="clear" w:color="auto" w:fill="FFFFFF"/>
              <w:autoSpaceDE w:val="0"/>
              <w:autoSpaceDN w:val="0"/>
              <w:adjustRightInd w:val="0"/>
              <w:spacing w:after="0" w:line="274" w:lineRule="exact"/>
              <w:ind w:left="134" w:right="144"/>
              <w:rPr>
                <w:rFonts w:ascii="Times New Roman" w:eastAsia="Times New Roman" w:hAnsi="Times New Roman" w:cs="Times New Roman"/>
                <w:sz w:val="20"/>
                <w:szCs w:val="20"/>
                <w:lang w:eastAsia="hr-HR"/>
              </w:rPr>
            </w:pPr>
          </w:p>
        </w:tc>
      </w:tr>
      <w:tr w:rsidR="00FC3F3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7D4EF1">
              <w:rPr>
                <w:rFonts w:ascii="Times New Roman" w:eastAsia="Times New Roman" w:hAnsi="Times New Roman" w:cs="Times New Roman"/>
                <w:b/>
                <w:bCs/>
                <w:color w:val="000000"/>
                <w:sz w:val="20"/>
                <w:szCs w:val="20"/>
                <w:lang w:eastAsia="hr-HR"/>
              </w:rPr>
              <w:lastRenderedPageBreak/>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pacing w:val="-5"/>
                <w:sz w:val="20"/>
                <w:szCs w:val="20"/>
                <w:lang w:eastAsia="hr-HR"/>
              </w:rPr>
              <w:t>7ii2</w:t>
            </w:r>
          </w:p>
        </w:tc>
      </w:tr>
      <w:tr w:rsidR="00FC3F3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7D4EF1">
              <w:rPr>
                <w:rFonts w:ascii="Times New Roman" w:eastAsia="Times New Roman" w:hAnsi="Times New Roman" w:cs="Times New Roman"/>
                <w:b/>
                <w:bCs/>
                <w:color w:val="000000"/>
                <w:sz w:val="20"/>
                <w:szCs w:val="20"/>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pacing w:val="-1"/>
                <w:sz w:val="20"/>
                <w:szCs w:val="20"/>
                <w:lang w:eastAsia="hr-HR"/>
              </w:rPr>
              <w:t>Razvoj inteligentnog, održivog i integriranog  sustava javnog prijevoza sa niskom razinom CO</w:t>
            </w:r>
            <w:r w:rsidRPr="007D4EF1">
              <w:rPr>
                <w:rFonts w:ascii="Times New Roman" w:eastAsia="Times New Roman" w:hAnsi="Times New Roman" w:cs="Times New Roman"/>
                <w:color w:val="000000"/>
                <w:spacing w:val="-1"/>
                <w:sz w:val="20"/>
                <w:szCs w:val="20"/>
                <w:vertAlign w:val="subscript"/>
                <w:lang w:eastAsia="hr-HR"/>
              </w:rPr>
              <w:t>2</w:t>
            </w:r>
          </w:p>
        </w:tc>
      </w:tr>
      <w:tr w:rsidR="00FC3F3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06" w:lineRule="exact"/>
              <w:ind w:left="5" w:right="67" w:hanging="10"/>
              <w:rPr>
                <w:rFonts w:ascii="Times New Roman" w:eastAsia="Times New Roman" w:hAnsi="Times New Roman" w:cs="Times New Roman"/>
                <w:sz w:val="20"/>
                <w:szCs w:val="20"/>
                <w:lang w:eastAsia="hr-HR"/>
              </w:rPr>
            </w:pPr>
            <w:r w:rsidRPr="007D4EF1">
              <w:rPr>
                <w:rFonts w:ascii="Times New Roman" w:eastAsia="Times New Roman" w:hAnsi="Times New Roman" w:cs="Times New Roman"/>
                <w:b/>
                <w:bCs/>
                <w:color w:val="000000"/>
                <w:spacing w:val="-1"/>
                <w:sz w:val="20"/>
                <w:szCs w:val="20"/>
                <w:lang w:eastAsia="hr-HR"/>
              </w:rPr>
              <w:t>Rezultati koje države članice žele postići uz potporu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78" w:lineRule="exact"/>
              <w:ind w:left="134" w:right="101"/>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pacing w:val="-1"/>
                <w:sz w:val="20"/>
                <w:szCs w:val="20"/>
                <w:lang w:eastAsia="hr-HR"/>
              </w:rPr>
              <w:t>Provedba ovog specifičnog cilja rezultirat će poboljšanim gradskim javnim prometom, posebice održivim/niskougljičnim mogućnostima.</w:t>
            </w:r>
          </w:p>
          <w:p w:rsidR="00FC3F35" w:rsidRPr="007D4EF1" w:rsidRDefault="00FC3F35" w:rsidP="00FC3F35">
            <w:pPr>
              <w:widowControl w:val="0"/>
              <w:shd w:val="clear" w:color="auto" w:fill="FFFFFF"/>
              <w:autoSpaceDE w:val="0"/>
              <w:autoSpaceDN w:val="0"/>
              <w:adjustRightInd w:val="0"/>
              <w:spacing w:after="0" w:line="274" w:lineRule="exact"/>
              <w:ind w:left="134" w:right="101"/>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z w:val="20"/>
                <w:szCs w:val="20"/>
                <w:lang w:eastAsia="hr-HR"/>
              </w:rPr>
              <w:t>Sektor prometa u Hrvatskoj je 2011. godine sudjelovao s 20 % u nacionalnom Inventaru stakleničkih plinova, pri čemu je cestovni promet sudjelovao s 95 % ukupne emisije iz sektora prometa. Atmosfersko onečišćenje lebdećih čestica najrašireniji je problem kakvoće zraka u Hrvatskoj, a promet je jedan od glavnih izvora tog onečišćenja. Javni prijevoz je prisutan samo na područjima velikih gradova poput Zagreba, Rijeke, Osijeka, Splita i njihovih aglomeracija, te Varaždina, Karlovca, Zadra i Pule. U Hrvatskoj je zabilježen pad broja putnika u svim oblicima prijevoza. U razdoblju od siječnja do prosinca 2012. godine, u prijevozu putnika zabilježen je pad od 20,1 % u usporedbi s istim razdobljem 2011. godine. Istovremeno, zabilježen je porast korištenja osobnih automobila. Prosječna brzina javnog prijevoza nije zadovoljavajuća za putnike</w:t>
            </w:r>
            <w:r w:rsidRPr="007D4EF1">
              <w:rPr>
                <w:rFonts w:ascii="Times New Roman" w:eastAsia="Times New Roman" w:hAnsi="Times New Roman" w:cs="Times New Roman"/>
                <w:color w:val="000000"/>
                <w:spacing w:val="-1"/>
                <w:sz w:val="20"/>
                <w:szCs w:val="20"/>
                <w:lang w:eastAsia="hr-HR"/>
              </w:rPr>
              <w:t xml:space="preserve">. </w:t>
            </w:r>
            <w:r w:rsidRPr="007D4EF1">
              <w:rPr>
                <w:rFonts w:ascii="Times New Roman" w:eastAsia="Times New Roman" w:hAnsi="Times New Roman" w:cs="Times New Roman"/>
                <w:color w:val="000000"/>
                <w:spacing w:val="-1"/>
                <w:sz w:val="20"/>
                <w:szCs w:val="20"/>
                <w:lang w:eastAsia="hr-HR"/>
              </w:rPr>
              <w:br/>
            </w:r>
            <w:r w:rsidRPr="007D4EF1">
              <w:rPr>
                <w:rFonts w:ascii="Times New Roman" w:eastAsia="Times New Roman" w:hAnsi="Times New Roman" w:cs="Times New Roman"/>
                <w:color w:val="000000"/>
                <w:sz w:val="20"/>
                <w:szCs w:val="20"/>
                <w:lang w:eastAsia="hr-HR"/>
              </w:rPr>
              <w:t>U Zagrebu je prosječna brzina javnog prijevoza u stalnom padu (tek 13 km/h za tramvaje i oko 18 km/h za autobuse), a u isto se vrijeme broj putnika neprekidno smanjuje od 2007. godine. Prosječna starost željezničkog voznog parka (putničkih vagona i</w:t>
            </w:r>
          </w:p>
        </w:tc>
      </w:tr>
      <w:tr w:rsidR="00FC3F3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74" w:lineRule="exact"/>
              <w:ind w:left="134" w:right="19"/>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z w:val="20"/>
                <w:szCs w:val="20"/>
                <w:lang w:eastAsia="hr-HR"/>
              </w:rPr>
              <w:t>dizel lokomotiva) je otprilike 30 godina, dok je prosječna starost autobusa otprilike 15 godina. Iz vremenskih rasporeda željezničkih i autobusnih prijevoznika je očito da postoji malen broj polazaka na linijama izvan velikih gradova gdje su rasporedi uglavnom prilagođeni potrebama učenika osnovnih i srednjih škola. Nadalje, javni prijevoz u Hrvatskoj nije integriran jer ne postoji zajednički raspored ili karte za različite oblike prijevoza. Projekti i usluge prijevoza će se planirati, usklađivati i integrirati unutar prometnih funkcionalnih regija na temelju kvalitetne analize potražnje  i potrebe za opširnijom regulacijom pruženih usluga. Kako bi se situacija poboljšala, potrebno je povećati modalnu podjelu u korist javnog prijevoza, kao i pješaka i biciklista, a kako bi se to postiglo, prioritet je povećati učinkovitost i fizičku, operativnu i organizacijsku integraciju svih oblika prijevoza: željeznica, gradskih željeznica, tramvaja, troleja i autobusa. Također je potrebno omogućiti dobru prometnu povezanost s centrima koji stvaraju potražnju. Podaci korisnicima prije i tijekom putovanja, elektroničke rezervacije i integrirane karte koje pokrivaju sve oblike prijevoza trebali bi olakšati multimodalno putovanje. Dio ovog specifičnog cilja posvećen rješenjima s nultom stopom emisije provest će se sustavom integriranog teritorijalnog ulaganja koji se smatra prilikom za hrvatske gradove i njihove aglomeracije da uvrste mobilnost s nultom stopom emisije u svoje razvojne planove i strategije</w:t>
            </w:r>
            <w:r w:rsidRPr="007D4EF1">
              <w:rPr>
                <w:rFonts w:ascii="Times New Roman" w:eastAsia="Times New Roman" w:hAnsi="Times New Roman" w:cs="Times New Roman"/>
                <w:color w:val="000000"/>
                <w:spacing w:val="-1"/>
                <w:sz w:val="20"/>
                <w:szCs w:val="20"/>
                <w:lang w:eastAsia="hr-HR"/>
              </w:rPr>
              <w:t>.</w:t>
            </w:r>
            <w:r w:rsidRPr="007D4EF1">
              <w:rPr>
                <w:rFonts w:ascii="Times New Roman" w:eastAsia="Times New Roman" w:hAnsi="Times New Roman" w:cs="Times New Roman"/>
                <w:color w:val="000000"/>
                <w:spacing w:val="-1"/>
                <w:sz w:val="20"/>
                <w:szCs w:val="20"/>
                <w:lang w:eastAsia="hr-HR"/>
              </w:rPr>
              <w:br/>
            </w:r>
          </w:p>
          <w:p w:rsidR="00FC3F35" w:rsidRPr="007D4EF1" w:rsidRDefault="00FC3F35" w:rsidP="00FC3F35">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0"/>
                <w:szCs w:val="20"/>
                <w:lang w:eastAsia="hr-HR"/>
              </w:rPr>
            </w:pPr>
            <w:r w:rsidRPr="007D4EF1">
              <w:rPr>
                <w:rFonts w:ascii="Times New Roman" w:eastAsia="Times New Roman" w:hAnsi="Times New Roman" w:cs="Times New Roman"/>
                <w:b/>
                <w:bCs/>
                <w:color w:val="000000"/>
                <w:spacing w:val="-1"/>
                <w:sz w:val="20"/>
                <w:szCs w:val="20"/>
                <w:lang w:eastAsia="hr-HR"/>
              </w:rPr>
              <w:t>Opširniji rezultati</w:t>
            </w:r>
          </w:p>
          <w:p w:rsidR="00FC3F35" w:rsidRPr="007D4EF1" w:rsidRDefault="00FC3F35" w:rsidP="00FC3F35">
            <w:pPr>
              <w:widowControl w:val="0"/>
              <w:shd w:val="clear" w:color="auto" w:fill="FFFFFF"/>
              <w:autoSpaceDE w:val="0"/>
              <w:autoSpaceDN w:val="0"/>
              <w:adjustRightInd w:val="0"/>
              <w:spacing w:after="0" w:line="394" w:lineRule="exact"/>
              <w:ind w:left="134" w:right="19"/>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pacing w:val="2"/>
                <w:sz w:val="20"/>
                <w:szCs w:val="20"/>
                <w:lang w:eastAsia="hr-HR"/>
              </w:rPr>
              <w:t xml:space="preserve">•    smanjeno onečišćenje zraka i onečišćenje bukom, te u urbanim područjima smanjen negativan utjecaj prijevoza na okoliš </w:t>
            </w:r>
            <w:r w:rsidRPr="007D4EF1">
              <w:rPr>
                <w:rFonts w:ascii="Times New Roman" w:eastAsia="Times New Roman" w:hAnsi="Times New Roman" w:cs="Times New Roman"/>
                <w:color w:val="000000"/>
                <w:spacing w:val="2"/>
                <w:sz w:val="20"/>
                <w:szCs w:val="20"/>
                <w:lang w:eastAsia="hr-HR"/>
              </w:rPr>
              <w:br/>
            </w:r>
            <w:r w:rsidRPr="007D4EF1">
              <w:rPr>
                <w:rFonts w:ascii="Times New Roman" w:eastAsia="Times New Roman" w:hAnsi="Times New Roman" w:cs="Times New Roman"/>
                <w:color w:val="000000"/>
                <w:sz w:val="20"/>
                <w:szCs w:val="20"/>
                <w:lang w:eastAsia="hr-HR"/>
              </w:rPr>
              <w:t xml:space="preserve">•    povećani kapacitet i korištenje gradskog javnog prijevoza i promicanje promjene oblika prijevoza </w:t>
            </w:r>
            <w:r w:rsidRPr="007D4EF1">
              <w:rPr>
                <w:rFonts w:ascii="Times New Roman" w:eastAsia="Times New Roman" w:hAnsi="Times New Roman" w:cs="Times New Roman"/>
                <w:color w:val="000000"/>
                <w:sz w:val="20"/>
                <w:szCs w:val="20"/>
                <w:lang w:eastAsia="hr-HR"/>
              </w:rPr>
              <w:br/>
              <w:t xml:space="preserve">•    smanjeno zagušenje u gradovima </w:t>
            </w:r>
            <w:r w:rsidRPr="007D4EF1">
              <w:rPr>
                <w:rFonts w:ascii="Times New Roman" w:eastAsia="Times New Roman" w:hAnsi="Times New Roman" w:cs="Times New Roman"/>
                <w:color w:val="000000"/>
                <w:sz w:val="20"/>
                <w:szCs w:val="20"/>
                <w:lang w:eastAsia="hr-HR"/>
              </w:rPr>
              <w:br/>
              <w:t xml:space="preserve">•    uklanjanje uskih grla koja sprečavaju razvoj i funkcioniranje sustava gradskog javnog prijevoza </w:t>
            </w:r>
            <w:r w:rsidRPr="007D4EF1">
              <w:rPr>
                <w:rFonts w:ascii="Times New Roman" w:eastAsia="Times New Roman" w:hAnsi="Times New Roman" w:cs="Times New Roman"/>
                <w:color w:val="000000"/>
                <w:sz w:val="20"/>
                <w:szCs w:val="20"/>
                <w:lang w:eastAsia="hr-HR"/>
              </w:rPr>
              <w:br/>
            </w:r>
            <w:r w:rsidRPr="007D4EF1">
              <w:rPr>
                <w:rFonts w:ascii="Times New Roman" w:eastAsia="Times New Roman" w:hAnsi="Times New Roman" w:cs="Times New Roman"/>
                <w:color w:val="000000"/>
                <w:sz w:val="20"/>
                <w:szCs w:val="20"/>
                <w:lang w:eastAsia="hr-HR"/>
              </w:rPr>
              <w:lastRenderedPageBreak/>
              <w:t xml:space="preserve">•    usklađene usluge javnog prijevoza unutar funkcionalnih regija </w:t>
            </w:r>
            <w:r w:rsidRPr="007D4EF1">
              <w:rPr>
                <w:rFonts w:ascii="Times New Roman" w:eastAsia="Times New Roman" w:hAnsi="Times New Roman" w:cs="Times New Roman"/>
                <w:color w:val="000000"/>
                <w:sz w:val="20"/>
                <w:szCs w:val="20"/>
                <w:lang w:eastAsia="hr-HR"/>
              </w:rPr>
              <w:br/>
              <w:t>•    uvođenje inovativnih i čistih tehnologija mobilnosti u gradove</w:t>
            </w:r>
          </w:p>
        </w:tc>
      </w:tr>
      <w:tr w:rsidR="00FC3F3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7D4EF1">
              <w:rPr>
                <w:rFonts w:ascii="Times New Roman" w:eastAsia="Times New Roman" w:hAnsi="Times New Roman" w:cs="Times New Roman"/>
                <w:b/>
                <w:bCs/>
                <w:color w:val="000000"/>
                <w:sz w:val="20"/>
                <w:szCs w:val="20"/>
                <w:lang w:eastAsia="hr-HR"/>
              </w:rPr>
              <w:lastRenderedPageBreak/>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pacing w:val="-6"/>
                <w:sz w:val="20"/>
                <w:szCs w:val="20"/>
                <w:lang w:eastAsia="hr-HR"/>
              </w:rPr>
              <w:t xml:space="preserve">7ii3 </w:t>
            </w:r>
          </w:p>
        </w:tc>
      </w:tr>
      <w:tr w:rsidR="00FC3F3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7D4EF1">
              <w:rPr>
                <w:rFonts w:ascii="Times New Roman" w:eastAsia="Times New Roman" w:hAnsi="Times New Roman" w:cs="Times New Roman"/>
                <w:b/>
                <w:bCs/>
                <w:color w:val="000000"/>
                <w:sz w:val="20"/>
                <w:szCs w:val="20"/>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7D4EF1"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pacing w:val="-1"/>
                <w:sz w:val="20"/>
                <w:szCs w:val="20"/>
                <w:lang w:eastAsia="hr-HR"/>
              </w:rPr>
              <w:t>Poboljšanje dostupnosti Dubrovnika zrakom</w:t>
            </w:r>
          </w:p>
        </w:tc>
      </w:tr>
      <w:tr w:rsidR="00706475" w:rsidRPr="007D4EF1" w:rsidTr="00706475">
        <w:tc>
          <w:tcPr>
            <w:tcW w:w="2707" w:type="dxa"/>
            <w:tcBorders>
              <w:top w:val="single" w:sz="6" w:space="0" w:color="auto"/>
              <w:left w:val="single" w:sz="6" w:space="0" w:color="auto"/>
              <w:bottom w:val="single" w:sz="6" w:space="0" w:color="auto"/>
              <w:right w:val="single" w:sz="6" w:space="0" w:color="auto"/>
            </w:tcBorders>
            <w:shd w:val="clear" w:color="auto" w:fill="FFFFFF"/>
          </w:tcPr>
          <w:p w:rsidR="00706475" w:rsidRPr="007D4EF1" w:rsidRDefault="0070647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bCs/>
                <w:color w:val="000000"/>
                <w:sz w:val="20"/>
                <w:szCs w:val="20"/>
                <w:lang w:eastAsia="hr-HR"/>
              </w:rPr>
            </w:pPr>
            <w:r w:rsidRPr="007D4EF1">
              <w:rPr>
                <w:rFonts w:ascii="Times New Roman" w:eastAsia="Times New Roman" w:hAnsi="Times New Roman" w:cs="Times New Roman"/>
                <w:color w:val="000000"/>
                <w:spacing w:val="-4"/>
                <w:sz w:val="20"/>
                <w:szCs w:val="20"/>
                <w:lang w:eastAsia="hr-HR"/>
              </w:rPr>
              <w:t>Rezultati koje države članice žele postići uz potporu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706475" w:rsidRPr="007D4EF1" w:rsidRDefault="00706475" w:rsidP="00706475">
            <w:pPr>
              <w:widowControl w:val="0"/>
              <w:shd w:val="clear" w:color="auto" w:fill="FFFFFF"/>
              <w:autoSpaceDE w:val="0"/>
              <w:autoSpaceDN w:val="0"/>
              <w:adjustRightInd w:val="0"/>
              <w:spacing w:before="67" w:after="0" w:line="274" w:lineRule="exact"/>
              <w:rPr>
                <w:rFonts w:ascii="Times New Roman" w:eastAsia="Times New Roman" w:hAnsi="Times New Roman" w:cs="Times New Roman"/>
                <w:sz w:val="20"/>
                <w:szCs w:val="20"/>
                <w:lang w:eastAsia="hr-HR"/>
              </w:rPr>
            </w:pPr>
            <w:r w:rsidRPr="007D4EF1">
              <w:rPr>
                <w:rFonts w:ascii="Times New Roman" w:eastAsia="Times New Roman" w:hAnsi="Times New Roman" w:cs="Times New Roman"/>
                <w:color w:val="000000"/>
                <w:sz w:val="20"/>
                <w:szCs w:val="20"/>
                <w:lang w:eastAsia="hr-HR"/>
              </w:rPr>
              <w:t>Dubrovačko-neretvanska županija je fizički odvojena od glavnog nacionalnog teritorija EU granicom s Bosnom i Hercegovinom i pati od manjka povezanosti s ostatkom zemlje i od manjka učinkovite integracije u TEN-T mrežu. Ova je regija, kao jedna od najpopularnijih turističkih destinacija u svijetu izrazito bitna jer turizam igra važnu ulogu za gospodarstvo i opći razvoj države. Dostupnost zrakom dubrovačkom području, koje broji otprilike 200.000 stanovnika, ograničena je kvalitetom postrojenja i značajnom razlikom u broju putnika između glavne sezone i izvan sezone (tj. razlika između kolovoza 2013. i siječnja 2013. je preko 1500 %). Prosječan broj putnika zračne luke je 1,5 milijuna putnika, od čega 64 % čine stranci. Ovi podaci značajno opterećuju trenutne kapacitete obrade putnika. Postojeća infrastruktura također ne zadovoljava sigurnosne uvjete i već ugrožava operacije. Nadalje, potrebno je osigurati sukladnost s uvjetima Šengenskog sporazuma za stanje granica 2016. godine</w:t>
            </w:r>
            <w:r w:rsidRPr="007D4EF1">
              <w:rPr>
                <w:rFonts w:ascii="Times New Roman" w:eastAsia="Times New Roman" w:hAnsi="Times New Roman" w:cs="Times New Roman"/>
                <w:color w:val="000000"/>
                <w:spacing w:val="-1"/>
                <w:sz w:val="20"/>
                <w:szCs w:val="20"/>
                <w:lang w:eastAsia="hr-HR"/>
              </w:rPr>
              <w:t>.</w:t>
            </w:r>
          </w:p>
          <w:p w:rsidR="00706475" w:rsidRPr="007D4EF1" w:rsidRDefault="00706475" w:rsidP="0070647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r w:rsidRPr="007D4EF1">
              <w:rPr>
                <w:rFonts w:ascii="Times New Roman" w:eastAsia="Times New Roman" w:hAnsi="Times New Roman" w:cs="Times New Roman"/>
                <w:color w:val="000000"/>
                <w:spacing w:val="-1"/>
                <w:sz w:val="20"/>
                <w:szCs w:val="20"/>
                <w:lang w:eastAsia="hr-HR"/>
              </w:rPr>
              <w:t>Uz sve navedeno, glavni je cilj za ovu regiju održati i povećati dostupnost dubrovačkog područja zadovoljavanjem porasta potražnje i smanjivanjem zagušenja.</w:t>
            </w:r>
          </w:p>
        </w:tc>
      </w:tr>
    </w:tbl>
    <w:p w:rsidR="007D4EF1" w:rsidRDefault="007D4EF1" w:rsidP="00706475">
      <w:pPr>
        <w:widowControl w:val="0"/>
        <w:shd w:val="clear" w:color="auto" w:fill="FFFFFF"/>
        <w:autoSpaceDE w:val="0"/>
        <w:autoSpaceDN w:val="0"/>
        <w:adjustRightInd w:val="0"/>
        <w:spacing w:after="0" w:line="346" w:lineRule="exact"/>
        <w:rPr>
          <w:rFonts w:ascii="Times New Roman" w:eastAsia="Times New Roman" w:hAnsi="Times New Roman" w:cs="Times New Roman"/>
          <w:b/>
          <w:bCs/>
          <w:color w:val="000000"/>
          <w:spacing w:val="-1"/>
          <w:sz w:val="24"/>
          <w:szCs w:val="24"/>
          <w:lang w:eastAsia="hr-HR"/>
        </w:rPr>
      </w:pPr>
    </w:p>
    <w:p w:rsidR="00FC3F35" w:rsidRPr="00576C1D" w:rsidRDefault="00FC3F35" w:rsidP="0070647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8"/>
                <w:szCs w:val="18"/>
                <w:lang w:eastAsia="hr-HR"/>
              </w:rPr>
              <w:t xml:space="preserve">7ii1 - </w:t>
            </w:r>
            <w:r w:rsidRPr="00576C1D">
              <w:rPr>
                <w:rFonts w:ascii="Times New Roman" w:eastAsia="Times New Roman" w:hAnsi="Times New Roman" w:cs="Times New Roman"/>
                <w:sz w:val="18"/>
                <w:szCs w:val="20"/>
                <w:lang w:eastAsia="hr-HR"/>
              </w:rPr>
              <w:t>Poboljšanje teritorijalne kohezije i povezanosti te dostupnosti otoka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0" w:right="130" w:hanging="72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69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sz w:val="16"/>
                <w:szCs w:val="16"/>
                <w:lang w:eastAsia="hr-HR"/>
              </w:rPr>
              <w:t>7cbll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putnika u javnom putničkom pomorskom prometu (povećan)</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Putnika godišnje</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11,350.111,00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11,800.000,00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68"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Agencija za obalni linijski pomorski promet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7ii2 - Razvoj inteligentnog, održivog i integriranog sustava javnog prijevoza sa niskom razinom CO</w:t>
            </w:r>
            <w:r w:rsidRPr="00576C1D">
              <w:rPr>
                <w:rFonts w:ascii="Times New Roman" w:eastAsia="Times New Roman" w:hAnsi="Times New Roman" w:cs="Times New Roman"/>
                <w:color w:val="000000"/>
                <w:spacing w:val="4"/>
                <w:sz w:val="18"/>
                <w:szCs w:val="18"/>
                <w:vertAlign w:val="subscript"/>
                <w:lang w:eastAsia="hr-HR"/>
              </w:rPr>
              <w:t>2</w:t>
            </w:r>
          </w:p>
        </w:tc>
      </w:tr>
      <w:tr w:rsidR="00FC3F35" w:rsidRPr="00576C1D" w:rsidTr="00FC3F35">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0" w:right="130" w:hanging="72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682"/>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7cb21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Broj putnika u gradskom javnom prijevozu (autobusi i tramvaji)</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363,198.000,00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381,357.900,00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8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Hrvatski zavod za statistiku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godišnje</w:t>
            </w:r>
          </w:p>
        </w:tc>
      </w:tr>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8"/>
                <w:szCs w:val="18"/>
                <w:lang w:eastAsia="hr-HR"/>
              </w:rPr>
              <w:t>7ii3 - Poboljšanje dostupnosti Dubrovnika zrakom</w:t>
            </w:r>
          </w:p>
        </w:tc>
      </w:tr>
      <w:tr w:rsidR="00FC3F35" w:rsidRPr="00576C1D" w:rsidTr="00FC3F35">
        <w:trPr>
          <w:trHeight w:hRule="exact" w:val="62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0" w:right="130" w:hanging="72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69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lastRenderedPageBreak/>
              <w:t>7cb31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7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Kapacitet zrakoplovnog čvorišta TEN-T u Dubrovačko-neretvanskoj županiji (povećan)</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Putnika godišnje</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1,522.629,00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2,752.874,00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8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Hrvatski zavod za statistiku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8"/>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6"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6"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će se podržati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Pr="00576C1D" w:rsidRDefault="00C244E3"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717" o:spid="_x0000_s1266" style="position:absolute;left:0;text-align:left;z-index:251571712;visibility:visible;mso-position-horizontal-relative:margin" from="26.4pt,56.6pt" to="26.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xnFQ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" o:allowincell="f" strokeweight=".25pt">
            <w10:wrap anchorx="margin"/>
          </v:line>
        </w:pict>
      </w:r>
      <w:r>
        <w:rPr>
          <w:rFonts w:ascii="Times New Roman" w:eastAsia="Times New Roman" w:hAnsi="Times New Roman" w:cs="Times New Roman"/>
          <w:noProof/>
          <w:sz w:val="20"/>
          <w:szCs w:val="20"/>
          <w:lang w:eastAsia="hr-HR"/>
        </w:rPr>
        <w:pict>
          <v:line id="Line 1719" o:spid="_x0000_s1265" style="position:absolute;left:0;text-align:left;z-index:251574784;visibility:visible;mso-position-horizontal-relative:margin" from="782.4pt,56.6pt" to="782.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EgWFQ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" o:allowincell="f" strokeweight=".25pt">
            <w10:wrap anchorx="margin"/>
          </v:line>
        </w:pict>
      </w:r>
      <w:r w:rsidR="00FC3F35" w:rsidRPr="00576C1D">
        <w:rPr>
          <w:rFonts w:ascii="Times New Roman" w:eastAsia="Times New Roman" w:hAnsi="Times New Roman" w:cs="Times New Roman"/>
          <w:b/>
          <w:bCs/>
          <w:i/>
          <w:iCs/>
          <w:color w:val="000000"/>
          <w:spacing w:val="-2"/>
          <w:sz w:val="24"/>
          <w:szCs w:val="24"/>
          <w:lang w:eastAsia="hr-HR"/>
        </w:rPr>
        <w:t>2. A. 6.1 Opis vrste i primjera aktivnosti koje će se podržati i njihov očekivani doprinos specifičnim ciljevima uključujući, po potrebi, prepoznavanje glavnih ciljnih skupina, određenih ciljnih područja i vrsta korisnika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FC3F35" w:rsidRPr="00576C1D">
          <w:pgSz w:w="16834" w:h="11909" w:orient="landscape"/>
          <w:pgMar w:top="1433"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16" o:spid="_x0000_s1264" style="position:absolute;z-index:251568640;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3HFgIAAC0EAAAOAAAAZHJzL2Uyb0RvYy54bWysU02P2yAQvVfqf0DcE9uJ1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fWw9xx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718" o:spid="_x0000_s1263" style="position:absolute;z-index:251572736;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FnFgIAACwEAAAOAAAAZHJzL2Uyb0RvYy54bWysU8GO2jAQvVfqP1i+QxLIsi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7ii - Razvoj i unapređenje prometnih sustava prihvatljivih za okoliš (uključujući one s niskom razinom buke), i prometni sustavi sa niskim emisijama CO</w:t>
      </w:r>
      <w:r w:rsidRPr="00576C1D">
        <w:rPr>
          <w:rFonts w:ascii="Times New Roman" w:eastAsia="Times New Roman" w:hAnsi="Times New Roman" w:cs="Times New Roman"/>
          <w:color w:val="000000"/>
          <w:spacing w:val="-1"/>
          <w:sz w:val="18"/>
          <w:szCs w:val="18"/>
          <w:vertAlign w:val="subscript"/>
          <w:lang w:eastAsia="hr-HR"/>
        </w:rPr>
        <w:t>2</w:t>
      </w:r>
      <w:r w:rsidRPr="00576C1D">
        <w:rPr>
          <w:rFonts w:ascii="Times New Roman" w:eastAsia="Times New Roman" w:hAnsi="Times New Roman" w:cs="Times New Roman"/>
          <w:color w:val="000000"/>
          <w:spacing w:val="-1"/>
          <w:sz w:val="18"/>
          <w:szCs w:val="18"/>
          <w:lang w:eastAsia="hr-HR"/>
        </w:rPr>
        <w:t>, uključujući unutarnje plovne putove i pomorski prijevoz, luke, multimodalne veze i aerodromsku infrastrukturu, radi promicanja održive regionalne i lokalne mobilnosti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433" w:right="863" w:bottom="360" w:left="1183" w:header="720" w:footer="720" w:gutter="0"/>
          <w:cols w:num="2" w:space="720" w:equalWidth="0">
            <w:col w:w="2078" w:space="259"/>
            <w:col w:w="12451"/>
          </w:cols>
          <w:noEndnote/>
        </w:sectPr>
      </w:pPr>
    </w:p>
    <w:p w:rsidR="00FC3F35" w:rsidRPr="00576C1D" w:rsidRDefault="00C244E3" w:rsidP="00FC3F35">
      <w:pPr>
        <w:widowControl w:val="0"/>
        <w:shd w:val="clear" w:color="auto" w:fill="FFFFFF"/>
        <w:autoSpaceDE w:val="0"/>
        <w:autoSpaceDN w:val="0"/>
        <w:adjustRightInd w:val="0"/>
        <w:spacing w:before="187" w:after="0" w:line="240" w:lineRule="auto"/>
        <w:ind w:left="65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20" o:spid="_x0000_s1262" style="position:absolute;left:0;text-align:left;z-index:251577856;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GFw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" o:allowincell="f" strokeweight=".7pt">
            <w10:wrap anchorx="margin"/>
          </v:line>
        </w:pict>
      </w:r>
      <w:r w:rsidR="00FC3F35" w:rsidRPr="00576C1D">
        <w:rPr>
          <w:rFonts w:ascii="Times New Roman" w:eastAsia="Times New Roman" w:hAnsi="Times New Roman" w:cs="Times New Roman"/>
          <w:b/>
          <w:bCs/>
          <w:color w:val="000000"/>
          <w:spacing w:val="2"/>
          <w:sz w:val="24"/>
          <w:szCs w:val="24"/>
          <w:lang w:eastAsia="hr-HR"/>
        </w:rPr>
        <w:t>SC 7iil:</w:t>
      </w:r>
    </w:p>
    <w:p w:rsidR="00FC3F35" w:rsidRPr="00576C1D" w:rsidRDefault="00FC3F35" w:rsidP="00FC3F35">
      <w:pPr>
        <w:widowControl w:val="0"/>
        <w:shd w:val="clear" w:color="auto" w:fill="FFFFFF"/>
        <w:autoSpaceDE w:val="0"/>
        <w:autoSpaceDN w:val="0"/>
        <w:adjustRightInd w:val="0"/>
        <w:spacing w:before="283"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Potpora će biti usmjerena na područje sljedećih prometnih funkcionalnih regija: sjeverni Jadran, sjeverna i središnja Dalmacija, južna Dalmacija. Funkcionalne regije se temelje na analizi prijevoznih interakcija i ne podudaraju se neophodno s administrativnim regijama, što znači da na primjeru otoka svaka regija je područje gravitiranja velikim gradovima koji služe kao glavna putnička čvorišta za otoke.</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Poboljšanje otočne povezanosti je kompleksna i integrirana vrsta projekta/projekata i mora biti konceptualno dobro postavljena. U tom se pogledu planira razvoj pristupa za provedbu ovog specifičnog cilja. Pristup će biti potvrđen studijom izvedivosti, studijom utjecaja na okoliš i vjerojatno obavijesti o državnoj potpori EK-i. Pristupom će se definirati konkretne intervencije u kontekstu potreba i specifičnosti relevantnih prometnih funkcionalnih regija te će sadržavati aktivnosti poput:</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178" w:after="0" w:line="394"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osuvremenjivanja i gradnje nove infrastrukture luka kojom se pruža potpora komunikaciji s otocima</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5" w:after="0" w:line="394"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poboljšanja izravne dostupnosti luka za prijevoz putnika (uključujući ceste na otocima koje povezuju takve luke)</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after="0" w:line="394"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kupnje novih manjih putničkih brodova koji zadovoljavaju standarde niske emisije ugljika</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5" w:after="0" w:line="394"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mjera kojima se unaprjeđuje upravljanje i sigurnost prometa te bolje prometne usluge</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after="0" w:line="394"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2"/>
          <w:sz w:val="24"/>
          <w:szCs w:val="24"/>
          <w:lang w:eastAsia="hr-HR"/>
        </w:rPr>
        <w:t>pripreme projektne dokumentacije</w:t>
      </w:r>
    </w:p>
    <w:p w:rsidR="00FC3F35" w:rsidRPr="00576C1D" w:rsidRDefault="00C244E3" w:rsidP="00FC3F35">
      <w:pPr>
        <w:widowControl w:val="0"/>
        <w:shd w:val="clear" w:color="auto" w:fill="FFFFFF"/>
        <w:autoSpaceDE w:val="0"/>
        <w:autoSpaceDN w:val="0"/>
        <w:adjustRightInd w:val="0"/>
        <w:spacing w:before="259" w:after="1099" w:line="240" w:lineRule="auto"/>
        <w:ind w:left="638"/>
        <w:rPr>
          <w:rFonts w:ascii="Times New Roman" w:eastAsia="Times New Roman" w:hAnsi="Times New Roman" w:cs="Times New Roman"/>
          <w:sz w:val="24"/>
          <w:szCs w:val="24"/>
          <w:lang w:eastAsia="hr-HR"/>
        </w:rPr>
      </w:pPr>
      <w:r>
        <w:rPr>
          <w:rFonts w:ascii="Times New Roman" w:eastAsia="Times New Roman" w:hAnsi="Times New Roman" w:cs="Times New Roman"/>
          <w:noProof/>
          <w:sz w:val="20"/>
          <w:szCs w:val="20"/>
          <w:lang w:eastAsia="hr-HR"/>
        </w:rPr>
        <w:pict>
          <v:line id="Line 1721" o:spid="_x0000_s1261" style="position:absolute;left:0;text-align:left;z-index:251807232;visibility:visible;mso-position-horizontal-relative:margin" from="26.4pt,42.15pt" to="782.9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9EGA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" o:allowincell="f" strokeweight=".7pt">
            <w10:wrap anchorx="margin"/>
          </v:line>
        </w:pict>
      </w:r>
      <w:r w:rsidR="00FC3F35" w:rsidRPr="00576C1D">
        <w:rPr>
          <w:rFonts w:ascii="Times New Roman" w:eastAsia="Times New Roman" w:hAnsi="Times New Roman" w:cs="Times New Roman"/>
          <w:sz w:val="24"/>
          <w:szCs w:val="24"/>
          <w:lang w:eastAsia="hr-HR"/>
        </w:rPr>
        <w:t>Nadalje, konceptom će se definirati uvjeti PSO-a (obveze pružanja javne usluge) na način da će kupnja brodova biti dijelom ugovora o koncesiji PSO-a. Koncept će također definirati druge uvjete državne potpore.</w:t>
      </w:r>
    </w:p>
    <w:p w:rsidR="00FC3F35" w:rsidRPr="00576C1D" w:rsidRDefault="00FC3F35" w:rsidP="00FC3F35">
      <w:pPr>
        <w:widowControl w:val="0"/>
        <w:shd w:val="clear" w:color="auto" w:fill="FFFFFF"/>
        <w:autoSpaceDE w:val="0"/>
        <w:autoSpaceDN w:val="0"/>
        <w:adjustRightInd w:val="0"/>
        <w:spacing w:before="259" w:after="1099" w:line="240" w:lineRule="auto"/>
        <w:ind w:left="638"/>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Line 1722" o:spid="_x0000_s1260" style="position:absolute;z-index:251581952;visibility:visible;mso-position-horizontal-relative:margin" from="-6pt,-3.6pt" to="750.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C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723" o:spid="_x0000_s1259" style="position:absolute;z-index:251582976;visibility:visible;mso-position-horizontal-relative:margin" from="-5.5pt,-2.65pt" to="-5.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hJFQIAAC0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724" o:spid="_x0000_s1258" style="position:absolute;z-index:251584000;visibility:visible;mso-position-horizontal-relative:margin" from="750.5pt,-2.65pt" to="750.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" o:allowincell="f" strokeweight=".25pt">
            <w10:wrap anchorx="margin"/>
          </v:line>
        </w:pict>
      </w:r>
    </w:p>
    <w:p w:rsidR="00FC3F35" w:rsidRPr="00576C1D" w:rsidRDefault="00FC3F35" w:rsidP="00FC3F35">
      <w:pPr>
        <w:framePr w:h="211" w:hRule="exact" w:hSpace="38" w:wrap="auto" w:vAnchor="text" w:hAnchor="text" w:x="6" w:y="-37"/>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ind w:left="23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7ii - Razvoj i unapređenje prometnih sustava prihvatljivih za okoliš (uključujući one s niskom razinom buke), i prometni sustavi sa niskim emisijama CO</w:t>
      </w:r>
      <w:r w:rsidRPr="00576C1D">
        <w:rPr>
          <w:rFonts w:ascii="Times New Roman" w:eastAsia="Times New Roman" w:hAnsi="Times New Roman" w:cs="Times New Roman"/>
          <w:color w:val="000000"/>
          <w:spacing w:val="-1"/>
          <w:sz w:val="18"/>
          <w:szCs w:val="18"/>
          <w:vertAlign w:val="subscript"/>
          <w:lang w:eastAsia="hr-HR"/>
        </w:rPr>
        <w:t>2</w:t>
      </w:r>
      <w:r w:rsidRPr="00576C1D">
        <w:rPr>
          <w:rFonts w:ascii="Times New Roman" w:eastAsia="Times New Roman" w:hAnsi="Times New Roman" w:cs="Times New Roman"/>
          <w:color w:val="000000"/>
          <w:spacing w:val="-1"/>
          <w:sz w:val="18"/>
          <w:szCs w:val="18"/>
          <w:lang w:eastAsia="hr-HR"/>
        </w:rPr>
        <w:t>, uključujući unutarnje plovne putove i pomorski prijevoz, luke, multimodalne veze i aerodromsku infrastrukturu, radi promicanja održive regionalne i lokalne mobilnosti</w:t>
      </w:r>
    </w:p>
    <w:p w:rsidR="00FC3F35" w:rsidRPr="00576C1D" w:rsidRDefault="00C244E3" w:rsidP="00FC3F35">
      <w:pPr>
        <w:widowControl w:val="0"/>
        <w:shd w:val="clear" w:color="auto" w:fill="FFFFFF"/>
        <w:autoSpaceDE w:val="0"/>
        <w:autoSpaceDN w:val="0"/>
        <w:adjustRightInd w:val="0"/>
        <w:spacing w:after="0" w:line="557" w:lineRule="exact"/>
        <w:ind w:right="7834"/>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725" o:spid="_x0000_s1257" style="position:absolute;z-index:251585024;visibility:visible" from="-5.5pt,.5pt" to="7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F9nFw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" o:allowincell="f" strokeweight=".7pt"/>
        </w:pict>
      </w:r>
      <w:r w:rsidR="00FC3F35" w:rsidRPr="00576C1D">
        <w:rPr>
          <w:rFonts w:ascii="Times New Roman" w:eastAsia="Times New Roman" w:hAnsi="Times New Roman" w:cs="Times New Roman"/>
          <w:sz w:val="24"/>
          <w:szCs w:val="24"/>
          <w:lang w:eastAsia="hr-HR"/>
        </w:rPr>
        <w:t>Korisnici i ciljne skupine</w:t>
      </w:r>
      <w:r w:rsidR="00FC3F35"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221"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Unutar ovog specifičnog cilja, glavni korisnici će biti tijela lokalne vlasti u prometnim funkcionalnim regijama sjevernog Jadrana, sjeverne i središnje Dalmacije, južne Dalmacija ili tvrtke koje upravljaju i organiziraju usluge javnog prijevoza koje posluju na linijama od i do hrvatskih otoka</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Također se očekuje da se konzorciji korisnika mogu prijaviti za financiranje.</w:t>
      </w:r>
    </w:p>
    <w:p w:rsidR="00FC3F35" w:rsidRPr="00576C1D" w:rsidRDefault="00FC3F35" w:rsidP="00FC3F35">
      <w:pPr>
        <w:widowControl w:val="0"/>
        <w:shd w:val="clear" w:color="auto" w:fill="FFFFFF"/>
        <w:autoSpaceDE w:val="0"/>
        <w:autoSpaceDN w:val="0"/>
        <w:adjustRightInd w:val="0"/>
        <w:spacing w:before="278"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Javna će intervencija biti usmjerena na krajnje korisnike, putnike i nadležna tijela koja upravljaju prometnom infrastrukturom.</w:t>
      </w:r>
    </w:p>
    <w:p w:rsidR="00FC3F35" w:rsidRPr="00576C1D" w:rsidRDefault="00FC3F35" w:rsidP="00FC3F35">
      <w:pPr>
        <w:widowControl w:val="0"/>
        <w:shd w:val="clear" w:color="auto" w:fill="FFFFFF"/>
        <w:autoSpaceDE w:val="0"/>
        <w:autoSpaceDN w:val="0"/>
        <w:adjustRightInd w:val="0"/>
        <w:spacing w:before="830"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SC 7ii2:</w:t>
      </w:r>
    </w:p>
    <w:p w:rsidR="00FC3F35" w:rsidRPr="00576C1D" w:rsidRDefault="00FC3F35" w:rsidP="00FC3F35">
      <w:pPr>
        <w:widowControl w:val="0"/>
        <w:numPr>
          <w:ilvl w:val="0"/>
          <w:numId w:val="41"/>
        </w:numPr>
        <w:shd w:val="clear" w:color="auto" w:fill="FFFFFF"/>
        <w:autoSpaceDE w:val="0"/>
        <w:autoSpaceDN w:val="0"/>
        <w:adjustRightInd w:val="0"/>
        <w:spacing w:before="182" w:after="0" w:line="394" w:lineRule="exact"/>
        <w:ind w:left="734"/>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razvoj infrastrukture za tvrtke javnog prijevoza, usmjeren na provedbu energetski učinkovitih rješenja</w:t>
      </w:r>
    </w:p>
    <w:p w:rsidR="00FC3F35" w:rsidRPr="00576C1D" w:rsidRDefault="00FC3F35" w:rsidP="00FC3F35">
      <w:pPr>
        <w:widowControl w:val="0"/>
        <w:numPr>
          <w:ilvl w:val="0"/>
          <w:numId w:val="40"/>
        </w:numPr>
        <w:shd w:val="clear" w:color="auto" w:fill="FFFFFF"/>
        <w:autoSpaceDE w:val="0"/>
        <w:autoSpaceDN w:val="0"/>
        <w:adjustRightInd w:val="0"/>
        <w:spacing w:after="0" w:line="394" w:lineRule="exact"/>
        <w:ind w:left="734"/>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razvoj infrastrukture i sustava parkiranja koje se nadovezuju na javni prijevoz</w:t>
      </w:r>
    </w:p>
    <w:p w:rsidR="00FC3F35" w:rsidRPr="00576C1D" w:rsidRDefault="00FC3F35" w:rsidP="00FC3F35">
      <w:pPr>
        <w:widowControl w:val="0"/>
        <w:numPr>
          <w:ilvl w:val="0"/>
          <w:numId w:val="42"/>
        </w:numPr>
        <w:shd w:val="clear" w:color="auto" w:fill="FFFFFF"/>
        <w:autoSpaceDE w:val="0"/>
        <w:autoSpaceDN w:val="0"/>
        <w:adjustRightInd w:val="0"/>
        <w:spacing w:after="0" w:line="394" w:lineRule="exact"/>
        <w:ind w:left="724"/>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izgradnja i osuvremenjivanje infrastrukture javnog prijevoza</w:t>
      </w:r>
    </w:p>
    <w:p w:rsidR="00FC3F35" w:rsidRPr="00576C1D" w:rsidRDefault="00FC3F35" w:rsidP="00FC3F35">
      <w:pPr>
        <w:widowControl w:val="0"/>
        <w:numPr>
          <w:ilvl w:val="0"/>
          <w:numId w:val="42"/>
        </w:numPr>
        <w:shd w:val="clear" w:color="auto" w:fill="FFFFFF"/>
        <w:autoSpaceDE w:val="0"/>
        <w:autoSpaceDN w:val="0"/>
        <w:adjustRightInd w:val="0"/>
        <w:spacing w:after="0" w:line="394" w:lineRule="exact"/>
        <w:ind w:left="724"/>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nabava i osuvremenjivanje putničkog željezničkog voznog parka (tramvaja, eko autobusa, lakih željeznica) s niskom emisijom CO</w:t>
      </w:r>
      <w:r w:rsidRPr="00576C1D">
        <w:rPr>
          <w:rFonts w:ascii="Times New Roman" w:eastAsia="Times New Roman" w:hAnsi="Times New Roman" w:cs="Times New Roman"/>
          <w:color w:val="000000"/>
          <w:sz w:val="24"/>
          <w:szCs w:val="24"/>
          <w:vertAlign w:val="subscript"/>
          <w:lang w:eastAsia="hr-HR"/>
        </w:rPr>
        <w:t xml:space="preserve">2 </w:t>
      </w:r>
      <w:r w:rsidRPr="00576C1D">
        <w:rPr>
          <w:rFonts w:ascii="Times New Roman" w:eastAsia="Times New Roman" w:hAnsi="Times New Roman" w:cs="Times New Roman"/>
          <w:color w:val="000000"/>
          <w:sz w:val="24"/>
          <w:szCs w:val="24"/>
          <w:lang w:eastAsia="hr-HR"/>
        </w:rPr>
        <w:t>za prijevoznike u javnom prijevozu</w:t>
      </w:r>
    </w:p>
    <w:p w:rsidR="00FC3F35" w:rsidRPr="00576C1D" w:rsidRDefault="00FC3F35" w:rsidP="00FC3F35">
      <w:pPr>
        <w:widowControl w:val="0"/>
        <w:numPr>
          <w:ilvl w:val="0"/>
          <w:numId w:val="42"/>
        </w:numPr>
        <w:shd w:val="clear" w:color="auto" w:fill="FFFFFF"/>
        <w:autoSpaceDE w:val="0"/>
        <w:autoSpaceDN w:val="0"/>
        <w:adjustRightInd w:val="0"/>
        <w:spacing w:after="0" w:line="394" w:lineRule="exact"/>
        <w:ind w:left="724"/>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primjena sustava nadzora i upravljanja prometnim sustavima (ITS) unutar gradskih područja</w:t>
      </w:r>
    </w:p>
    <w:p w:rsidR="00FC3F35" w:rsidRPr="00576C1D" w:rsidRDefault="00FC3F35" w:rsidP="00FC3F35">
      <w:pPr>
        <w:widowControl w:val="0"/>
        <w:numPr>
          <w:ilvl w:val="0"/>
          <w:numId w:val="42"/>
        </w:numPr>
        <w:shd w:val="clear" w:color="auto" w:fill="FFFFFF"/>
        <w:autoSpaceDE w:val="0"/>
        <w:autoSpaceDN w:val="0"/>
        <w:adjustRightInd w:val="0"/>
        <w:spacing w:after="0" w:line="394" w:lineRule="exact"/>
        <w:ind w:left="724"/>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uvođenje sustava s jedinstvenom kartom i modernih sustava obavještavanja putnika</w:t>
      </w:r>
    </w:p>
    <w:p w:rsidR="00FC3F35" w:rsidRPr="00576C1D" w:rsidRDefault="00FC3F35" w:rsidP="00FC3F35">
      <w:pPr>
        <w:widowControl w:val="0"/>
        <w:numPr>
          <w:ilvl w:val="0"/>
          <w:numId w:val="42"/>
        </w:numPr>
        <w:shd w:val="clear" w:color="auto" w:fill="FFFFFF"/>
        <w:autoSpaceDE w:val="0"/>
        <w:autoSpaceDN w:val="0"/>
        <w:adjustRightInd w:val="0"/>
        <w:spacing w:after="0" w:line="394" w:lineRule="exact"/>
        <w:ind w:left="724"/>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izgradnja i poboljšanje biciklističkih putova i staza</w:t>
      </w:r>
    </w:p>
    <w:p w:rsidR="00FC3F35" w:rsidRPr="00576C1D" w:rsidRDefault="00C244E3" w:rsidP="00FC3F35">
      <w:pPr>
        <w:widowControl w:val="0"/>
        <w:numPr>
          <w:ilvl w:val="0"/>
          <w:numId w:val="42"/>
        </w:numPr>
        <w:shd w:val="clear" w:color="auto" w:fill="FFFFFF"/>
        <w:autoSpaceDE w:val="0"/>
        <w:autoSpaceDN w:val="0"/>
        <w:adjustRightInd w:val="0"/>
        <w:spacing w:before="5" w:after="0" w:line="394" w:lineRule="exact"/>
        <w:ind w:left="724"/>
        <w:contextualSpacing/>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726" o:spid="_x0000_s1256" style="position:absolute;left:0;text-align:left;z-index:251808256;visibility:visible;mso-position-horizontal-relative:margin" from="-6.45pt,46.5pt" to="75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uvođenje sustava za zajedničko korištenje bicikala</w:t>
      </w:r>
    </w:p>
    <w:p w:rsidR="00FC3F35" w:rsidRPr="00576C1D" w:rsidRDefault="00FC3F35" w:rsidP="00FC3F35">
      <w:pPr>
        <w:widowControl w:val="0"/>
        <w:shd w:val="clear" w:color="auto" w:fill="FFFFFF"/>
        <w:autoSpaceDE w:val="0"/>
        <w:autoSpaceDN w:val="0"/>
        <w:adjustRightInd w:val="0"/>
        <w:spacing w:after="0" w:line="557" w:lineRule="exact"/>
        <w:ind w:right="7834"/>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950" w:line="394" w:lineRule="exact"/>
        <w:ind w:left="725"/>
        <w:rPr>
          <w:rFonts w:ascii="Times New Roman" w:eastAsia="Times New Roman" w:hAnsi="Times New Roman" w:cs="Times New Roman"/>
          <w:sz w:val="20"/>
          <w:szCs w:val="20"/>
          <w:lang w:eastAsia="hr-HR"/>
        </w:rPr>
        <w:sectPr w:rsidR="00FC3F35" w:rsidRPr="00576C1D">
          <w:pgSz w:w="16834" w:h="11909" w:orient="landscape"/>
          <w:pgMar w:top="1207" w:right="786" w:bottom="360" w:left="1178"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Line 1727" o:spid="_x0000_s1255" style="position:absolute;z-index:251588096;visibility:visible;mso-position-horizontal-relative:margin" from="-6pt,-3.6pt" to="750.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Dkr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728" o:spid="_x0000_s1254" style="position:absolute;z-index:251589120;visibility:visible;mso-position-horizontal-relative:margin" from="-5.5pt,-2.65pt" to="-5.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729" o:spid="_x0000_s1253" style="position:absolute;z-index:251590144;visibility:visible;mso-position-horizontal-relative:margin" from="750.5pt,-2.65pt" to="750.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JAFAIAAC0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" o:allowincell="f" strokeweight=".25pt">
            <w10:wrap anchorx="margin"/>
          </v:line>
        </w:pict>
      </w:r>
    </w:p>
    <w:p w:rsidR="00FC3F35" w:rsidRPr="00576C1D" w:rsidRDefault="00FC3F35" w:rsidP="00FC3F35">
      <w:pPr>
        <w:framePr w:h="211" w:hRule="exact" w:hSpace="38" w:wrap="auto" w:vAnchor="text" w:hAnchor="text" w:x="6" w:y="-37"/>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ind w:left="23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7ii - Razvoj i unapređenje prometnih sustava prihvatljivih za okoliš (uključujući one s niskom razinom buke), i prometni sustavi sa niskim emisijama CO</w:t>
      </w:r>
      <w:r w:rsidRPr="00576C1D">
        <w:rPr>
          <w:rFonts w:ascii="Times New Roman" w:eastAsia="Times New Roman" w:hAnsi="Times New Roman" w:cs="Times New Roman"/>
          <w:color w:val="000000"/>
          <w:spacing w:val="-1"/>
          <w:sz w:val="18"/>
          <w:szCs w:val="18"/>
          <w:vertAlign w:val="subscript"/>
          <w:lang w:eastAsia="hr-HR"/>
        </w:rPr>
        <w:t>2</w:t>
      </w:r>
      <w:r w:rsidRPr="00576C1D">
        <w:rPr>
          <w:rFonts w:ascii="Times New Roman" w:eastAsia="Times New Roman" w:hAnsi="Times New Roman" w:cs="Times New Roman"/>
          <w:color w:val="000000"/>
          <w:spacing w:val="-1"/>
          <w:sz w:val="18"/>
          <w:szCs w:val="18"/>
          <w:lang w:eastAsia="hr-HR"/>
        </w:rPr>
        <w:t>, uključujući unutarnje plovne putove i pomorski prijevoz, luke, multimodalne veze i aerodromsku infrastrukturu, radi promicanja održive regionalne i lokalne mobilnosti</w:t>
      </w:r>
    </w:p>
    <w:p w:rsidR="00FC3F35" w:rsidRPr="00576C1D" w:rsidRDefault="00C244E3" w:rsidP="00FC3F35">
      <w:pPr>
        <w:widowControl w:val="0"/>
        <w:numPr>
          <w:ilvl w:val="0"/>
          <w:numId w:val="15"/>
        </w:numPr>
        <w:shd w:val="clear" w:color="auto" w:fill="FFFFFF"/>
        <w:tabs>
          <w:tab w:val="left" w:pos="725"/>
        </w:tabs>
        <w:autoSpaceDE w:val="0"/>
        <w:autoSpaceDN w:val="0"/>
        <w:adjustRightInd w:val="0"/>
        <w:spacing w:after="0" w:line="394" w:lineRule="exact"/>
        <w:ind w:left="398"/>
        <w:rPr>
          <w:rFonts w:ascii="Times New Roman" w:eastAsia="Times New Roman" w:hAnsi="Times New Roman" w:cs="Times New Roman"/>
          <w:color w:val="000000"/>
          <w:sz w:val="24"/>
          <w:szCs w:val="24"/>
          <w:lang w:eastAsia="hr-HR"/>
        </w:rPr>
      </w:pPr>
      <w:r>
        <w:rPr>
          <w:rFonts w:ascii="Times New Roman" w:eastAsia="Times New Roman" w:hAnsi="Times New Roman" w:cs="Times New Roman"/>
          <w:noProof/>
          <w:sz w:val="20"/>
          <w:szCs w:val="20"/>
          <w:lang w:eastAsia="hr-HR"/>
        </w:rPr>
        <w:pict>
          <v:line id="Line 1730" o:spid="_x0000_s1252" style="position:absolute;left:0;text-align:left;z-index:251591168;visibility:visible" from="-5.5pt,3.6pt" to="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g2Fw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" o:allowincell="f" strokeweight=".7pt"/>
        </w:pict>
      </w:r>
      <w:r w:rsidR="00FC3F35" w:rsidRPr="00576C1D">
        <w:rPr>
          <w:rFonts w:ascii="Times New Roman" w:eastAsia="Times New Roman" w:hAnsi="Times New Roman" w:cs="Times New Roman"/>
          <w:sz w:val="24"/>
          <w:szCs w:val="20"/>
          <w:lang w:eastAsia="hr-HR"/>
        </w:rPr>
        <w:t>probno uvođenje stanica za punjenje električnih automobila i ostale povezane male infrastrukture</w:t>
      </w:r>
    </w:p>
    <w:p w:rsidR="00FC3F35" w:rsidRPr="00576C1D" w:rsidRDefault="00FC3F35" w:rsidP="00FC3F35">
      <w:pPr>
        <w:widowControl w:val="0"/>
        <w:numPr>
          <w:ilvl w:val="0"/>
          <w:numId w:val="15"/>
        </w:numPr>
        <w:shd w:val="clear" w:color="auto" w:fill="FFFFFF"/>
        <w:tabs>
          <w:tab w:val="left" w:pos="725"/>
        </w:tabs>
        <w:autoSpaceDE w:val="0"/>
        <w:autoSpaceDN w:val="0"/>
        <w:adjustRightInd w:val="0"/>
        <w:spacing w:after="0" w:line="394" w:lineRule="exact"/>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uvođenje drugih rješenja čiste mobilnosti i inovativnih tehnologija</w:t>
      </w:r>
    </w:p>
    <w:p w:rsidR="00FC3F35" w:rsidRPr="00576C1D" w:rsidRDefault="00FC3F35" w:rsidP="00FC3F35">
      <w:pPr>
        <w:widowControl w:val="0"/>
        <w:numPr>
          <w:ilvl w:val="0"/>
          <w:numId w:val="15"/>
        </w:numPr>
        <w:shd w:val="clear" w:color="auto" w:fill="FFFFFF"/>
        <w:tabs>
          <w:tab w:val="left" w:pos="725"/>
        </w:tabs>
        <w:autoSpaceDE w:val="0"/>
        <w:autoSpaceDN w:val="0"/>
        <w:adjustRightInd w:val="0"/>
        <w:spacing w:after="0" w:line="394" w:lineRule="exact"/>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priprema projektne dokumentacije</w:t>
      </w:r>
    </w:p>
    <w:p w:rsidR="00FC3F35" w:rsidRPr="00576C1D" w:rsidRDefault="00FC3F35" w:rsidP="00FC3F35">
      <w:pPr>
        <w:widowControl w:val="0"/>
        <w:shd w:val="clear" w:color="auto" w:fill="FFFFFF"/>
        <w:autoSpaceDE w:val="0"/>
        <w:autoSpaceDN w:val="0"/>
        <w:adjustRightInd w:val="0"/>
        <w:spacing w:before="259"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Mogući korisnici i konačni primatelji:</w:t>
      </w:r>
    </w:p>
    <w:p w:rsidR="00FC3F35" w:rsidRPr="00576C1D" w:rsidRDefault="00FC3F35" w:rsidP="00FC3F35">
      <w:pPr>
        <w:widowControl w:val="0"/>
        <w:shd w:val="clear" w:color="auto" w:fill="FFFFFF"/>
        <w:autoSpaceDE w:val="0"/>
        <w:autoSpaceDN w:val="0"/>
        <w:adjustRightInd w:val="0"/>
        <w:spacing w:before="278" w:after="0" w:line="274"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Unutar domene javnog prijevoza, glavni korisnici će biti tijela lokalne vlasti ili tvrtke koje su osnovale tijela lokalne vlasti koje kontroliraju i organiziraju usluge javnog prijevoza.</w:t>
      </w:r>
    </w:p>
    <w:p w:rsidR="00FC3F35" w:rsidRPr="00576C1D" w:rsidRDefault="00FC3F35" w:rsidP="00FC3F35">
      <w:pPr>
        <w:widowControl w:val="0"/>
        <w:shd w:val="clear" w:color="auto" w:fill="FFFFFF"/>
        <w:autoSpaceDE w:val="0"/>
        <w:autoSpaceDN w:val="0"/>
        <w:adjustRightInd w:val="0"/>
        <w:spacing w:before="278"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Također se očekuje da se konzorciji upravitelja javnog prijevoza mogu prijaviti za financiranje, kao i konzorciji lokalnih vlasti i konzorciji međusobnih kombinacija tih skupina. Javna intervencija će biti usmjerena na korisnike javnog prijevoza u gradskim područjima i na upravitelje usluga javnog prijevoza koji trebaju pružiti zadovoljavajuću razinu usluga te moraju moći osigurati primjerenu integraciju usluga s nekoliko drugih oblika prijevoza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600" w:after="0" w:line="557" w:lineRule="exact"/>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SC 7ii3:</w:t>
      </w:r>
    </w:p>
    <w:p w:rsidR="00FC3F35" w:rsidRPr="00576C1D" w:rsidRDefault="00FC3F35" w:rsidP="00FC3F35">
      <w:pPr>
        <w:widowControl w:val="0"/>
        <w:shd w:val="clear" w:color="auto" w:fill="FFFFFF"/>
        <w:autoSpaceDE w:val="0"/>
        <w:autoSpaceDN w:val="0"/>
        <w:adjustRightInd w:val="0"/>
        <w:spacing w:after="0" w:line="557" w:lineRule="exact"/>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Gradnja i osuvremenjivanje zrakoplovne infrastrukture i opreme u Zračnoj luci Dubrovnik, uključujući:</w:t>
      </w:r>
    </w:p>
    <w:p w:rsidR="00FC3F35" w:rsidRPr="00576C1D" w:rsidRDefault="00FC3F35" w:rsidP="00FC3F35">
      <w:pPr>
        <w:widowControl w:val="0"/>
        <w:numPr>
          <w:ilvl w:val="0"/>
          <w:numId w:val="2"/>
        </w:numPr>
        <w:shd w:val="clear" w:color="auto" w:fill="FFFFFF"/>
        <w:tabs>
          <w:tab w:val="left" w:pos="720"/>
        </w:tabs>
        <w:autoSpaceDE w:val="0"/>
        <w:autoSpaceDN w:val="0"/>
        <w:adjustRightInd w:val="0"/>
        <w:spacing w:after="0" w:line="557" w:lineRule="exact"/>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Rekonstrukciju i nadogradnju glavnog uzletišta</w:t>
      </w:r>
    </w:p>
    <w:p w:rsidR="00FC3F35" w:rsidRPr="00576C1D" w:rsidRDefault="00FC3F35" w:rsidP="00FC3F35">
      <w:pPr>
        <w:widowControl w:val="0"/>
        <w:numPr>
          <w:ilvl w:val="0"/>
          <w:numId w:val="2"/>
        </w:numPr>
        <w:shd w:val="clear" w:color="auto" w:fill="FFFFFF"/>
        <w:tabs>
          <w:tab w:val="left" w:pos="720"/>
        </w:tabs>
        <w:autoSpaceDE w:val="0"/>
        <w:autoSpaceDN w:val="0"/>
        <w:adjustRightInd w:val="0"/>
        <w:spacing w:after="0" w:line="394" w:lineRule="exact"/>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Izgradnju paralelnih rulnih staza</w:t>
      </w:r>
    </w:p>
    <w:p w:rsidR="00FC3F35" w:rsidRPr="00576C1D" w:rsidRDefault="00FC3F35" w:rsidP="00FC3F35">
      <w:pPr>
        <w:widowControl w:val="0"/>
        <w:numPr>
          <w:ilvl w:val="0"/>
          <w:numId w:val="2"/>
        </w:numPr>
        <w:shd w:val="clear" w:color="auto" w:fill="FFFFFF"/>
        <w:tabs>
          <w:tab w:val="left" w:pos="720"/>
        </w:tabs>
        <w:autoSpaceDE w:val="0"/>
        <w:autoSpaceDN w:val="0"/>
        <w:adjustRightInd w:val="0"/>
        <w:spacing w:after="0" w:line="394" w:lineRule="exact"/>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Izgradnju putničkih zgrada</w:t>
      </w:r>
    </w:p>
    <w:p w:rsidR="00FC3F35" w:rsidRPr="00576C1D" w:rsidRDefault="00C244E3" w:rsidP="00FC3F35">
      <w:pPr>
        <w:widowControl w:val="0"/>
        <w:numPr>
          <w:ilvl w:val="0"/>
          <w:numId w:val="2"/>
        </w:numPr>
        <w:shd w:val="clear" w:color="auto" w:fill="FFFFFF"/>
        <w:tabs>
          <w:tab w:val="left" w:pos="720"/>
        </w:tabs>
        <w:autoSpaceDE w:val="0"/>
        <w:autoSpaceDN w:val="0"/>
        <w:adjustRightInd w:val="0"/>
        <w:spacing w:after="1282" w:line="394" w:lineRule="exact"/>
        <w:ind w:left="398"/>
        <w:rPr>
          <w:rFonts w:ascii="Times New Roman" w:eastAsia="Times New Roman" w:hAnsi="Times New Roman" w:cs="Times New Roman"/>
          <w:color w:val="000000"/>
          <w:sz w:val="24"/>
          <w:szCs w:val="24"/>
          <w:lang w:eastAsia="hr-HR"/>
        </w:rPr>
      </w:pPr>
      <w:r>
        <w:rPr>
          <w:rFonts w:ascii="Times New Roman" w:eastAsia="Times New Roman" w:hAnsi="Times New Roman" w:cs="Times New Roman"/>
          <w:noProof/>
          <w:sz w:val="20"/>
          <w:szCs w:val="20"/>
          <w:lang w:eastAsia="hr-HR"/>
        </w:rPr>
        <w:pict>
          <v:line id="Line 1731" o:spid="_x0000_s1251" style="position:absolute;left:0;text-align:left;z-index:251809280;visibility:visible;mso-position-horizontal-relative:margin" from="-6pt,45.75pt" to="750.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I0GAIAAC4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Izgradnja velikih rezervoara za gorivo, postrojenja za gospodarenje otpadom, mostova za ukrcaj u avione i električnih trafostanica</w:t>
      </w:r>
    </w:p>
    <w:p w:rsidR="00FC3F35" w:rsidRPr="00576C1D" w:rsidRDefault="00FC3F35" w:rsidP="00FC3F35">
      <w:pPr>
        <w:widowControl w:val="0"/>
        <w:numPr>
          <w:ilvl w:val="0"/>
          <w:numId w:val="2"/>
        </w:numPr>
        <w:shd w:val="clear" w:color="auto" w:fill="FFFFFF"/>
        <w:tabs>
          <w:tab w:val="left" w:pos="720"/>
        </w:tabs>
        <w:autoSpaceDE w:val="0"/>
        <w:autoSpaceDN w:val="0"/>
        <w:adjustRightInd w:val="0"/>
        <w:spacing w:after="1282" w:line="394" w:lineRule="exact"/>
        <w:ind w:left="398"/>
        <w:rPr>
          <w:rFonts w:ascii="Times New Roman" w:eastAsia="Times New Roman" w:hAnsi="Times New Roman" w:cs="Times New Roman"/>
          <w:color w:val="000000"/>
          <w:sz w:val="24"/>
          <w:szCs w:val="24"/>
          <w:lang w:eastAsia="hr-HR"/>
        </w:rPr>
        <w:sectPr w:rsidR="00FC3F35" w:rsidRPr="00576C1D">
          <w:pgSz w:w="16834" w:h="11909" w:orient="landscape"/>
          <w:pgMar w:top="1205" w:right="863" w:bottom="360" w:left="1178"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32" o:spid="_x0000_s1250" style="position:absolute;z-index:251633664;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8y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hZtfMh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733" o:spid="_x0000_s1249" style="position:absolute;z-index:251635712;visibility:visible;mso-position-horizontal-relative:margin" from="-5.75pt,-2.65pt" to="-5.7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S4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" o:allowincell="f" strokeweight=".25pt">
            <w10:wrap anchorx="margin"/>
          </v:line>
        </w:pict>
      </w:r>
      <w:r>
        <w:rPr>
          <w:rFonts w:ascii="Times New Roman" w:eastAsia="Times New Roman" w:hAnsi="Times New Roman" w:cs="Times New Roman"/>
          <w:noProof/>
          <w:sz w:val="20"/>
          <w:szCs w:val="20"/>
          <w:lang w:eastAsia="hr-HR"/>
        </w:rPr>
        <w:pict>
          <v:line id="Line 1734" o:spid="_x0000_s1248" style="position:absolute;z-index:251637760;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z+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DU7hz+FQIAACwEAAAOAAAAAAAAAAAAAAAAAC4CAABkcnMvZTJvRG9jLnhtbFBLAQItABQABgAI&#10;AAAAIQA5N2s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735" o:spid="_x0000_s1247" style="position:absolute;z-index:251639808;visibility:visible;mso-position-horizontal-relative:margin" from="750.25pt,-2.65pt" to="750.2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FA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7ii - Razvoj i unapređenje prometnih sustava prihvatljivih za okoliš (uključujući one s niskom razinom buke), i prometni sustavi sa niskim emisijama CO</w:t>
      </w:r>
      <w:r w:rsidRPr="00576C1D">
        <w:rPr>
          <w:rFonts w:ascii="Times New Roman" w:eastAsia="Times New Roman" w:hAnsi="Times New Roman" w:cs="Times New Roman"/>
          <w:color w:val="000000"/>
          <w:spacing w:val="-1"/>
          <w:sz w:val="18"/>
          <w:szCs w:val="18"/>
          <w:vertAlign w:val="subscript"/>
          <w:lang w:eastAsia="hr-HR"/>
        </w:rPr>
        <w:t>2</w:t>
      </w:r>
      <w:r w:rsidRPr="00576C1D">
        <w:rPr>
          <w:rFonts w:ascii="Times New Roman" w:eastAsia="Times New Roman" w:hAnsi="Times New Roman" w:cs="Times New Roman"/>
          <w:color w:val="000000"/>
          <w:spacing w:val="-1"/>
          <w:sz w:val="18"/>
          <w:szCs w:val="18"/>
          <w:lang w:eastAsia="hr-HR"/>
        </w:rPr>
        <w:t>, uključujući unutarnje plovne putove i pomorski prijevoz, luke, multimodalne veze i aerodromsku infrastrukturu, radi promicanja održive regionalne i lokalne mobilnosti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7" w:right="863" w:bottom="360" w:left="1183" w:header="720" w:footer="720" w:gutter="0"/>
          <w:cols w:num="2" w:space="720" w:equalWidth="0">
            <w:col w:w="2219" w:space="118"/>
            <w:col w:w="12451"/>
          </w:cols>
          <w:noEndnote/>
        </w:sectPr>
      </w:pPr>
    </w:p>
    <w:p w:rsidR="00FC3F35" w:rsidRPr="00576C1D" w:rsidRDefault="00C244E3" w:rsidP="00FC3F35">
      <w:pPr>
        <w:widowControl w:val="0"/>
        <w:shd w:val="clear" w:color="auto" w:fill="FFFFFF"/>
        <w:autoSpaceDE w:val="0"/>
        <w:autoSpaceDN w:val="0"/>
        <w:adjustRightInd w:val="0"/>
        <w:spacing w:before="72" w:after="0" w:line="240" w:lineRule="auto"/>
        <w:ind w:left="638"/>
        <w:rPr>
          <w:rFonts w:ascii="Times New Roman" w:eastAsia="Times New Roman" w:hAnsi="Times New Roman" w:cs="Times New Roman"/>
          <w:sz w:val="24"/>
          <w:szCs w:val="24"/>
          <w:lang w:eastAsia="hr-HR"/>
        </w:rPr>
      </w:pPr>
      <w:r>
        <w:rPr>
          <w:rFonts w:ascii="Times New Roman" w:eastAsia="Times New Roman" w:hAnsi="Times New Roman" w:cs="Times New Roman"/>
          <w:noProof/>
          <w:sz w:val="20"/>
          <w:szCs w:val="20"/>
          <w:lang w:eastAsia="hr-HR"/>
        </w:rPr>
        <w:lastRenderedPageBreak/>
        <w:pict>
          <v:line id="Line 1736" o:spid="_x0000_s1246" style="position:absolute;left:0;text-align:left;z-index:251640832;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vJFwIAAC0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" o:allowincell="f" strokeweight=".7pt">
            <w10:wrap anchorx="margin"/>
          </v:line>
        </w:pict>
      </w:r>
      <w:r w:rsidR="00FC3F35" w:rsidRPr="00576C1D">
        <w:rPr>
          <w:rFonts w:ascii="Times New Roman" w:eastAsia="Times New Roman" w:hAnsi="Times New Roman" w:cs="Times New Roman"/>
          <w:sz w:val="24"/>
          <w:szCs w:val="24"/>
          <w:lang w:eastAsia="hr-HR"/>
        </w:rPr>
        <w:t>Unutar ovog specifičnog cilja, glavni korisnik će biti Zračna luka Dubrovnik</w:t>
      </w:r>
      <w:r w:rsidR="00FC3F35" w:rsidRPr="00576C1D">
        <w:rPr>
          <w:rFonts w:ascii="Times New Roman" w:eastAsia="Times New Roman" w:hAnsi="Times New Roman" w:cs="Times New Roman"/>
          <w:color w:val="000000"/>
          <w:spacing w:val="-1"/>
          <w:sz w:val="24"/>
          <w:szCs w:val="24"/>
          <w:lang w:eastAsia="hr-HR"/>
        </w:rPr>
        <w:t>.</w:t>
      </w:r>
    </w:p>
    <w:p w:rsidR="00FC3F35" w:rsidRPr="00576C1D" w:rsidRDefault="00C244E3" w:rsidP="00FC3F35">
      <w:pPr>
        <w:widowControl w:val="0"/>
        <w:shd w:val="clear" w:color="auto" w:fill="FFFFFF"/>
        <w:autoSpaceDE w:val="0"/>
        <w:autoSpaceDN w:val="0"/>
        <w:adjustRightInd w:val="0"/>
        <w:spacing w:before="1008" w:after="0" w:line="240" w:lineRule="auto"/>
        <w:ind w:left="590"/>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737" o:spid="_x0000_s1245" style="position:absolute;left:0;text-align:left;z-index:251641856;visibility:visible" from="25.9pt,23.75pt" to="78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y+FA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" o:allowincell="f" strokeweight=".25pt"/>
        </w:pict>
      </w:r>
      <w:r w:rsidR="00FC3F35" w:rsidRPr="00576C1D">
        <w:rPr>
          <w:rFonts w:ascii="Times New Roman" w:eastAsia="Times New Roman" w:hAnsi="Times New Roman" w:cs="Times New Roman"/>
          <w:i/>
          <w:iCs/>
          <w:color w:val="000000"/>
          <w:spacing w:val="1"/>
          <w:sz w:val="24"/>
          <w:szCs w:val="24"/>
          <w:lang w:eastAsia="hr-HR"/>
        </w:rPr>
        <w:t>2.A.6.2 Vodeća načela za odabir operacija</w:t>
      </w:r>
    </w:p>
    <w:p w:rsidR="00FC3F35" w:rsidRPr="00576C1D" w:rsidRDefault="00FC3F35" w:rsidP="00FC3F35">
      <w:pPr>
        <w:widowControl w:val="0"/>
        <w:shd w:val="clear" w:color="auto" w:fill="FFFFFF"/>
        <w:autoSpaceDE w:val="0"/>
        <w:autoSpaceDN w:val="0"/>
        <w:adjustRightInd w:val="0"/>
        <w:spacing w:before="1008" w:after="0" w:line="240" w:lineRule="auto"/>
        <w:ind w:left="590"/>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Pr="00576C1D" w:rsidRDefault="00C244E3"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Line 1738" o:spid="_x0000_s1244" style="position:absolute;z-index:251642880;visibility:visible;mso-position-horizontal-relative:margin" from="-6pt,5.5pt" to="750.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BN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739" o:spid="_x0000_s1243" style="position:absolute;z-index:251643904;visibility:visible;mso-position-horizontal-relative:margin" from="-5.5pt,6.5pt" to="-5.5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ygEw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" o:allowincell="f" strokeweight=".25pt">
            <w10:wrap anchorx="margin"/>
          </v:line>
        </w:pict>
      </w:r>
      <w:r>
        <w:rPr>
          <w:rFonts w:ascii="Times New Roman" w:eastAsia="Times New Roman" w:hAnsi="Times New Roman" w:cs="Times New Roman"/>
          <w:noProof/>
          <w:sz w:val="20"/>
          <w:szCs w:val="20"/>
          <w:lang w:eastAsia="hr-HR"/>
        </w:rPr>
        <w:pict>
          <v:line id="Line 1740" o:spid="_x0000_s1242" style="position:absolute;z-index:251644928;visibility:visible;mso-position-horizontal-relative:margin" from="750.5pt,6.5pt" to="750.5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" o:allowincell="f" strokeweight=".25pt">
            <w10:wrap anchorx="margin"/>
          </v:line>
        </w:pict>
      </w:r>
    </w:p>
    <w:p w:rsidR="00FC3F35" w:rsidRPr="00576C1D" w:rsidRDefault="00FC3F35" w:rsidP="00FC3F35">
      <w:pPr>
        <w:framePr w:h="211" w:hRule="exact" w:hSpace="38" w:wrap="auto" w:vAnchor="text" w:hAnchor="text" w:x="6" w:y="145"/>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C244E3" w:rsidP="00FC3F35">
      <w:pPr>
        <w:widowControl w:val="0"/>
        <w:shd w:val="clear" w:color="auto" w:fill="FFFFFF"/>
        <w:autoSpaceDE w:val="0"/>
        <w:autoSpaceDN w:val="0"/>
        <w:adjustRightInd w:val="0"/>
        <w:spacing w:before="182" w:after="0" w:line="206" w:lineRule="exact"/>
        <w:ind w:left="2342"/>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241" style="position:absolute;left:0;text-align:left;z-index:251730944;visibility:visible;mso-position-horizontal-relative:margin" from="110.6pt,4.65pt" to="110.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iV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" o:allowincell="f" strokeweight=".7pt">
            <w10:wrap anchorx="margin"/>
          </v:line>
        </w:pict>
      </w:r>
      <w:r w:rsidR="00FC3F35" w:rsidRPr="00576C1D">
        <w:rPr>
          <w:rFonts w:ascii="Times New Roman" w:eastAsia="Times New Roman" w:hAnsi="Times New Roman" w:cs="Times New Roman"/>
          <w:color w:val="000000"/>
          <w:spacing w:val="-1"/>
          <w:sz w:val="18"/>
          <w:szCs w:val="18"/>
          <w:lang w:eastAsia="hr-HR"/>
        </w:rPr>
        <w:t>7ii - Razvoj i unapređenje prometnih sustava prihvatljivih za okoliš (uključujući one s niskom razinom buke), i prometni sustavi sa niskim emisijama CO2, uključujući unutarnje plovne putove i pomorski prijevoz, luke, multimodalne veze i aerodromsku infrastrukturu, radi promicanja održive regionalne i lokalne mobilnosti</w:t>
      </w:r>
    </w:p>
    <w:p w:rsidR="00FC3F35" w:rsidRPr="00576C1D" w:rsidRDefault="00C244E3" w:rsidP="00FC3F35">
      <w:pPr>
        <w:widowControl w:val="0"/>
        <w:shd w:val="clear" w:color="auto" w:fill="FFFFFF"/>
        <w:autoSpaceDE w:val="0"/>
        <w:autoSpaceDN w:val="0"/>
        <w:adjustRightInd w:val="0"/>
        <w:spacing w:after="0" w:line="557" w:lineRule="exact"/>
        <w:ind w:left="14"/>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961" o:spid="_x0000_s1240" style="position:absolute;left:0;text-align:left;z-index:251707392;visibility:visible;mso-position-horizontal-relative:margin" from="-6pt,1.45pt" to="75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5Z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" o:allowincell="f" strokeweight=".7pt">
            <w10:wrap anchorx="margin"/>
          </v:line>
        </w:pict>
      </w:r>
      <w:r w:rsidR="00FC3F35" w:rsidRPr="00576C1D">
        <w:rPr>
          <w:rFonts w:ascii="Times New Roman" w:eastAsia="Times New Roman" w:hAnsi="Times New Roman" w:cs="Times New Roman"/>
          <w:color w:val="000000"/>
          <w:spacing w:val="5"/>
          <w:sz w:val="24"/>
          <w:szCs w:val="24"/>
          <w:lang w:eastAsia="hr-HR"/>
        </w:rPr>
        <w:t>SC 7iil:</w:t>
      </w:r>
    </w:p>
    <w:p w:rsidR="00FC3F35" w:rsidRPr="00576C1D" w:rsidRDefault="00FC3F35" w:rsidP="00FC3F35">
      <w:pPr>
        <w:widowControl w:val="0"/>
        <w:shd w:val="clear" w:color="auto" w:fill="FFFFFF"/>
        <w:autoSpaceDE w:val="0"/>
        <w:autoSpaceDN w:val="0"/>
        <w:adjustRightInd w:val="0"/>
        <w:spacing w:after="0" w:line="557"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Projekti se biraju u skladu s dvije moguće sheme:</w:t>
      </w:r>
    </w:p>
    <w:p w:rsidR="00FC3F35" w:rsidRPr="00576C1D" w:rsidRDefault="00FC3F35" w:rsidP="00FC3F35">
      <w:pPr>
        <w:widowControl w:val="0"/>
        <w:numPr>
          <w:ilvl w:val="0"/>
          <w:numId w:val="15"/>
        </w:numPr>
        <w:shd w:val="clear" w:color="auto" w:fill="FFFFFF"/>
        <w:tabs>
          <w:tab w:val="left" w:pos="725"/>
        </w:tabs>
        <w:autoSpaceDE w:val="0"/>
        <w:autoSpaceDN w:val="0"/>
        <w:adjustRightInd w:val="0"/>
        <w:spacing w:after="0" w:line="557" w:lineRule="exact"/>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otvoreni poziv za dostavljanje ponuda</w:t>
      </w:r>
    </w:p>
    <w:p w:rsidR="00FC3F35" w:rsidRPr="00576C1D" w:rsidRDefault="00FC3F35" w:rsidP="00FC3F35">
      <w:pPr>
        <w:widowControl w:val="0"/>
        <w:numPr>
          <w:ilvl w:val="0"/>
          <w:numId w:val="15"/>
        </w:numPr>
        <w:shd w:val="clear" w:color="auto" w:fill="FFFFFF"/>
        <w:tabs>
          <w:tab w:val="left" w:pos="725"/>
        </w:tabs>
        <w:autoSpaceDE w:val="0"/>
        <w:autoSpaceDN w:val="0"/>
        <w:adjustRightInd w:val="0"/>
        <w:spacing w:before="62" w:after="0" w:line="240" w:lineRule="auto"/>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upravljačko tijelo bira glavne projekte</w:t>
      </w:r>
    </w:p>
    <w:p w:rsidR="00FC3F35" w:rsidRPr="00576C1D" w:rsidRDefault="00FC3F35" w:rsidP="00FC3F35">
      <w:pPr>
        <w:widowControl w:val="0"/>
        <w:shd w:val="clear" w:color="auto" w:fill="FFFFFF"/>
        <w:autoSpaceDE w:val="0"/>
        <w:autoSpaceDN w:val="0"/>
        <w:adjustRightInd w:val="0"/>
        <w:spacing w:before="278" w:after="0" w:line="274" w:lineRule="exact"/>
        <w:ind w:left="5" w:right="4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Pozivi za dostavljanje ponuda temeljit će se na pravilima prikazanima u pozivu, dok će se izbor glavnih projekata temeljiti na važnosti projekta i njegovom utjecaju na rezultate operativnog programa.</w:t>
      </w:r>
    </w:p>
    <w:p w:rsidR="00FC3F35" w:rsidRPr="00576C1D" w:rsidRDefault="00FC3F35" w:rsidP="00FC3F35">
      <w:pPr>
        <w:widowControl w:val="0"/>
        <w:shd w:val="clear" w:color="auto" w:fill="FFFFFF"/>
        <w:autoSpaceDE w:val="0"/>
        <w:autoSpaceDN w:val="0"/>
        <w:adjustRightInd w:val="0"/>
        <w:spacing w:before="278" w:after="0" w:line="240" w:lineRule="auto"/>
        <w:ind w:left="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Odabir projekata temeljit će se na sljedećim ključnim čimbenicima i načelima:</w:t>
      </w:r>
    </w:p>
    <w:p w:rsidR="00FC3F35" w:rsidRPr="00576C1D" w:rsidRDefault="00FC3F35" w:rsidP="00FC3F35">
      <w:pPr>
        <w:widowControl w:val="0"/>
        <w:numPr>
          <w:ilvl w:val="0"/>
          <w:numId w:val="15"/>
        </w:numPr>
        <w:shd w:val="clear" w:color="auto" w:fill="FFFFFF"/>
        <w:tabs>
          <w:tab w:val="left" w:pos="725"/>
        </w:tabs>
        <w:autoSpaceDE w:val="0"/>
        <w:autoSpaceDN w:val="0"/>
        <w:adjustRightInd w:val="0"/>
        <w:spacing w:before="278" w:after="0" w:line="240" w:lineRule="auto"/>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projekt mora biti u skladu s pojedinim sveobuhvatnim prometnim planom koji pripremaju i usvajaju nadležna tijela</w:t>
      </w:r>
    </w:p>
    <w:p w:rsidR="00FC3F35" w:rsidRPr="00576C1D" w:rsidRDefault="00FC3F35" w:rsidP="00FC3F35">
      <w:pPr>
        <w:widowControl w:val="0"/>
        <w:numPr>
          <w:ilvl w:val="0"/>
          <w:numId w:val="15"/>
        </w:numPr>
        <w:shd w:val="clear" w:color="auto" w:fill="FFFFFF"/>
        <w:tabs>
          <w:tab w:val="left" w:pos="725"/>
        </w:tabs>
        <w:autoSpaceDE w:val="0"/>
        <w:autoSpaceDN w:val="0"/>
        <w:adjustRightInd w:val="0"/>
        <w:spacing w:before="115" w:after="0" w:line="240" w:lineRule="auto"/>
        <w:ind w:left="39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najmanje 50 % troškova projekta mora biti izravno vezano uz povezanost otoka</w:t>
      </w:r>
    </w:p>
    <w:p w:rsidR="00FC3F35" w:rsidRPr="00576C1D" w:rsidRDefault="00FC3F35" w:rsidP="00FC3F35">
      <w:pPr>
        <w:widowControl w:val="0"/>
        <w:numPr>
          <w:ilvl w:val="0"/>
          <w:numId w:val="14"/>
        </w:numPr>
        <w:shd w:val="clear" w:color="auto" w:fill="FFFFFF"/>
        <w:tabs>
          <w:tab w:val="left" w:pos="725"/>
        </w:tabs>
        <w:autoSpaceDE w:val="0"/>
        <w:autoSpaceDN w:val="0"/>
        <w:adjustRightInd w:val="0"/>
        <w:spacing w:before="120" w:after="0" w:line="274" w:lineRule="exact"/>
        <w:ind w:left="725" w:hanging="326"/>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izgradnja novih luka ovisit će o opravdanoj potrebi smanjivanja zagušenja u postojećim lukama ili razumnoj potrebi za preseljenjem luka (Nekoliko trajektnih luka se nalazi unutar povijesne jezgre grada (Rijeka, Zadar, Šibenik, Split), zbog čega tijekom turističke sezone dolazi do izrazitog prometnog zagušenja. Kako bi se smanjilo prometno zagušenje, neke od tih luka moraju se preseliti na prikladnije lokacije)</w:t>
      </w:r>
    </w:p>
    <w:p w:rsidR="00FC3F35" w:rsidRPr="00576C1D" w:rsidRDefault="00C244E3" w:rsidP="00FC3F35">
      <w:pPr>
        <w:widowControl w:val="0"/>
        <w:numPr>
          <w:ilvl w:val="0"/>
          <w:numId w:val="15"/>
        </w:numPr>
        <w:shd w:val="clear" w:color="auto" w:fill="FFFFFF"/>
        <w:tabs>
          <w:tab w:val="left" w:pos="725"/>
        </w:tabs>
        <w:autoSpaceDE w:val="0"/>
        <w:autoSpaceDN w:val="0"/>
        <w:adjustRightInd w:val="0"/>
        <w:spacing w:before="115" w:after="778" w:line="240" w:lineRule="auto"/>
        <w:ind w:left="398"/>
        <w:rPr>
          <w:rFonts w:ascii="Times New Roman" w:eastAsia="Times New Roman" w:hAnsi="Times New Roman" w:cs="Times New Roman"/>
          <w:color w:val="000000"/>
          <w:sz w:val="24"/>
          <w:szCs w:val="24"/>
          <w:lang w:eastAsia="hr-HR"/>
        </w:rPr>
      </w:pPr>
      <w:r>
        <w:rPr>
          <w:rFonts w:ascii="Times New Roman" w:eastAsia="Times New Roman" w:hAnsi="Times New Roman" w:cs="Times New Roman"/>
          <w:noProof/>
          <w:sz w:val="20"/>
          <w:szCs w:val="20"/>
          <w:lang w:eastAsia="hr-HR"/>
        </w:rPr>
        <w:pict>
          <v:line id="_x0000_s1239" style="position:absolute;left:0;text-align:left;z-index:251740160;visibility:visible;mso-position-horizontal-relative:margin" from="-4.9pt,25.4pt" to="751.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22FwIAACw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projekti moraju doprinijeti smanjenju klimatskih promjena i atmosferskog onečišćenja</w:t>
      </w:r>
    </w:p>
    <w:p w:rsidR="00FC3F35" w:rsidRPr="00576C1D" w:rsidRDefault="00FC3F35" w:rsidP="00FC3F35">
      <w:pPr>
        <w:widowControl w:val="0"/>
        <w:numPr>
          <w:ilvl w:val="0"/>
          <w:numId w:val="15"/>
        </w:numPr>
        <w:shd w:val="clear" w:color="auto" w:fill="FFFFFF"/>
        <w:tabs>
          <w:tab w:val="left" w:pos="725"/>
        </w:tabs>
        <w:autoSpaceDE w:val="0"/>
        <w:autoSpaceDN w:val="0"/>
        <w:adjustRightInd w:val="0"/>
        <w:spacing w:before="115" w:after="778" w:line="240" w:lineRule="auto"/>
        <w:ind w:left="398"/>
        <w:rPr>
          <w:rFonts w:ascii="Times New Roman" w:eastAsia="Times New Roman" w:hAnsi="Times New Roman" w:cs="Times New Roman"/>
          <w:color w:val="000000"/>
          <w:sz w:val="24"/>
          <w:szCs w:val="24"/>
          <w:lang w:eastAsia="hr-HR"/>
        </w:rPr>
        <w:sectPr w:rsidR="00FC3F35" w:rsidRPr="00576C1D">
          <w:type w:val="continuous"/>
          <w:pgSz w:w="16834" w:h="11909" w:orient="landscape"/>
          <w:pgMar w:top="1207" w:right="848" w:bottom="360" w:left="1178" w:header="720" w:footer="720" w:gutter="0"/>
          <w:cols w:space="60"/>
          <w:noEndnote/>
        </w:sect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lastRenderedPageBreak/>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41" o:spid="_x0000_s1238" style="position:absolute;z-index:25159628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vvFg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zmPL7x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742" o:spid="_x0000_s1237" style="position:absolute;z-index:251597312;visibility:visible;mso-position-horizontal-relative:margin" from="-5.75pt,-2.65pt" to="-5.7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OVFQ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743" o:spid="_x0000_s1236" style="position:absolute;z-index:251598336;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pB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BV4apBFQIAACwEAAAOAAAAAAAAAAAAAAAAAC4CAABkcnMvZTJvRG9jLnhtbFBLAQItABQABgAI&#10;AAAAIQA5N2s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744" o:spid="_x0000_s1235" style="position:absolute;z-index:251599360;visibility:visible;mso-position-horizontal-relative:margin" from="750.25pt,-2.65pt" to="750.2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DrFQ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7ii - Razvoj i unapređenje prometnih sustava prihvatljivih za okoliš (uključujući one s niskom razinom buke), i prometni sustavi sa niskim emisijama CO</w:t>
      </w:r>
      <w:r w:rsidRPr="00576C1D">
        <w:rPr>
          <w:rFonts w:ascii="Times New Roman" w:eastAsia="Times New Roman" w:hAnsi="Times New Roman" w:cs="Times New Roman"/>
          <w:color w:val="000000"/>
          <w:spacing w:val="-1"/>
          <w:sz w:val="18"/>
          <w:szCs w:val="18"/>
          <w:vertAlign w:val="subscript"/>
          <w:lang w:eastAsia="hr-HR"/>
        </w:rPr>
        <w:t>2</w:t>
      </w:r>
      <w:r w:rsidRPr="00576C1D">
        <w:rPr>
          <w:rFonts w:ascii="Times New Roman" w:eastAsia="Times New Roman" w:hAnsi="Times New Roman" w:cs="Times New Roman"/>
          <w:color w:val="000000"/>
          <w:spacing w:val="-1"/>
          <w:sz w:val="18"/>
          <w:szCs w:val="18"/>
          <w:lang w:eastAsia="hr-HR"/>
        </w:rPr>
        <w:t>, uključujući unutarnje plovne putove i pomorski prijevoz, luke, multimodalne veze i aerodromsku infrastrukturu, radi promicanja održive regionalne i lokalne mobilnosti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7" w:right="863" w:bottom="360" w:left="1183" w:header="720" w:footer="720" w:gutter="0"/>
          <w:cols w:num="2" w:space="720" w:equalWidth="0">
            <w:col w:w="2335" w:space="2"/>
            <w:col w:w="12451"/>
          </w:cols>
          <w:noEndnote/>
        </w:sectPr>
      </w:pPr>
    </w:p>
    <w:p w:rsidR="00FC3F35" w:rsidRPr="00576C1D" w:rsidRDefault="00C244E3" w:rsidP="00FC3F35">
      <w:pPr>
        <w:widowControl w:val="0"/>
        <w:numPr>
          <w:ilvl w:val="0"/>
          <w:numId w:val="2"/>
        </w:numPr>
        <w:shd w:val="clear" w:color="auto" w:fill="FFFFFF"/>
        <w:tabs>
          <w:tab w:val="left" w:pos="1358"/>
        </w:tabs>
        <w:autoSpaceDE w:val="0"/>
        <w:autoSpaceDN w:val="0"/>
        <w:adjustRightInd w:val="0"/>
        <w:spacing w:before="67" w:after="0" w:line="278" w:lineRule="exact"/>
        <w:ind w:left="1358" w:hanging="322"/>
        <w:rPr>
          <w:rFonts w:ascii="Times New Roman" w:eastAsia="Times New Roman" w:hAnsi="Times New Roman" w:cs="Times New Roman"/>
          <w:sz w:val="24"/>
          <w:szCs w:val="24"/>
          <w:lang w:eastAsia="hr-HR"/>
        </w:rPr>
      </w:pPr>
      <w:r>
        <w:rPr>
          <w:rFonts w:ascii="Times New Roman" w:eastAsia="Times New Roman" w:hAnsi="Times New Roman" w:cs="Times New Roman"/>
          <w:noProof/>
          <w:sz w:val="20"/>
          <w:szCs w:val="20"/>
          <w:lang w:eastAsia="hr-HR"/>
        </w:rPr>
        <w:lastRenderedPageBreak/>
        <w:pict>
          <v:line id="Line 1745" o:spid="_x0000_s1234" style="position:absolute;left:0;text-align:left;z-index:251600384;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ex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" o:allowincell="f" strokeweight=".7pt">
            <w10:wrap anchorx="margin"/>
          </v:line>
        </w:pict>
      </w:r>
      <w:r w:rsidR="00FC3F35" w:rsidRPr="00576C1D">
        <w:rPr>
          <w:rFonts w:ascii="Times New Roman" w:eastAsia="Times New Roman" w:hAnsi="Times New Roman" w:cs="Times New Roman"/>
          <w:sz w:val="24"/>
          <w:szCs w:val="24"/>
          <w:lang w:eastAsia="hr-HR"/>
        </w:rPr>
        <w:t>kupnja plovila temeljit će se na ugovorima obveze pružanja javne usluge koji će definirati očekivane norme i postupke za usluge koje se pruža</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115"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projekti moraju prikazati razumnu i detaljnu analizu potražnje kojom se pruža okvir za planirano ulaganje</w:t>
      </w:r>
    </w:p>
    <w:p w:rsidR="00FC3F35" w:rsidRPr="00576C1D" w:rsidRDefault="00FC3F35" w:rsidP="00FC3F35">
      <w:pPr>
        <w:widowControl w:val="0"/>
        <w:numPr>
          <w:ilvl w:val="0"/>
          <w:numId w:val="2"/>
        </w:numPr>
        <w:shd w:val="clear" w:color="auto" w:fill="FFFFFF"/>
        <w:tabs>
          <w:tab w:val="left" w:pos="1358"/>
        </w:tabs>
        <w:autoSpaceDE w:val="0"/>
        <w:autoSpaceDN w:val="0"/>
        <w:adjustRightInd w:val="0"/>
        <w:spacing w:before="120" w:after="0" w:line="274" w:lineRule="exact"/>
        <w:ind w:left="1358"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u projektima koji će rezultirati pružanjem usluga za više tijela lokalne vlasti moraju se pružiti formalni ugovori sa svim tijelima lokalne vlasti kojih se tiču provedba projekta i obveza pružanja javne usluge. Ti će ugovori tvoriti pravnu i financijsku pozadinu za dugoročno korištenje zatražene flote</w:t>
      </w:r>
    </w:p>
    <w:p w:rsidR="00FC3F35" w:rsidRPr="00576C1D" w:rsidRDefault="00FC3F35" w:rsidP="00FC3F35">
      <w:pPr>
        <w:widowControl w:val="0"/>
        <w:shd w:val="clear" w:color="auto" w:fill="FFFFFF"/>
        <w:autoSpaceDE w:val="0"/>
        <w:autoSpaceDN w:val="0"/>
        <w:adjustRightInd w:val="0"/>
        <w:spacing w:before="43" w:after="0" w:line="557" w:lineRule="exact"/>
        <w:ind w:left="6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SC 7ii2:</w:t>
      </w:r>
    </w:p>
    <w:p w:rsidR="00FC3F35" w:rsidRPr="00576C1D" w:rsidRDefault="00FC3F35" w:rsidP="00FC3F35">
      <w:pPr>
        <w:widowControl w:val="0"/>
        <w:shd w:val="clear" w:color="auto" w:fill="FFFFFF"/>
        <w:autoSpaceDE w:val="0"/>
        <w:autoSpaceDN w:val="0"/>
        <w:adjustRightInd w:val="0"/>
        <w:spacing w:after="0" w:line="557"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Projekti se biraju u skladu s dvije moguće sheme:</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after="0" w:line="557"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otvoreni poziv za dostavljanje ponuda</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62"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upravljačko tijelo bira glavne projekte</w:t>
      </w:r>
    </w:p>
    <w:p w:rsidR="00FC3F35" w:rsidRPr="00576C1D" w:rsidRDefault="00FC3F35" w:rsidP="00FC3F35">
      <w:pPr>
        <w:widowControl w:val="0"/>
        <w:shd w:val="clear" w:color="auto" w:fill="FFFFFF"/>
        <w:autoSpaceDE w:val="0"/>
        <w:autoSpaceDN w:val="0"/>
        <w:adjustRightInd w:val="0"/>
        <w:spacing w:before="269" w:after="0" w:line="278" w:lineRule="exact"/>
        <w:ind w:left="643" w:right="4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Pozivi za dostavljanje ponuda temeljit će se na pravilima prikazanima u pozivu, dok će se izbor glavnih projekata temeljiti na važnosti projekta i njegovom utjecaju na rezultate operativnog programa.</w:t>
      </w:r>
    </w:p>
    <w:p w:rsidR="00FC3F35" w:rsidRPr="00576C1D" w:rsidRDefault="00FC3F35" w:rsidP="00FC3F35">
      <w:pPr>
        <w:widowControl w:val="0"/>
        <w:numPr>
          <w:ilvl w:val="0"/>
          <w:numId w:val="2"/>
        </w:numPr>
        <w:shd w:val="clear" w:color="auto" w:fill="FFFFFF"/>
        <w:autoSpaceDE w:val="0"/>
        <w:autoSpaceDN w:val="0"/>
        <w:adjustRightInd w:val="0"/>
        <w:spacing w:before="278" w:after="0" w:line="240" w:lineRule="auto"/>
        <w:ind w:left="720"/>
        <w:contextualSpacing/>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Odabir projekata temeljit će se na sljedećim ključnim čimbenicima i načelima:</w:t>
      </w:r>
    </w:p>
    <w:p w:rsidR="00FC3F35" w:rsidRPr="00576C1D" w:rsidRDefault="00FC3F35" w:rsidP="00FC3F35">
      <w:pPr>
        <w:widowControl w:val="0"/>
        <w:shd w:val="clear" w:color="auto" w:fill="FFFFFF"/>
        <w:tabs>
          <w:tab w:val="left" w:pos="1418"/>
        </w:tabs>
        <w:autoSpaceDE w:val="0"/>
        <w:autoSpaceDN w:val="0"/>
        <w:adjustRightInd w:val="0"/>
        <w:spacing w:before="125" w:after="100" w:afterAutospacing="1" w:line="274" w:lineRule="exact"/>
        <w:ind w:left="1559"/>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projekt mora biti u skladu s pojedinim sveobuhvatnim prometnim planom koji pripremaju i usvajaju nadležna tijela (planovi održive urbane mobilnosti ili strategije, s pripadajućim jednakovrijednim informacijama)</w:t>
      </w:r>
    </w:p>
    <w:p w:rsidR="00FC3F35" w:rsidRPr="00576C1D" w:rsidRDefault="00FC3F35" w:rsidP="00FC3F35">
      <w:pPr>
        <w:widowControl w:val="0"/>
        <w:shd w:val="clear" w:color="auto" w:fill="FFFFFF"/>
        <w:tabs>
          <w:tab w:val="left" w:pos="1418"/>
        </w:tabs>
        <w:autoSpaceDE w:val="0"/>
        <w:autoSpaceDN w:val="0"/>
        <w:adjustRightInd w:val="0"/>
        <w:spacing w:before="125" w:after="100" w:afterAutospacing="1" w:line="274" w:lineRule="exact"/>
        <w:ind w:left="1559" w:right="444"/>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mora biti povezan s lokalnom strategijom/planom</w:t>
      </w:r>
      <w:r w:rsidRPr="00576C1D">
        <w:rPr>
          <w:rFonts w:ascii="Times New Roman" w:eastAsia="Times New Roman" w:hAnsi="Times New Roman" w:cs="Times New Roman"/>
          <w:color w:val="000000"/>
          <w:spacing w:val="-1"/>
          <w:sz w:val="24"/>
          <w:szCs w:val="24"/>
          <w:lang w:eastAsia="hr-HR"/>
        </w:rPr>
        <w:br/>
      </w:r>
      <w:r w:rsidRPr="00576C1D">
        <w:rPr>
          <w:rFonts w:ascii="Times New Roman" w:eastAsia="Times New Roman" w:hAnsi="Times New Roman" w:cs="Times New Roman"/>
          <w:color w:val="000000"/>
          <w:spacing w:val="-1"/>
          <w:sz w:val="24"/>
          <w:szCs w:val="24"/>
          <w:lang w:eastAsia="hr-HR"/>
        </w:rPr>
        <w:br/>
        <w:t>•   mora biti usmjeren na smanjivanje potrošnje primarnih izvora energije</w:t>
      </w:r>
      <w:r w:rsidRPr="00576C1D">
        <w:rPr>
          <w:rFonts w:ascii="Times New Roman" w:eastAsia="Times New Roman" w:hAnsi="Times New Roman" w:cs="Times New Roman"/>
          <w:color w:val="000000"/>
          <w:spacing w:val="-1"/>
          <w:sz w:val="24"/>
          <w:szCs w:val="24"/>
          <w:lang w:eastAsia="hr-HR"/>
        </w:rPr>
        <w:br/>
      </w:r>
      <w:r w:rsidRPr="00576C1D">
        <w:rPr>
          <w:rFonts w:ascii="Times New Roman" w:eastAsia="Times New Roman" w:hAnsi="Times New Roman" w:cs="Times New Roman"/>
          <w:color w:val="000000"/>
          <w:spacing w:val="-1"/>
          <w:sz w:val="24"/>
          <w:szCs w:val="24"/>
          <w:lang w:eastAsia="hr-HR"/>
        </w:rPr>
        <w:br/>
        <w:t>•   projekt moraju provesti korisnici koji mogu poslovati na infrastrukturi javnog prijevoza, a moraju dokazati da zatraženo sufinanciranje neće stvoriti pretjerane naknade te da će se korištenje kupljenog i moderniziranog voznog parka temeljiti na ugovorima obveze pružanja javne usluge</w:t>
      </w:r>
    </w:p>
    <w:p w:rsidR="00FC3F35" w:rsidRPr="00576C1D" w:rsidRDefault="00FC3F35" w:rsidP="00FC3F35">
      <w:pPr>
        <w:widowControl w:val="0"/>
        <w:shd w:val="clear" w:color="auto" w:fill="FFFFFF"/>
        <w:tabs>
          <w:tab w:val="left" w:pos="1358"/>
        </w:tabs>
        <w:autoSpaceDE w:val="0"/>
        <w:autoSpaceDN w:val="0"/>
        <w:adjustRightInd w:val="0"/>
        <w:spacing w:before="125" w:after="682" w:line="274" w:lineRule="exact"/>
        <w:ind w:left="1358"/>
        <w:rPr>
          <w:rFonts w:ascii="Times New Roman" w:eastAsia="Times New Roman" w:hAnsi="Times New Roman" w:cs="Times New Roman"/>
          <w:color w:val="000000"/>
          <w:sz w:val="24"/>
          <w:szCs w:val="24"/>
          <w:lang w:eastAsia="hr-HR"/>
        </w:rPr>
        <w:sectPr w:rsidR="00FC3F35" w:rsidRPr="00576C1D">
          <w:type w:val="continuous"/>
          <w:pgSz w:w="16834" w:h="11909" w:orient="landscape"/>
          <w:pgMar w:top="1207" w:right="541" w:bottom="360" w:left="540" w:header="720" w:footer="720" w:gutter="0"/>
          <w:cols w:space="60"/>
          <w:noEndnote/>
        </w:sectPr>
      </w:pPr>
      <w:r w:rsidRPr="00576C1D">
        <w:rPr>
          <w:rFonts w:ascii="Times New Roman" w:eastAsia="Times New Roman" w:hAnsi="Times New Roman" w:cs="Times New Roman"/>
          <w:color w:val="000000"/>
          <w:sz w:val="24"/>
          <w:szCs w:val="24"/>
          <w:lang w:eastAsia="hr-HR"/>
        </w:rPr>
        <w:br/>
      </w:r>
      <w:r w:rsidRPr="00576C1D">
        <w:rPr>
          <w:rFonts w:ascii="Times New Roman" w:eastAsia="Times New Roman" w:hAnsi="Times New Roman" w:cs="Times New Roman"/>
          <w:color w:val="000000"/>
          <w:sz w:val="24"/>
          <w:szCs w:val="24"/>
          <w:lang w:eastAsia="hr-HR"/>
        </w:rPr>
        <w:br/>
      </w: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46" o:spid="_x0000_s1233" style="position:absolute;z-index:251645952;visibility:visible;mso-position-horizontal-relative:margin" from="25.45pt,4.1pt" to="782.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rl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" o:allowincell="f" strokeweight=".25pt">
            <w10:wrap anchorx="margin"/>
          </v:line>
        </w:pict>
      </w: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48" o:spid="_x0000_s1232" style="position:absolute;z-index:251489792;visibility:visible;mso-position-horizontal-relative:margin" from="-5.75pt,-2.65pt" to="-5.7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p7Fg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747" o:spid="_x0000_s1231" style="position:absolute;z-index:25148876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sLFQ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CdsYsL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749" o:spid="_x0000_s1230" style="position:absolute;z-index:251492864;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12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A+4B12FQIAACwEAAAOAAAAAAAAAAAAAAAAAC4CAABkcnMvZTJvRG9jLnhtbFBLAQItABQABgAI&#10;AAAAIQA5N2sw3wAAAAkBAAAPAAAAAAAAAAAAAAAAAG8EAABkcnMvZG93bnJldi54bWxQSwUGAAAA&#10;AAQABADzAAAAewU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C244E3"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5" w:right="863" w:bottom="360" w:left="1183" w:header="720" w:footer="720" w:gutter="0"/>
          <w:cols w:num="2" w:space="720" w:equalWidth="0">
            <w:col w:w="2335" w:space="2"/>
            <w:col w:w="12451"/>
          </w:cols>
          <w:noEndnote/>
        </w:sectPr>
      </w:pPr>
      <w:r>
        <w:rPr>
          <w:rFonts w:ascii="Times New Roman" w:eastAsia="Times New Roman" w:hAnsi="Times New Roman" w:cs="Times New Roman"/>
          <w:noProof/>
          <w:sz w:val="20"/>
          <w:szCs w:val="20"/>
          <w:lang w:eastAsia="hr-HR"/>
        </w:rPr>
        <w:pict>
          <v:line id="Line 1750" o:spid="_x0000_s1229" style="position:absolute;z-index:251495936;visibility:visible;mso-position-horizontal-relative:margin" from="750.25pt,-13pt" to="750.75pt,4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" o:allowincell="f" strokeweight=".25pt">
            <w10:wrap anchorx="margin"/>
          </v:line>
        </w:pict>
      </w:r>
      <w:r w:rsidR="00FC3F35" w:rsidRPr="00576C1D">
        <w:rPr>
          <w:rFonts w:ascii="Times New Roman" w:eastAsia="Times New Roman" w:hAnsi="Times New Roman" w:cs="Times New Roman"/>
          <w:sz w:val="20"/>
          <w:szCs w:val="20"/>
          <w:lang w:eastAsia="hr-HR"/>
        </w:rPr>
        <w:br w:type="column"/>
      </w:r>
      <w:r w:rsidR="00FC3F35" w:rsidRPr="00576C1D">
        <w:rPr>
          <w:rFonts w:ascii="Times New Roman" w:eastAsia="Times New Roman" w:hAnsi="Times New Roman" w:cs="Times New Roman"/>
          <w:color w:val="000000"/>
          <w:spacing w:val="-1"/>
          <w:sz w:val="18"/>
          <w:szCs w:val="18"/>
          <w:lang w:eastAsia="hr-HR"/>
        </w:rPr>
        <w:lastRenderedPageBreak/>
        <w:t>7ii - Razvoj i unapređenje prometnih sustava prihvatljivih za okoliš (uključujući one s niskom razinom buke), i prometni sustavi sa niskim emisijama CO2, uključujući unutarnje plovne putove i pomorski prijevoz, luke, multimodalne veze i aerodromsku infrastrukturu, radi promicanja održive regionalne i lokalne mobilnosti</w:t>
      </w:r>
    </w:p>
    <w:p w:rsidR="00FC3F35" w:rsidRPr="00576C1D" w:rsidRDefault="00C244E3" w:rsidP="00FC3F35">
      <w:pPr>
        <w:widowControl w:val="0"/>
        <w:shd w:val="clear" w:color="auto" w:fill="FFFFFF"/>
        <w:tabs>
          <w:tab w:val="left" w:pos="1358"/>
        </w:tabs>
        <w:autoSpaceDE w:val="0"/>
        <w:autoSpaceDN w:val="0"/>
        <w:adjustRightInd w:val="0"/>
        <w:spacing w:before="48" w:after="0" w:line="557" w:lineRule="exac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noProof/>
          <w:sz w:val="20"/>
          <w:szCs w:val="20"/>
          <w:lang w:eastAsia="hr-HR"/>
        </w:rPr>
        <w:lastRenderedPageBreak/>
        <w:pict>
          <v:line id="Line 1751" o:spid="_x0000_s1228" style="position:absolute;z-index:251497984;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O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" o:allowincell="f" strokeweight=".7pt">
            <w10:wrap anchorx="margin"/>
          </v:line>
        </w:pic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48" w:after="0" w:line="557" w:lineRule="exact"/>
        <w:ind w:left="135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prednost će imati projekti koji povezuju barem 2 oblika prijevoza (bez cestovnog prijevoza)</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48" w:after="0" w:line="557" w:lineRule="exact"/>
        <w:ind w:left="135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projekt mora pridonositi smanjivanju klimatskih promjena i atmosferskog onečišćenja</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48" w:after="0" w:line="557" w:lineRule="exact"/>
        <w:ind w:left="135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projekti koji povezuju dva ili više gradskih područja moraju dokazati dugoročnu suradnju potpisom obvezujućih ugovora o pružanju usluga unutar PSO sustava</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48" w:after="0" w:line="557" w:lineRule="exact"/>
        <w:ind w:left="13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vozni park i oprema se smiju financirati samo kada su izravno vezani za poboljšanje određenog dijela infrastrukture</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48" w:after="0" w:line="557" w:lineRule="exact"/>
        <w:ind w:left="13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ITI projekti moraju posjedovati razinu integracije i koordinacije s drugim ne-prijevoznim elementima ITI-a (drugim projektima ili moraju biti dijelom složenih projekata)</w:t>
      </w:r>
    </w:p>
    <w:p w:rsidR="00FC3F35" w:rsidRPr="00576C1D" w:rsidRDefault="00FC3F35" w:rsidP="00FC3F35">
      <w:pPr>
        <w:widowControl w:val="0"/>
        <w:shd w:val="clear" w:color="auto" w:fill="FFFFFF"/>
        <w:tabs>
          <w:tab w:val="left" w:pos="1358"/>
        </w:tabs>
        <w:autoSpaceDE w:val="0"/>
        <w:autoSpaceDN w:val="0"/>
        <w:adjustRightInd w:val="0"/>
        <w:spacing w:before="48" w:after="0" w:line="557" w:lineRule="exact"/>
        <w:ind w:left="6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SC 7ii3:</w:t>
      </w:r>
    </w:p>
    <w:p w:rsidR="00FC3F35" w:rsidRPr="00576C1D" w:rsidRDefault="00FC3F35" w:rsidP="00FC3F35">
      <w:pPr>
        <w:widowControl w:val="0"/>
        <w:shd w:val="clear" w:color="auto" w:fill="FFFFFF"/>
        <w:autoSpaceDE w:val="0"/>
        <w:autoSpaceDN w:val="0"/>
        <w:adjustRightInd w:val="0"/>
        <w:spacing w:after="0" w:line="557" w:lineRule="exact"/>
        <w:ind w:left="658" w:right="4416"/>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Projekt će odabrati upravljačko tijelo pomoću postupka odabira za glavne strateške projekte</w:t>
      </w:r>
    </w:p>
    <w:p w:rsidR="00FC3F35" w:rsidRPr="00576C1D" w:rsidRDefault="00FC3F35" w:rsidP="00FC3F35">
      <w:pPr>
        <w:widowControl w:val="0"/>
        <w:shd w:val="clear" w:color="auto" w:fill="FFFFFF"/>
        <w:autoSpaceDE w:val="0"/>
        <w:autoSpaceDN w:val="0"/>
        <w:adjustRightInd w:val="0"/>
        <w:spacing w:after="0" w:line="557" w:lineRule="exact"/>
        <w:ind w:left="658" w:right="441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Odabir projekta mora biti u skladu sa sljedećim ključnim čimbenicima i načelima:</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after="0" w:line="557"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projekt mora biti u skladu s pojedinim sveobuhvatnim prometnim planom koji pripremaju i usvajaju nadležna tijela</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62"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infrastruktura je potrebna i proporcionalna utvrđenom cilju</w:t>
      </w:r>
    </w:p>
    <w:p w:rsidR="00FC3F35" w:rsidRPr="00576C1D" w:rsidRDefault="00FC3F35" w:rsidP="00FC3F35">
      <w:pPr>
        <w:widowControl w:val="0"/>
        <w:numPr>
          <w:ilvl w:val="0"/>
          <w:numId w:val="2"/>
        </w:numPr>
        <w:shd w:val="clear" w:color="auto" w:fill="FFFFFF"/>
        <w:tabs>
          <w:tab w:val="left" w:pos="1358"/>
        </w:tabs>
        <w:autoSpaceDE w:val="0"/>
        <w:autoSpaceDN w:val="0"/>
        <w:adjustRightInd w:val="0"/>
        <w:spacing w:before="110" w:after="0" w:line="278" w:lineRule="exact"/>
        <w:ind w:left="1358" w:right="883"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projekt mora pridonijeti zaštiti okoliša ili ga mora popratiti investicija potrebna kako bi se ublažio ili umanjio njegov negativan utjecaj na okoliš</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115"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projekt mora prikazati razumnu i detaljnu analiza potražnje kojom se pruža okvir za planirano ulaganje</w:t>
      </w:r>
    </w:p>
    <w:p w:rsidR="00FC3F35" w:rsidRPr="00A552D9" w:rsidRDefault="00C244E3" w:rsidP="00A552D9">
      <w:pPr>
        <w:widowControl w:val="0"/>
        <w:numPr>
          <w:ilvl w:val="0"/>
          <w:numId w:val="7"/>
        </w:numPr>
        <w:shd w:val="clear" w:color="auto" w:fill="FFFFFF"/>
        <w:tabs>
          <w:tab w:val="left" w:pos="1358"/>
        </w:tabs>
        <w:autoSpaceDE w:val="0"/>
        <w:autoSpaceDN w:val="0"/>
        <w:adjustRightInd w:val="0"/>
        <w:spacing w:before="120" w:after="2107" w:line="240" w:lineRule="auto"/>
        <w:ind w:left="1037"/>
        <w:rPr>
          <w:rFonts w:ascii="Times New Roman" w:eastAsia="Times New Roman" w:hAnsi="Times New Roman" w:cs="Times New Roman"/>
          <w:color w:val="000000"/>
          <w:sz w:val="24"/>
          <w:szCs w:val="24"/>
          <w:lang w:eastAsia="hr-HR"/>
        </w:rPr>
      </w:pPr>
      <w:r>
        <w:rPr>
          <w:rFonts w:ascii="Times New Roman" w:eastAsia="Times New Roman" w:hAnsi="Times New Roman" w:cs="Times New Roman"/>
          <w:noProof/>
          <w:sz w:val="20"/>
          <w:szCs w:val="20"/>
          <w:lang w:eastAsia="hr-HR"/>
        </w:rPr>
        <w:pict>
          <v:line id="Line 1752" o:spid="_x0000_s1227" style="position:absolute;left:0;text-align:left;z-index:251499008;visibility:visible;mso-position-horizontal-relative:margin" from="26.25pt,19.65pt" to="783.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v2FA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" o:allowincell="f" strokeweight=".25pt">
            <w10:wrap anchorx="margin"/>
          </v:line>
        </w:pict>
      </w:r>
      <w:r w:rsidR="00FC3F35" w:rsidRPr="00A552D9">
        <w:rPr>
          <w:rFonts w:ascii="Times New Roman" w:eastAsia="Times New Roman" w:hAnsi="Times New Roman" w:cs="Times New Roman"/>
          <w:color w:val="000000"/>
          <w:sz w:val="24"/>
          <w:szCs w:val="24"/>
          <w:lang w:eastAsia="hr-HR"/>
        </w:rPr>
        <w:t>mora biti u skladu s pravilima EU-a o državnim potporama</w:t>
      </w:r>
      <w:r w:rsidR="00FC3F35" w:rsidRPr="00A552D9">
        <w:rPr>
          <w:rFonts w:ascii="Times New Roman" w:eastAsia="Times New Roman" w:hAnsi="Times New Roman" w:cs="Times New Roman"/>
          <w:color w:val="000000"/>
          <w:sz w:val="24"/>
          <w:szCs w:val="24"/>
          <w:lang w:eastAsia="hr-HR"/>
        </w:rPr>
        <w:br/>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120" w:after="2107" w:line="240" w:lineRule="auto"/>
        <w:ind w:left="1037"/>
        <w:rPr>
          <w:rFonts w:ascii="Times New Roman" w:eastAsia="Times New Roman" w:hAnsi="Times New Roman" w:cs="Times New Roman"/>
          <w:color w:val="000000"/>
          <w:sz w:val="24"/>
          <w:szCs w:val="24"/>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lastRenderedPageBreak/>
        <w:t xml:space="preserve">2.A.6.3 Planirano korištenje financijskih instrumenata </w:t>
      </w:r>
      <w:r w:rsidRPr="00576C1D">
        <w:rPr>
          <w:rFonts w:ascii="Times New Roman" w:eastAsia="Times New Roman" w:hAnsi="Times New Roman" w:cs="Times New Roman"/>
          <w:iCs/>
          <w:color w:val="000000"/>
          <w:spacing w:val="1"/>
          <w:sz w:val="24"/>
          <w:szCs w:val="24"/>
          <w:lang w:eastAsia="hr-HR"/>
        </w:rPr>
        <w:t>(po potrebi)</w:t>
      </w:r>
    </w:p>
    <w:p w:rsidR="00FC3F35" w:rsidRPr="00576C1D" w:rsidRDefault="00FC3F35" w:rsidP="00FC3F35">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sz w:val="20"/>
          <w:szCs w:val="20"/>
          <w:lang w:eastAsia="hr-HR"/>
        </w:rPr>
        <w:sectPr w:rsidR="00FC3F35" w:rsidRPr="00576C1D">
          <w:pgSz w:w="16834" w:h="11909" w:orient="landscape"/>
          <w:pgMar w:top="1174"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53" o:spid="_x0000_s1226" style="position:absolute;z-index:251602432;visibility:visible;mso-position-horizontal-relative:margin" from="-5.75pt,-3.6pt" to="750.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n/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754" o:spid="_x0000_s1225" style="position:absolute;z-index:251603456;visibility:visible;mso-position-horizontal-relative:margin" from="-5.75pt,-2.15pt" to="-5.7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755" o:spid="_x0000_s1224" style="position:absolute;z-index:251604480;visibility:visible;mso-position-horizontal-relative:margin" from="110.9pt,-2.1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756" o:spid="_x0000_s1223" style="position:absolute;z-index:251605504;visibility:visible;mso-position-horizontal-relative:margin" from="750.25pt,-2.15pt" to="750.2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7ii - Razvoj i unapređenje prometnih sustava prihvatljivih za okoliš (uključujući one s niskom razinom buke), i prometni sustavi sa niskim emisijama CO</w:t>
      </w:r>
      <w:r w:rsidRPr="00576C1D">
        <w:rPr>
          <w:rFonts w:ascii="Times New Roman" w:eastAsia="Times New Roman" w:hAnsi="Times New Roman" w:cs="Times New Roman"/>
          <w:color w:val="000000"/>
          <w:spacing w:val="-1"/>
          <w:sz w:val="18"/>
          <w:szCs w:val="18"/>
          <w:vertAlign w:val="subscript"/>
          <w:lang w:eastAsia="hr-HR"/>
        </w:rPr>
        <w:t>2</w:t>
      </w:r>
      <w:r w:rsidRPr="00576C1D">
        <w:rPr>
          <w:rFonts w:ascii="Times New Roman" w:eastAsia="Times New Roman" w:hAnsi="Times New Roman" w:cs="Times New Roman"/>
          <w:color w:val="000000"/>
          <w:spacing w:val="-1"/>
          <w:sz w:val="18"/>
          <w:szCs w:val="18"/>
          <w:lang w:eastAsia="hr-HR"/>
        </w:rPr>
        <w:t>, uključujući unutarnje plovne putove i pomorski prijevoz, luke, multimodalne veze i aerodromsku infrastrukturu, radi promicanja održive regionalne i lokalne mobilnosti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74" w:right="863" w:bottom="360" w:left="1183" w:header="720" w:footer="720" w:gutter="0"/>
          <w:cols w:num="2" w:space="720" w:equalWidth="0">
            <w:col w:w="1936" w:space="401"/>
            <w:col w:w="12451"/>
          </w:cols>
          <w:noEndnote/>
        </w:sectPr>
      </w:pPr>
    </w:p>
    <w:p w:rsidR="00FC3F35" w:rsidRPr="00576C1D" w:rsidRDefault="00C244E3" w:rsidP="00FC3F35">
      <w:pPr>
        <w:widowControl w:val="0"/>
        <w:shd w:val="clear" w:color="auto" w:fill="FFFFFF"/>
        <w:autoSpaceDE w:val="0"/>
        <w:autoSpaceDN w:val="0"/>
        <w:adjustRightInd w:val="0"/>
        <w:spacing w:before="192" w:after="0" w:line="240" w:lineRule="auto"/>
        <w:ind w:left="64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57" o:spid="_x0000_s1222" style="position:absolute;left:0;text-align:left;z-index:251606528;visibility:visible;mso-position-horizontal-relative:margin" from="26.4pt,2.9pt" to="782.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bB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" o:allowincell="f" strokeweight=".25pt">
            <w10:wrap anchorx="margin"/>
          </v:line>
        </w:pict>
      </w:r>
      <w:r w:rsidR="00FC3F35" w:rsidRPr="00576C1D">
        <w:rPr>
          <w:rFonts w:ascii="Times New Roman" w:eastAsia="Times New Roman" w:hAnsi="Times New Roman" w:cs="Times New Roman"/>
          <w:color w:val="000000"/>
          <w:spacing w:val="-2"/>
          <w:sz w:val="24"/>
          <w:szCs w:val="24"/>
          <w:lang w:eastAsia="hr-HR"/>
        </w:rPr>
        <w:t>Samo za SC 7ii2:</w:t>
      </w:r>
    </w:p>
    <w:p w:rsidR="00FC3F35" w:rsidRPr="00576C1D" w:rsidRDefault="00FC3F35" w:rsidP="00FC3F35">
      <w:pPr>
        <w:widowControl w:val="0"/>
        <w:shd w:val="clear" w:color="auto" w:fill="FFFFFF"/>
        <w:autoSpaceDE w:val="0"/>
        <w:autoSpaceDN w:val="0"/>
        <w:adjustRightInd w:val="0"/>
        <w:spacing w:before="278" w:after="0" w:line="274" w:lineRule="exact"/>
        <w:ind w:left="643" w:right="4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Namjera je prvo pregledati potencijale a potom iskoristiti financijske instrumente za ovaj specifični cilj, zbog naravi planiranih ulaganja. Također se dovršava sporazum s EIB-om kojim će se pokriti ex-ante procjena i pomoć pri utvrđivanju financiranja. Međutim, budući da je financijski instrument složen mehanizam, očekuje se da će za njegovo uređenje trebati značajna količina vremena. Stoga, kako bi se osigurala provedba specifičnog cilja, u međuvremenu je predviđeno korištenje klasičnih tipova financiranja tj. shema za alokaciju bespovratnih sredstava. S druge strane, procjenom je moguće dokazati da financijski instrument nije izvediv za ovaj specifični cilj ili neke vrste njegovih aktivnosti.</w:t>
      </w:r>
    </w:p>
    <w:p w:rsidR="00FC3F35" w:rsidRPr="00576C1D" w:rsidRDefault="00C244E3" w:rsidP="00FC3F35">
      <w:pPr>
        <w:widowControl w:val="0"/>
        <w:shd w:val="clear" w:color="auto" w:fill="FFFFFF"/>
        <w:autoSpaceDE w:val="0"/>
        <w:autoSpaceDN w:val="0"/>
        <w:adjustRightInd w:val="0"/>
        <w:spacing w:before="1008" w:after="182" w:line="240" w:lineRule="auto"/>
        <w:ind w:left="53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758" o:spid="_x0000_s1221" style="position:absolute;left:0;text-align:left;z-index:251607552;visibility:visible" from="25.9pt,24pt" to="782.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nWFA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" o:allowincell="f" strokeweight=".25pt"/>
        </w:pict>
      </w:r>
      <w:r w:rsidR="00FC3F35" w:rsidRPr="00576C1D">
        <w:rPr>
          <w:rFonts w:ascii="Times New Roman" w:eastAsia="Times New Roman" w:hAnsi="Times New Roman" w:cs="Times New Roman"/>
          <w:i/>
          <w:iCs/>
          <w:color w:val="000000"/>
          <w:spacing w:val="1"/>
          <w:sz w:val="24"/>
          <w:szCs w:val="24"/>
          <w:lang w:eastAsia="hr-HR"/>
        </w:rPr>
        <w:t xml:space="preserve">2.A.6.4Planirano korištenje velikih projekata </w:t>
      </w:r>
      <w:r w:rsidR="00FC3F35" w:rsidRPr="00576C1D">
        <w:rPr>
          <w:rFonts w:ascii="Times New Roman" w:eastAsia="Times New Roman" w:hAnsi="Times New Roman" w:cs="Times New Roman"/>
          <w:iCs/>
          <w:color w:val="000000"/>
          <w:spacing w:val="1"/>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1008" w:after="182" w:line="240" w:lineRule="auto"/>
        <w:ind w:left="533"/>
        <w:rPr>
          <w:rFonts w:ascii="Times New Roman" w:eastAsia="Times New Roman" w:hAnsi="Times New Roman" w:cs="Times New Roman"/>
          <w:sz w:val="20"/>
          <w:szCs w:val="20"/>
          <w:lang w:eastAsia="hr-HR"/>
        </w:rPr>
        <w:sectPr w:rsidR="00FC3F35" w:rsidRPr="00576C1D">
          <w:type w:val="continuous"/>
          <w:pgSz w:w="16834" w:h="11909" w:orient="landscape"/>
          <w:pgMar w:top="1174"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59" o:spid="_x0000_s1220" style="position:absolute;z-index:251610624;visibility:visible;mso-position-horizontal-relative:margin" from="-6.25pt,-3.35pt" to="750.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LO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760" o:spid="_x0000_s1219" style="position:absolute;z-index:251611648;visibility:visible;mso-position-horizontal-relative:margin" from="-5.75pt,-2.4pt" to="-5.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o8FwIAAC0EAAAOAAAAZHJzL2Uyb0RvYy54bWysU82O2yAQvlfqOyDuie3E6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" o:allowincell="f" strokeweight=".25pt">
            <w10:wrap anchorx="margin"/>
          </v:line>
        </w:pict>
      </w:r>
      <w:r>
        <w:rPr>
          <w:rFonts w:ascii="Times New Roman" w:eastAsia="Times New Roman" w:hAnsi="Times New Roman" w:cs="Times New Roman"/>
          <w:noProof/>
          <w:sz w:val="20"/>
          <w:szCs w:val="20"/>
          <w:lang w:eastAsia="hr-HR"/>
        </w:rPr>
        <w:pict>
          <v:line id="Line 1761" o:spid="_x0000_s1218" style="position:absolute;z-index:251613696;visibility:visible;mso-position-horizontal-relative:margin" from="110.9pt,-2.4pt" to="110.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LAFg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762" o:spid="_x0000_s1217" style="position:absolute;z-index:251615744;visibility:visible;mso-position-horizontal-relative:margin" from="750.25pt,-2.4pt" to="750.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wNFgIAAC0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7ii - Razvoj i unapređenje prometnih sustava prihvatljivih za okoliš (uključujući one s niskom razinom buke), i prometni sustavi sa niskim emisijama CO</w:t>
      </w:r>
      <w:r w:rsidRPr="00576C1D">
        <w:rPr>
          <w:rFonts w:ascii="Times New Roman" w:eastAsia="Times New Roman" w:hAnsi="Times New Roman" w:cs="Times New Roman"/>
          <w:color w:val="000000"/>
          <w:spacing w:val="-1"/>
          <w:sz w:val="18"/>
          <w:szCs w:val="18"/>
          <w:vertAlign w:val="subscript"/>
          <w:lang w:eastAsia="hr-HR"/>
        </w:rPr>
        <w:t>2</w:t>
      </w:r>
      <w:r w:rsidRPr="00576C1D">
        <w:rPr>
          <w:rFonts w:ascii="Times New Roman" w:eastAsia="Times New Roman" w:hAnsi="Times New Roman" w:cs="Times New Roman"/>
          <w:color w:val="000000"/>
          <w:spacing w:val="-1"/>
          <w:sz w:val="18"/>
          <w:szCs w:val="18"/>
          <w:lang w:eastAsia="hr-HR"/>
        </w:rPr>
        <w:t>, uključujući unutarnje plovne putove i pomorski prijevoz, luke, multimodalne veze i aerodromsku infrastrukturu, radi promicanja održive regionalne i lokalne mobilnosti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74" w:right="863" w:bottom="360" w:left="1183" w:header="720" w:footer="720" w:gutter="0"/>
          <w:cols w:num="2" w:space="720" w:equalWidth="0">
            <w:col w:w="1936" w:space="401"/>
            <w:col w:w="12451"/>
          </w:cols>
          <w:noEndnote/>
        </w:sectPr>
      </w:pPr>
    </w:p>
    <w:p w:rsidR="00FC3F35" w:rsidRPr="00576C1D" w:rsidRDefault="00C244E3" w:rsidP="00FC3F35">
      <w:pPr>
        <w:widowControl w:val="0"/>
        <w:shd w:val="clear" w:color="auto" w:fill="FFFFFF"/>
        <w:autoSpaceDE w:val="0"/>
        <w:autoSpaceDN w:val="0"/>
        <w:adjustRightInd w:val="0"/>
        <w:spacing w:before="197" w:after="0" w:line="240" w:lineRule="auto"/>
        <w:ind w:left="648"/>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pict>
          <v:line id="Line 1763" o:spid="_x0000_s1216" style="position:absolute;left:0;text-align:left;z-index:251616768;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PxFQ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" o:allowincell="f" strokeweight=".7pt">
            <w10:wrap anchorx="margin"/>
          </v:line>
        </w:pict>
      </w:r>
      <w:r w:rsidR="00FC3F35" w:rsidRPr="00576C1D">
        <w:rPr>
          <w:rFonts w:ascii="Times New Roman" w:eastAsia="Times New Roman" w:hAnsi="Times New Roman" w:cs="Times New Roman"/>
          <w:sz w:val="24"/>
          <w:szCs w:val="24"/>
          <w:lang w:eastAsia="hr-HR"/>
        </w:rPr>
        <w:t xml:space="preserve"> Identificirani su sljedeći veliki projekti</w:t>
      </w:r>
      <w:r w:rsidR="00FC3F35"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278"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razvoj zračne luke Dubrovnik</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115"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integrirani prometni sustav zagrebačke regije - 3 županije</w:t>
      </w:r>
    </w:p>
    <w:p w:rsidR="00FC3F35" w:rsidRPr="00576C1D" w:rsidRDefault="00FC3F35" w:rsidP="00FC3F35">
      <w:pPr>
        <w:widowControl w:val="0"/>
        <w:shd w:val="clear" w:color="auto" w:fill="FFFFFF"/>
        <w:autoSpaceDE w:val="0"/>
        <w:autoSpaceDN w:val="0"/>
        <w:adjustRightInd w:val="0"/>
        <w:spacing w:before="278" w:after="2285"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Također, mogu se identificirati i drugi projekti tijekom provođenja operativnog programa.</w:t>
      </w:r>
    </w:p>
    <w:p w:rsidR="00FC3F35" w:rsidRPr="00576C1D" w:rsidRDefault="00FC3F35" w:rsidP="00FC3F35">
      <w:pPr>
        <w:widowControl w:val="0"/>
        <w:shd w:val="clear" w:color="auto" w:fill="FFFFFF"/>
        <w:autoSpaceDE w:val="0"/>
        <w:autoSpaceDN w:val="0"/>
        <w:adjustRightInd w:val="0"/>
        <w:spacing w:before="278" w:after="2285" w:line="240" w:lineRule="auto"/>
        <w:ind w:left="643"/>
        <w:rPr>
          <w:rFonts w:ascii="Times New Roman" w:eastAsia="Times New Roman" w:hAnsi="Times New Roman" w:cs="Times New Roman"/>
          <w:sz w:val="20"/>
          <w:szCs w:val="20"/>
          <w:lang w:eastAsia="hr-HR"/>
        </w:rPr>
        <w:sectPr w:rsidR="00FC3F35" w:rsidRPr="00576C1D">
          <w:type w:val="continuous"/>
          <w:pgSz w:w="16834" w:h="11909" w:orient="landscape"/>
          <w:pgMar w:top="1174"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64" o:spid="_x0000_s1215" style="position:absolute;z-index:251618816;visibility:visible;mso-position-horizontal-relative:margin" from="26.4pt,-90.7pt" to="782.9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uXFg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4"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lastRenderedPageBreak/>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pokazatelji neposrednih rezultata specifični za program </w:t>
      </w:r>
      <w:r w:rsidRPr="00576C1D">
        <w:rPr>
          <w:rFonts w:ascii="Times New Roman" w:eastAsia="Times New Roman" w:hAnsi="Times New Roman" w:cs="Times New Roman"/>
          <w:bCs/>
          <w:color w:val="000000"/>
          <w:spacing w:val="-1"/>
          <w:sz w:val="24"/>
          <w:szCs w:val="24"/>
          <w:lang w:eastAsia="hr-HR"/>
        </w:rPr>
        <w:t>(po investicijskom prioritetu, podijeljeno po kategoriji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634"/>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7ii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Razvoj i unapređenje prometnih sustava prihvatljivih za okoliš (uključujući nisku razinu buke), i prometni sustavi sa niskim emisijama CO</w:t>
            </w:r>
            <w:r w:rsidRPr="00576C1D">
              <w:rPr>
                <w:rFonts w:ascii="Times New Roman" w:eastAsia="Times New Roman" w:hAnsi="Times New Roman" w:cs="Times New Roman"/>
                <w:b/>
                <w:bCs/>
                <w:color w:val="000000"/>
                <w:spacing w:val="-1"/>
                <w:sz w:val="16"/>
                <w:szCs w:val="16"/>
                <w:vertAlign w:val="subscript"/>
                <w:lang w:eastAsia="hr-HR"/>
              </w:rPr>
              <w:t>2</w:t>
            </w:r>
            <w:r w:rsidRPr="00576C1D">
              <w:rPr>
                <w:rFonts w:ascii="Times New Roman" w:eastAsia="Times New Roman" w:hAnsi="Times New Roman" w:cs="Times New Roman"/>
                <w:b/>
                <w:bCs/>
                <w:color w:val="000000"/>
                <w:spacing w:val="-1"/>
                <w:sz w:val="16"/>
                <w:szCs w:val="16"/>
                <w:lang w:eastAsia="hr-HR"/>
              </w:rPr>
              <w:t>, uključujući unutarnje plovne putove i pomorski prijevoz, luke, multimodalne veze i aerodromsku infrastrukturu, radi promicanja održive regionalne i lokalne mobilnosti</w:t>
            </w:r>
          </w:p>
        </w:tc>
      </w:tr>
      <w:tr w:rsidR="00FC3F35" w:rsidRPr="00576C1D" w:rsidTr="00FC3F35">
        <w:trPr>
          <w:trHeight w:hRule="exact" w:val="432"/>
        </w:trPr>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prikladno)</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989"/>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9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7cbl2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58"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Poboljšane luke koje pružaju usluge vezane za otoke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979"/>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9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7cb22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8"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Aglomeracije koje su uvele integrirane sustave javnog prijevoza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81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9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7cb32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6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Modernizacija zračne luke Dubrovnik</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1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100,00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before="518"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p w:rsidR="00FC3F35" w:rsidRPr="00576C1D" w:rsidRDefault="00C244E3" w:rsidP="00FC3F35">
      <w:pPr>
        <w:widowControl w:val="0"/>
        <w:shd w:val="clear" w:color="auto" w:fill="FFFFFF"/>
        <w:autoSpaceDE w:val="0"/>
        <w:autoSpaceDN w:val="0"/>
        <w:adjustRightInd w:val="0"/>
        <w:spacing w:before="178" w:after="125" w:line="240" w:lineRule="auto"/>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214" style="position:absolute;left:0;text-align:left;z-index:251742208;visibility:visible;mso-position-horizontal-relative:margin" from="781.5pt,5.95pt" to="78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765" o:spid="_x0000_s1213" style="position:absolute;left:0;text-align:left;z-index:251648000;visibility:visible" from="26.4pt,6.05pt" to="782.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" o:allowincell="f" strokeweight=".7pt"/>
        </w:pict>
      </w:r>
      <w:r>
        <w:rPr>
          <w:rFonts w:ascii="Times New Roman" w:eastAsia="Times New Roman" w:hAnsi="Times New Roman" w:cs="Times New Roman"/>
          <w:noProof/>
          <w:sz w:val="20"/>
          <w:szCs w:val="20"/>
          <w:lang w:eastAsia="hr-HR"/>
        </w:rPr>
        <w:pict>
          <v:line id="Line 1768" o:spid="_x0000_s1212" style="position:absolute;left:0;text-align:left;z-index:251655168;visibility:visible;mso-position-horizontal-relative:margin" from="165.25pt,6.55pt" to="165.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VTFQIAACwEAAAOAAAAZHJzL2Uyb0RvYy54bWysU8GO2jAQvVfqP1i+QxI2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Oznaka investicijskog prioriteta</w:t>
      </w:r>
    </w:p>
    <w:p w:rsidR="00FC3F35" w:rsidRPr="00576C1D" w:rsidRDefault="00FC3F35" w:rsidP="00FC3F35">
      <w:pPr>
        <w:widowControl w:val="0"/>
        <w:shd w:val="clear" w:color="auto" w:fill="FFFFFF"/>
        <w:autoSpaceDE w:val="0"/>
        <w:autoSpaceDN w:val="0"/>
        <w:adjustRightInd w:val="0"/>
        <w:spacing w:before="178" w:after="125" w:line="240" w:lineRule="auto"/>
        <w:ind w:left="643"/>
        <w:rPr>
          <w:rFonts w:ascii="Times New Roman" w:eastAsia="Times New Roman" w:hAnsi="Times New Roman" w:cs="Times New Roman"/>
          <w:sz w:val="20"/>
          <w:szCs w:val="20"/>
          <w:lang w:eastAsia="hr-HR"/>
        </w:rPr>
        <w:sectPr w:rsidR="00FC3F35" w:rsidRPr="00576C1D">
          <w:pgSz w:w="16834" w:h="11909" w:orient="landscape"/>
          <w:pgMar w:top="1171"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66" o:spid="_x0000_s1211" style="position:absolute;z-index:251650048;visibility:visible;mso-position-horizontal-relative:margin" from="-6pt,-3.6pt" to="7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uFwIAAC0EAAAOAAAAZHJzL2Uyb0RvYy54bWysU02P2yAQvVfqf0DcE9up402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767" o:spid="_x0000_s1210" style="position:absolute;z-index:251651072;visibility:visible;mso-position-horizontal-relative:margin" from="-6pt,-18.95pt" to="-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XeFQ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Naziv investicijskog prioriteta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Razvoj i obnova sveobuhvatnih, visokokvalitetnih i interoperabilnih željezničkih sustava te promicanje mjera za smanjenje buke</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71" w:right="3220" w:bottom="360" w:left="1188" w:header="720" w:footer="720" w:gutter="0"/>
          <w:cols w:num="2" w:space="720" w:equalWidth="0">
            <w:col w:w="2640" w:space="47"/>
            <w:col w:w="9739"/>
          </w:cols>
          <w:noEndnote/>
        </w:sectPr>
      </w:pPr>
    </w:p>
    <w:p w:rsidR="00FC3F35" w:rsidRPr="00576C1D" w:rsidRDefault="00C244E3" w:rsidP="00FC3F35">
      <w:pPr>
        <w:widowControl w:val="0"/>
        <w:shd w:val="clear" w:color="auto" w:fill="FFFFFF"/>
        <w:autoSpaceDE w:val="0"/>
        <w:autoSpaceDN w:val="0"/>
        <w:adjustRightInd w:val="0"/>
        <w:spacing w:before="566" w:after="0" w:line="240" w:lineRule="auto"/>
        <w:ind w:left="5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69" o:spid="_x0000_s1209" style="position:absolute;left:0;text-align:left;z-index:251658240;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QrFg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" o:allowincell="f" strokeweight=".7pt">
            <w10:wrap anchorx="margin"/>
          </v:line>
        </w:pict>
      </w:r>
      <w:r w:rsidR="00FC3F35" w:rsidRPr="00576C1D">
        <w:rPr>
          <w:rFonts w:ascii="Times New Roman" w:eastAsia="Times New Roman" w:hAnsi="Times New Roman" w:cs="Times New Roman"/>
          <w:color w:val="000000"/>
          <w:spacing w:val="-1"/>
          <w:sz w:val="24"/>
          <w:szCs w:val="24"/>
          <w:lang w:eastAsia="hr-HR"/>
        </w:rPr>
        <w:t xml:space="preserve">2.A.5 </w:t>
      </w:r>
      <w:r w:rsidR="00FC3F35" w:rsidRPr="00576C1D">
        <w:rPr>
          <w:rFonts w:ascii="Times New Roman" w:eastAsia="Times New Roman" w:hAnsi="Times New Roman" w:cs="Times New Roman"/>
          <w:b/>
          <w:bCs/>
          <w:color w:val="000000"/>
          <w:spacing w:val="-1"/>
          <w:sz w:val="24"/>
          <w:szCs w:val="24"/>
          <w:lang w:eastAsia="hr-HR"/>
        </w:rPr>
        <w:t>Specifični ciljevi koji odgovaraju investicijskom prioritetu i očekivani rezultati</w:t>
      </w:r>
    </w:p>
    <w:p w:rsidR="00FC3F35" w:rsidRPr="00576C1D" w:rsidRDefault="00C244E3" w:rsidP="00FC3F35">
      <w:pPr>
        <w:widowControl w:val="0"/>
        <w:shd w:val="clear" w:color="auto" w:fill="FFFFFF"/>
        <w:tabs>
          <w:tab w:val="left" w:pos="3341"/>
        </w:tabs>
        <w:autoSpaceDE w:val="0"/>
        <w:autoSpaceDN w:val="0"/>
        <w:adjustRightInd w:val="0"/>
        <w:spacing w:before="182" w:after="667" w:line="240" w:lineRule="auto"/>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208" style="position:absolute;left:0;text-align:left;z-index:251823616;visibility:visible;mso-position-horizontal-relative:margin" from="783pt,3.75pt" to="783.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" o:allowincell="f" strokeweight=".7pt">
            <w10:wrap anchorx="margin"/>
          </v:line>
        </w:pict>
      </w:r>
      <w:r>
        <w:rPr>
          <w:rFonts w:ascii="Times New Roman" w:eastAsia="Times New Roman" w:hAnsi="Times New Roman" w:cs="Times New Roman"/>
          <w:noProof/>
          <w:sz w:val="20"/>
          <w:szCs w:val="20"/>
          <w:lang w:eastAsia="hr-HR"/>
        </w:rPr>
        <w:pict>
          <v:line id="_x0000_s1207" style="position:absolute;left:0;text-align:left;z-index:251750400;visibility:visible;mso-position-horizontal-relative:margin" from="159pt,4.5pt" to="159.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" o:allowincell="f" strokeweight=".7pt">
            <w10:wrap anchorx="margin"/>
          </v:line>
        </w:pict>
      </w:r>
      <w:r>
        <w:rPr>
          <w:rFonts w:ascii="Times New Roman" w:eastAsia="Times New Roman" w:hAnsi="Times New Roman" w:cs="Times New Roman"/>
          <w:noProof/>
          <w:sz w:val="20"/>
          <w:szCs w:val="20"/>
          <w:lang w:eastAsia="hr-HR"/>
        </w:rPr>
        <w:pict>
          <v:line id="_x0000_s1206" style="position:absolute;left:0;text-align:left;z-index:251748352;visibility:visible;mso-position-horizontal-relative:margin" from="26.25pt,4.5pt" to="27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770" o:spid="_x0000_s1205" style="position:absolute;left:0;text-align:left;z-index:251665408;visibility:visible" from="25.9pt,4.75pt" to="782.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r5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" o:allowincell="f" strokeweight=".25pt"/>
        </w:pict>
      </w:r>
      <w:r>
        <w:rPr>
          <w:rFonts w:ascii="Times New Roman" w:eastAsia="Times New Roman" w:hAnsi="Times New Roman" w:cs="Times New Roman"/>
          <w:noProof/>
          <w:sz w:val="20"/>
          <w:szCs w:val="20"/>
          <w:lang w:eastAsia="hr-HR"/>
        </w:rPr>
        <w:pict>
          <v:line id="Line 1771" o:spid="_x0000_s1204" style="position:absolute;left:0;text-align:left;z-index:251672576;visibility:visible;mso-position-horizontal-relative:margin" from="25.9pt,26.6pt" to="782.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Hh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Oznaka specifičnog cilja</w:t>
      </w:r>
      <w:r w:rsidR="00FC3F35" w:rsidRPr="00576C1D">
        <w:rPr>
          <w:rFonts w:ascii="Times New Roman" w:eastAsia="Times New Roman" w:hAnsi="Times New Roman" w:cs="Times New Roman"/>
          <w:b/>
          <w:bCs/>
          <w:color w:val="000000"/>
          <w:sz w:val="18"/>
          <w:szCs w:val="18"/>
          <w:lang w:eastAsia="hr-HR"/>
        </w:rPr>
        <w:tab/>
      </w:r>
      <w:r w:rsidR="00FC3F35" w:rsidRPr="00576C1D">
        <w:rPr>
          <w:rFonts w:ascii="Times New Roman" w:eastAsia="Times New Roman" w:hAnsi="Times New Roman" w:cs="Times New Roman"/>
          <w:color w:val="000000"/>
          <w:spacing w:val="1"/>
          <w:sz w:val="18"/>
          <w:szCs w:val="18"/>
          <w:lang w:eastAsia="hr-HR"/>
        </w:rPr>
        <w:t>7iiil</w:t>
      </w:r>
    </w:p>
    <w:p w:rsidR="00FC3F35" w:rsidRPr="00576C1D" w:rsidRDefault="00FC3F35" w:rsidP="00FC3F35">
      <w:pPr>
        <w:widowControl w:val="0"/>
        <w:shd w:val="clear" w:color="auto" w:fill="FFFFFF"/>
        <w:tabs>
          <w:tab w:val="left" w:pos="3341"/>
        </w:tabs>
        <w:autoSpaceDE w:val="0"/>
        <w:autoSpaceDN w:val="0"/>
        <w:adjustRightInd w:val="0"/>
        <w:spacing w:before="182" w:after="667" w:line="240" w:lineRule="auto"/>
        <w:ind w:left="643"/>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73" o:spid="_x0000_s1203" style="position:absolute;z-index:251501056;visibility:visible;mso-position-horizontal-relative:margin" from="-6pt,-2.65pt" to="-6pt,4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772" o:spid="_x0000_s1202" style="position:absolute;z-index:251500032;visibility:visible;mso-position-horizontal-relative:margin" from="-6.5pt,-3.6pt" to="750.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osFg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" o:allowincell="f" strokeweight=".25pt">
            <w10:wrap anchorx="margin"/>
          </v:line>
        </w:pict>
      </w:r>
      <w:r w:rsidR="00FC3F35" w:rsidRPr="00576C1D">
        <w:rPr>
          <w:rFonts w:ascii="Times New Roman" w:eastAsia="Times New Roman" w:hAnsi="Times New Roman" w:cs="Times New Roman"/>
          <w:b/>
          <w:bCs/>
          <w:color w:val="000000"/>
          <w:sz w:val="18"/>
          <w:szCs w:val="18"/>
          <w:lang w:eastAsia="hr-HR"/>
        </w:rPr>
        <w:t>Naziv specifičnog cilja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Unaprjeđivanje i poboljšanje željezničke mreže u cilju promocije modalnog prijelaza (˝modal shift˝)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pgSz w:w="16834" w:h="11909" w:orient="landscape"/>
          <w:pgMar w:top="1207" w:right="5777" w:bottom="360" w:left="1188" w:header="720" w:footer="720" w:gutter="0"/>
          <w:cols w:num="2" w:space="720" w:equalWidth="0">
            <w:col w:w="2222" w:space="466"/>
            <w:col w:w="7181"/>
          </w:cols>
          <w:noEndnote/>
        </w:sectPr>
      </w:pPr>
    </w:p>
    <w:p w:rsidR="00FC3F35" w:rsidRPr="00576C1D" w:rsidRDefault="00C244E3" w:rsidP="00FC3F35">
      <w:pPr>
        <w:widowControl w:val="0"/>
        <w:autoSpaceDE w:val="0"/>
        <w:autoSpaceDN w:val="0"/>
        <w:adjustRightInd w:val="0"/>
        <w:spacing w:before="125"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Line 1774" o:spid="_x0000_s1201" style="position:absolute;z-index:251502080;visibility:visible;mso-position-horizontal-relative:margin" from="127.05pt,-15.05pt" to="127.0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" o:allowincell="f" strokeweight=".7pt">
            <w10:wrap anchorx="margin"/>
          </v:line>
        </w:pict>
      </w:r>
      <w:r>
        <w:rPr>
          <w:rFonts w:ascii="Times New Roman" w:eastAsia="Times New Roman" w:hAnsi="Times New Roman" w:cs="Times New Roman"/>
          <w:noProof/>
          <w:sz w:val="20"/>
          <w:szCs w:val="20"/>
          <w:lang w:eastAsia="hr-HR"/>
        </w:rPr>
        <w:pict>
          <v:line id="Line 1776" o:spid="_x0000_s1200" style="position:absolute;z-index:251512320;visibility:visible;mso-position-horizontal-relative:margin" from="750.5pt,-15.1pt" to="750.5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" o:allowincell="f" strokeweight=".25pt">
            <w10:wrap anchorx="margin"/>
          </v:line>
        </w:pic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207" w:right="781" w:bottom="360" w:left="117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06" w:lineRule="exact"/>
        <w:ind w:left="10"/>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75" o:spid="_x0000_s1199" style="position:absolute;left:0;text-align:left;z-index:251627008;visibility:visible;mso-position-horizontal-relative:margin" from="-5.5pt,-3.6pt" to="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Rezultati koje države članice žele postići uz potporu Unije</w:t>
      </w:r>
    </w:p>
    <w:p w:rsidR="00FC3F35" w:rsidRPr="00576C1D" w:rsidRDefault="00FC3F35" w:rsidP="00FC3F35">
      <w:pPr>
        <w:widowControl w:val="0"/>
        <w:shd w:val="clear" w:color="auto" w:fill="FFFFFF"/>
        <w:autoSpaceDE w:val="0"/>
        <w:autoSpaceDN w:val="0"/>
        <w:adjustRightInd w:val="0"/>
        <w:spacing w:before="67"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24"/>
          <w:szCs w:val="24"/>
          <w:lang w:eastAsia="hr-HR"/>
        </w:rPr>
        <w:lastRenderedPageBreak/>
        <w:t>Svrha ovog cilja je poboljšati i nadograditi željezničku infrastrukturu u Hrvatskoj, čime se potiče modalni prijelaz s ceste na željeznice kao održivije/niskougljične opcije, povećanjem kapaciteta i usluga regionalne željezničke infrastrukture i TEN-T željezničke infrastrukture. Iako je ukupna duljina željezničkih pruga u Hrvatskoj otprilike jednaka prosjeku drugih država članica EU-a, mreža nije modernizirana i općenito je u lošem stanju zbog dugog razdoblja nedovoljnih financijskih ulaganja. Mreža ima nedostatan kapacitet, a u nekim su slučajevima čitavi dijelovi mreže nefunkcionalni. Prema statistici iz 2012. godine, 90 % mreže pokriveno je samo jednim kolosijekom, a samo 36 % čitavog željezničkog sustava je elektrificirano. Oko 38 % ukupne duljine otvorene pruge dopušta brzine samo ispod 60 km/h, dok je na samo 4,1 % mreže moguće postići brzine preko 160 km/h, a na 12,2 % mreže brzine preko 100 km/h. Udio željeznica u ukupnom kopnenom prijevozu tereta u tonama po kilometru 2011. godine bio je 20,2 %, što je najniži postotak ikad zabilježen, dok je udio u ukupnom kopnenom prijevozu putnika bio samo 4,9 % u usporedbi s prosjekom EU-a od 7,1 %. Gotovo 55 % mreže hrvatskih željeznica čine trase od iznimne važnosti za međunarodni prijevoz. Sljedeći međunarodni željeznički koridori i trase prolaze kroz teritorij Republike Hrvatske i u svim slučajevima trebaju rekonstrukciju i osuvremenjivanje kako bi se poboljšalo vrijeme, kapacitet i sigurnost putovanja kako bi bili slični funkcionalnim i tehničkim standardima TEN-T mreže</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numPr>
          <w:ilvl w:val="0"/>
          <w:numId w:val="13"/>
        </w:numPr>
        <w:shd w:val="clear" w:color="auto" w:fill="FFFFFF"/>
        <w:tabs>
          <w:tab w:val="left" w:pos="590"/>
        </w:tabs>
        <w:autoSpaceDE w:val="0"/>
        <w:autoSpaceDN w:val="0"/>
        <w:adjustRightInd w:val="0"/>
        <w:spacing w:before="178" w:after="0" w:line="394" w:lineRule="exact"/>
        <w:ind w:left="259"/>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Mediteranski koridor osnovne mreže (povezuje luku Rijeka sa srednjom Europom)</w:t>
      </w:r>
    </w:p>
    <w:p w:rsidR="00FC3F35" w:rsidRPr="00576C1D" w:rsidRDefault="00FC3F35" w:rsidP="00FC3F35">
      <w:pPr>
        <w:widowControl w:val="0"/>
        <w:numPr>
          <w:ilvl w:val="0"/>
          <w:numId w:val="13"/>
        </w:numPr>
        <w:shd w:val="clear" w:color="auto" w:fill="FFFFFF"/>
        <w:tabs>
          <w:tab w:val="left" w:pos="590"/>
        </w:tabs>
        <w:autoSpaceDE w:val="0"/>
        <w:autoSpaceDN w:val="0"/>
        <w:adjustRightInd w:val="0"/>
        <w:spacing w:after="0" w:line="394" w:lineRule="exact"/>
        <w:ind w:left="259"/>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TEN-T trasa koja spaja Ljubljanu, Zagreb i Beograd (bivši Paneuropski koridor X)</w:t>
      </w:r>
    </w:p>
    <w:p w:rsidR="00FC3F35" w:rsidRPr="00576C1D" w:rsidRDefault="00FC3F35" w:rsidP="00FC3F35">
      <w:pPr>
        <w:widowControl w:val="0"/>
        <w:numPr>
          <w:ilvl w:val="0"/>
          <w:numId w:val="13"/>
        </w:numPr>
        <w:shd w:val="clear" w:color="auto" w:fill="FFFFFF"/>
        <w:tabs>
          <w:tab w:val="left" w:pos="590"/>
        </w:tabs>
        <w:autoSpaceDE w:val="0"/>
        <w:autoSpaceDN w:val="0"/>
        <w:adjustRightInd w:val="0"/>
        <w:spacing w:after="0" w:line="394" w:lineRule="exact"/>
        <w:ind w:left="259"/>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TEN-T trasa koja spaja Budimpeštu i Ploče (bivši Paneuropski koridor Vc)</w:t>
      </w:r>
    </w:p>
    <w:p w:rsidR="00FC3F35" w:rsidRPr="00576C1D" w:rsidRDefault="00FC3F35" w:rsidP="00706475">
      <w:pPr>
        <w:widowControl w:val="0"/>
        <w:shd w:val="clear" w:color="auto" w:fill="FFFFFF"/>
        <w:autoSpaceDE w:val="0"/>
        <w:autoSpaceDN w:val="0"/>
        <w:adjustRightInd w:val="0"/>
        <w:spacing w:before="259"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Većina putničkog željezničkog prometa (više od 70 %) se odvija na gradskim i prigradskim linijama za svakodnevne putnike u Zagreb, dok drugi, zanemareni, dijelovi mreže imaju malen broj putnika i nisu konkurentni. Željeznička mreža također ima limitirane veze s drugim oblicima javnog prijevoza putnika. Većinu napora vezano za prijevoz putnika mora se uložiti u zaustavljanje negativnog trenda smanjenja korištenja željeznica tako što će se pružiti bolje usluge i bolju povezanost s drugim oblicima prijevoza putnika. Stanje željezničkog voznog parka slično je stanju infrastrukture hrvatskih željeznica. Prosječna starost putničkih vlakova jedinog gospodarskog subjekta je 30 godina. Budući da je sustav upravljanja prometom, signalizacije te skretnica (interlocking) zastario, dio mreže koji pripada TEN-T mreži imat će prioritet pri osuvremenjivanju u pogledu provedbe prioriteta vezanih za interoperabilnost, ERMTS, ECTS i GSM-R. Ulaganja u željezničku mrežu bit će u skladu s Instrumentom za povezivanje Europe (CEF). Na taj bi način dio pripremljenih željezničkih projekata mogao biti financiran iz CEF-a. Te projekte izabrat će se iz dijelova Mediteranskog koridora.</w:t>
      </w:r>
    </w:p>
    <w:p w:rsidR="00FC3F35" w:rsidRPr="00576C1D" w:rsidRDefault="00FC3F35" w:rsidP="00FC3F35">
      <w:pPr>
        <w:widowControl w:val="0"/>
        <w:shd w:val="clear" w:color="auto" w:fill="FFFFFF"/>
        <w:autoSpaceDE w:val="0"/>
        <w:autoSpaceDN w:val="0"/>
        <w:adjustRightInd w:val="0"/>
        <w:spacing w:before="259" w:after="0" w:line="274"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781" w:bottom="360" w:left="1178" w:header="720" w:footer="720" w:gutter="0"/>
          <w:cols w:num="2" w:space="720" w:equalWidth="0">
            <w:col w:w="2404" w:space="432"/>
            <w:col w:w="12038"/>
          </w:cols>
          <w:noEndnote/>
        </w:sectPr>
      </w:pPr>
    </w:p>
    <w:p w:rsidR="00FC3F35" w:rsidRPr="00576C1D" w:rsidRDefault="00FC3F35" w:rsidP="00FC3F35">
      <w:pPr>
        <w:widowControl w:val="0"/>
        <w:autoSpaceDE w:val="0"/>
        <w:autoSpaceDN w:val="0"/>
        <w:adjustRightInd w:val="0"/>
        <w:spacing w:before="989"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before="259" w:after="0" w:line="274"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777" o:spid="_x0000_s1198" style="position:absolute;z-index:251628032;visibility:visible;mso-position-horizontal-relative:margin" from="26.4pt,-50.4pt" to="782.9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svFw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r w:rsidRPr="00576C1D">
        <w:rPr>
          <w:rFonts w:ascii="Times New Roman" w:eastAsia="Times New Roman" w:hAnsi="Times New Roman" w:cs="Times New Roman"/>
          <w:sz w:val="20"/>
          <w:szCs w:val="20"/>
          <w:lang w:eastAsia="hr-HR"/>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707"/>
        <w:gridCol w:w="12441"/>
      </w:tblGrid>
      <w:tr w:rsidR="00FC3F35" w:rsidRPr="00576C1D" w:rsidTr="00FC3F35">
        <w:trPr>
          <w:trHeight w:hRule="exact" w:val="432"/>
        </w:trPr>
        <w:tc>
          <w:tcPr>
            <w:tcW w:w="2707" w:type="dxa"/>
            <w:tcBorders>
              <w:top w:val="single" w:sz="6" w:space="0" w:color="auto"/>
              <w:lef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441" w:type="dxa"/>
            <w:tcBorders>
              <w:top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547"/>
        </w:trPr>
        <w:tc>
          <w:tcPr>
            <w:tcW w:w="2707" w:type="dxa"/>
            <w:vMerge w:val="restart"/>
            <w:tcBorders>
              <w:lef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441" w:type="dxa"/>
            <w:tcBorders>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Opširniji rezultati</w:t>
            </w:r>
          </w:p>
        </w:tc>
      </w:tr>
      <w:tr w:rsidR="00FC3F35" w:rsidRPr="00576C1D" w:rsidTr="00FC3F35">
        <w:trPr>
          <w:trHeight w:val="3567"/>
        </w:trPr>
        <w:tc>
          <w:tcPr>
            <w:tcW w:w="2707" w:type="dxa"/>
            <w:vMerge/>
            <w:tcBorders>
              <w:left w:val="single" w:sz="6" w:space="0" w:color="auto"/>
              <w:bottom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441" w:type="dxa"/>
            <w:tcBorders>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smanjena emisija i zagađenje zraka modalnim prijelazom s cestovnog na željeznički prijevoz</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 xml:space="preserve">•    povećani kapacitet i korištenje željezničkih usluga za putnike i teret na oba TEN-T koridora i prema regionalnim centrima </w:t>
            </w:r>
            <w:r w:rsidRPr="00576C1D">
              <w:rPr>
                <w:rFonts w:ascii="Times New Roman" w:eastAsia="Times New Roman" w:hAnsi="Times New Roman" w:cs="Times New Roman"/>
                <w:color w:val="000000"/>
                <w:spacing w:val="-2"/>
                <w:sz w:val="24"/>
                <w:szCs w:val="24"/>
                <w:lang w:eastAsia="hr-HR"/>
              </w:rPr>
              <w:br/>
            </w:r>
            <w:r w:rsidRPr="00576C1D">
              <w:rPr>
                <w:rFonts w:ascii="Times New Roman" w:eastAsia="Times New Roman" w:hAnsi="Times New Roman" w:cs="Times New Roman"/>
                <w:color w:val="000000"/>
                <w:spacing w:val="-1"/>
                <w:sz w:val="24"/>
                <w:szCs w:val="24"/>
                <w:lang w:eastAsia="hr-HR"/>
              </w:rPr>
              <w:t>•    bolja integracija željezničkih pruga s drugim oblicima prijevoza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    povećana sigurnost i pouzdanost sustava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    unaprijeđena međunarodna povezanost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    povećana privlačnost željezničkog prijevoza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    povećana duljina željezničkih pruga opremljenih relevantnim ERTMS, ETCS i GSM-R sustavima</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171"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 xml:space="preserve">Tablica 3: Pokazatelji rezultata specifični za program,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20"/>
                <w:szCs w:val="20"/>
                <w:lang w:eastAsia="hr-HR"/>
              </w:rPr>
              <w:t>7iiil - Unaprjeđivanje i poboljšanje željezničke mreže u cilju promocije modalnog prijelaza (˝modal shift˝)</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prikladno)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52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7ccl2</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putnika koji putuju željeznicom</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milijuna putnika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24,20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26,30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4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HŽ putnički prijevoz</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547"/>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sz w:val="16"/>
                <w:szCs w:val="16"/>
                <w:lang w:eastAsia="hr-HR"/>
              </w:rPr>
              <w:t>7ccll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Povećani teretni promet na TEN-T koridorima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7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neto milijuna tona po kilometru</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1.378,00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HŽI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p w:rsidR="00FC3F35" w:rsidRPr="00576C1D" w:rsidRDefault="00FC3F35" w:rsidP="00FC3F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hr-HR"/>
              </w:rPr>
            </w:pPr>
          </w:p>
        </w:tc>
      </w:tr>
    </w:tbl>
    <w:p w:rsidR="00A552D9" w:rsidRDefault="00A552D9"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 xml:space="preserve">2.A.6 Aktivnosti koje će se podržati u okviru prioriteta ulaganja </w:t>
      </w:r>
      <w:r w:rsidRPr="00576C1D">
        <w:rPr>
          <w:rFonts w:ascii="Times New Roman" w:eastAsia="Times New Roman" w:hAnsi="Times New Roman" w:cs="Times New Roman"/>
          <w:bCs/>
          <w:color w:val="000000"/>
          <w:sz w:val="24"/>
          <w:szCs w:val="24"/>
          <w:lang w:eastAsia="hr-HR"/>
        </w:rPr>
        <w:t>(po prioritetu ulaganja)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tbl>
      <w:tblPr>
        <w:tblStyle w:val="TableGrid"/>
        <w:tblW w:w="0" w:type="auto"/>
        <w:tblLook w:val="04A0" w:firstRow="1" w:lastRow="0" w:firstColumn="1" w:lastColumn="0" w:noHBand="0" w:noVBand="1"/>
      </w:tblPr>
      <w:tblGrid>
        <w:gridCol w:w="2907"/>
        <w:gridCol w:w="13062"/>
      </w:tblGrid>
      <w:tr w:rsidR="00A552D9" w:rsidTr="002F173C">
        <w:tc>
          <w:tcPr>
            <w:tcW w:w="0" w:type="auto"/>
          </w:tcPr>
          <w:p w:rsidR="00A552D9" w:rsidRDefault="00A552D9" w:rsidP="00A552D9">
            <w:r w:rsidRPr="00576C1D">
              <w:rPr>
                <w:rFonts w:ascii="Times New Roman" w:hAnsi="Times New Roman"/>
                <w:b/>
                <w:bCs/>
                <w:color w:val="000000"/>
                <w:spacing w:val="-1"/>
                <w:sz w:val="18"/>
                <w:szCs w:val="18"/>
              </w:rPr>
              <w:t>Investicijski prioritet</w:t>
            </w:r>
          </w:p>
        </w:tc>
        <w:tc>
          <w:tcPr>
            <w:tcW w:w="0" w:type="auto"/>
          </w:tcPr>
          <w:p w:rsidR="00A552D9" w:rsidRPr="00576C1D" w:rsidRDefault="00A552D9" w:rsidP="00A552D9">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7iii - Razvoj i obnova sveobuhvatnih, visokokvalitetnih i interoperabilnih željezničkih sustava te promicanje mjera za smanjenje buke</w:t>
            </w:r>
          </w:p>
          <w:p w:rsidR="00A552D9" w:rsidRDefault="00A552D9" w:rsidP="00A552D9"/>
        </w:tc>
      </w:tr>
      <w:tr w:rsidR="00A552D9" w:rsidTr="002F173C">
        <w:tc>
          <w:tcPr>
            <w:tcW w:w="0" w:type="auto"/>
            <w:gridSpan w:val="2"/>
          </w:tcPr>
          <w:p w:rsidR="00A552D9" w:rsidRDefault="00A552D9" w:rsidP="00A552D9">
            <w:r>
              <w:t>•</w:t>
            </w:r>
            <w:r>
              <w:tab/>
              <w:t>izgradnja, osuvremenjivanje i obnova željezničkih pruga</w:t>
            </w:r>
          </w:p>
          <w:p w:rsidR="00A552D9" w:rsidRDefault="00A552D9" w:rsidP="00A552D9">
            <w:r>
              <w:t>•</w:t>
            </w:r>
            <w:r>
              <w:tab/>
              <w:t>nabava i osuvremenjivanje putničkog željezničkog voznog parka</w:t>
            </w:r>
          </w:p>
          <w:p w:rsidR="00A552D9" w:rsidRDefault="00A552D9" w:rsidP="00A552D9">
            <w:r>
              <w:t>•</w:t>
            </w:r>
            <w:r>
              <w:tab/>
              <w:t>provedba europskih sigurnosnih rješenja</w:t>
            </w:r>
          </w:p>
          <w:p w:rsidR="00A552D9" w:rsidRDefault="00A552D9" w:rsidP="00A552D9">
            <w:r>
              <w:t>•</w:t>
            </w:r>
            <w:r>
              <w:tab/>
              <w:t>provedba zajedničkih europskih standarda u područjima GSM-R, ERTMS, ETCS</w:t>
            </w:r>
          </w:p>
          <w:p w:rsidR="00A552D9" w:rsidRDefault="00A552D9" w:rsidP="00A552D9">
            <w:r>
              <w:t>•</w:t>
            </w:r>
            <w:r>
              <w:tab/>
              <w:t>osuvremenjivanje željezničkih kolodvora</w:t>
            </w:r>
          </w:p>
          <w:p w:rsidR="00A552D9" w:rsidRDefault="00A552D9" w:rsidP="00A552D9">
            <w:r>
              <w:t>•</w:t>
            </w:r>
            <w:r>
              <w:tab/>
              <w:t>aktivnosti kojima se poboljšavaju usluge putničkog željezničkog prijevoza</w:t>
            </w:r>
          </w:p>
          <w:p w:rsidR="00A552D9" w:rsidRDefault="00A552D9" w:rsidP="00A552D9">
            <w:r>
              <w:t>•</w:t>
            </w:r>
            <w:r>
              <w:tab/>
              <w:t>reintegracija željeznica unutar postojećih gradskih prometnih sustava</w:t>
            </w:r>
          </w:p>
          <w:p w:rsidR="00A552D9" w:rsidRDefault="00A552D9" w:rsidP="00A552D9">
            <w:r>
              <w:t>•</w:t>
            </w:r>
            <w:r>
              <w:tab/>
              <w:t>priprema projektne dokumentacije</w:t>
            </w:r>
          </w:p>
          <w:p w:rsidR="00A552D9" w:rsidRDefault="00A552D9" w:rsidP="00A552D9">
            <w:r>
              <w:t>Mogući korisnici i konačni primatelji</w:t>
            </w:r>
          </w:p>
          <w:p w:rsidR="00A552D9" w:rsidRDefault="00A552D9" w:rsidP="00A552D9">
            <w:r>
              <w:t>Korisnici će biti HŽ INFRASTRUKTURA d.o.o. (društvo s ograničenom odgovornošću u vlasništvu države, odgovorno za upravljanje, održavanje i izgradnju željezničke infrastrukture) i željeznički gospodarski subjekti, vlasnici željezničkih kolodvora i tijela lokalne vlasti vezana za projekte integracije gradskog prijevoza.</w:t>
            </w:r>
          </w:p>
          <w:p w:rsidR="00A552D9" w:rsidRDefault="00A552D9" w:rsidP="00A552D9">
            <w:r>
              <w:t>Intervencijom će se osigurati zadovoljavajuća razina usluge za putnike i poduzeća koja koriste željezničku mrežu za prijevoz dobara, te će osigurati da željeznička mreža bude sve konkurentnija drugim manje ekološki prihvatljivim oblicima prijevoza. Poboljšanjem povezanosti diljem Hrvatske, intervencija će također pomoći pri potpori gospodarske konkurentnosti hrvatskog gospodarstva te gospodarskoj dobrobiti i vitalnosti regionalnih centara.</w:t>
            </w:r>
          </w:p>
        </w:tc>
      </w:tr>
    </w:tbl>
    <w:p w:rsidR="002F173C" w:rsidRDefault="002F173C" w:rsidP="002F173C">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i/>
          <w:iCs/>
          <w:color w:val="000000"/>
          <w:spacing w:val="1"/>
          <w:sz w:val="24"/>
          <w:szCs w:val="24"/>
          <w:lang w:eastAsia="hr-HR"/>
        </w:rPr>
      </w:pPr>
    </w:p>
    <w:p w:rsidR="00FC3F35" w:rsidRDefault="00FC3F35" w:rsidP="002F173C">
      <w:pPr>
        <w:widowControl w:val="0"/>
        <w:shd w:val="clear" w:color="auto" w:fill="FFFFFF"/>
        <w:autoSpaceDE w:val="0"/>
        <w:autoSpaceDN w:val="0"/>
        <w:adjustRightInd w:val="0"/>
        <w:spacing w:after="0" w:line="240" w:lineRule="auto"/>
        <w:ind w:left="590"/>
        <w:rPr>
          <w:rFonts w:ascii="Times New Roman" w:eastAsia="Times New Roman" w:hAnsi="Times New Roman" w:cs="Times New Roman"/>
          <w:i/>
          <w:iCs/>
          <w:color w:val="000000"/>
          <w:spacing w:val="1"/>
          <w:sz w:val="24"/>
          <w:szCs w:val="24"/>
          <w:lang w:eastAsia="hr-HR"/>
        </w:rPr>
      </w:pPr>
      <w:r w:rsidRPr="00576C1D">
        <w:rPr>
          <w:rFonts w:ascii="Times New Roman" w:eastAsia="Times New Roman" w:hAnsi="Times New Roman" w:cs="Times New Roman"/>
          <w:i/>
          <w:iCs/>
          <w:color w:val="000000"/>
          <w:spacing w:val="1"/>
          <w:sz w:val="24"/>
          <w:szCs w:val="24"/>
          <w:lang w:eastAsia="hr-HR"/>
        </w:rPr>
        <w:t>2.A.6.2 Vodeća načela za odabir operacija</w:t>
      </w:r>
    </w:p>
    <w:tbl>
      <w:tblPr>
        <w:tblStyle w:val="TableGrid"/>
        <w:tblW w:w="0" w:type="auto"/>
        <w:tblLook w:val="04A0" w:firstRow="1" w:lastRow="0" w:firstColumn="1" w:lastColumn="0" w:noHBand="0" w:noVBand="1"/>
      </w:tblPr>
      <w:tblGrid>
        <w:gridCol w:w="4531"/>
        <w:gridCol w:w="10745"/>
      </w:tblGrid>
      <w:tr w:rsidR="00943A84" w:rsidTr="00943A84">
        <w:tc>
          <w:tcPr>
            <w:tcW w:w="4531" w:type="dxa"/>
          </w:tcPr>
          <w:p w:rsidR="00943A84" w:rsidRDefault="00943A84" w:rsidP="00B43B00">
            <w:r w:rsidRPr="00576C1D">
              <w:rPr>
                <w:rFonts w:ascii="Times New Roman" w:hAnsi="Times New Roman"/>
                <w:b/>
                <w:bCs/>
                <w:color w:val="000000"/>
                <w:spacing w:val="-1"/>
                <w:sz w:val="18"/>
                <w:szCs w:val="18"/>
              </w:rPr>
              <w:t>Investicijski prioritet</w:t>
            </w:r>
          </w:p>
        </w:tc>
        <w:tc>
          <w:tcPr>
            <w:tcW w:w="10745" w:type="dxa"/>
          </w:tcPr>
          <w:p w:rsidR="00943A84" w:rsidRPr="00576C1D" w:rsidRDefault="00943A84" w:rsidP="00B43B00">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7iii - Razvoj i obnova sveobuhvatnih, visokokvalitetnih i interoperabilnih željezničkih sustava te promicanje mjera za smanjenje buke</w:t>
            </w:r>
          </w:p>
          <w:p w:rsidR="00943A84" w:rsidRDefault="00943A84" w:rsidP="00B43B00"/>
        </w:tc>
      </w:tr>
      <w:tr w:rsidR="00943A84" w:rsidTr="00943A84">
        <w:tc>
          <w:tcPr>
            <w:tcW w:w="15276" w:type="dxa"/>
            <w:gridSpan w:val="2"/>
          </w:tcPr>
          <w:p w:rsidR="00943A84" w:rsidRDefault="00943A84" w:rsidP="00B43B00">
            <w:r>
              <w:t>Odabir projekata temeljit će se na sljedećim ključnim čimbenicima i načelima:</w:t>
            </w:r>
          </w:p>
          <w:p w:rsidR="00943A84" w:rsidRDefault="00943A84" w:rsidP="00B43B00">
            <w:r>
              <w:t>•</w:t>
            </w:r>
            <w:r>
              <w:tab/>
              <w:t>projekt mora biti u skladu s pojedinim sveobuhvatnim prometnim planom koji pripremaju i usvajaju nadležna tijela</w:t>
            </w:r>
          </w:p>
          <w:p w:rsidR="00943A84" w:rsidRDefault="00943A84" w:rsidP="00B43B00">
            <w:r>
              <w:lastRenderedPageBreak/>
              <w:t>•</w:t>
            </w:r>
            <w:r>
              <w:tab/>
              <w:t>prioritet će imati poboljšanje infrastrukture koja se nalazi na, ili je izravno povezana s TEN-T mrežom</w:t>
            </w:r>
          </w:p>
          <w:p w:rsidR="00943A84" w:rsidRDefault="00943A84" w:rsidP="00B43B00">
            <w:r>
              <w:t>•</w:t>
            </w:r>
            <w:r>
              <w:tab/>
              <w:t>prednost će imati projekti koji povezuju željeznice s drugim oblicima javnog prijevoza</w:t>
            </w:r>
          </w:p>
          <w:p w:rsidR="00943A84" w:rsidRDefault="00943A84" w:rsidP="00B43B00">
            <w:r>
              <w:t>•</w:t>
            </w:r>
            <w:r>
              <w:tab/>
              <w:t>infrastrukturni projekti moraju pokazati razumnu stopu povrata ulaganja u smislu poboljšane brzine i podataka o putnicima/teretu te utjecaju na lokalno gospodarstvo</w:t>
            </w:r>
          </w:p>
          <w:p w:rsidR="00943A84" w:rsidRDefault="00943A84" w:rsidP="00B43B00">
            <w:r>
              <w:t>•</w:t>
            </w:r>
            <w:r>
              <w:tab/>
              <w:t>sva kupljena oprema mora zadovoljavati aktualne ekološke standarde za emisiju CO2</w:t>
            </w:r>
          </w:p>
          <w:p w:rsidR="00943A84" w:rsidRDefault="00943A84" w:rsidP="00B43B00">
            <w:r>
              <w:t>•</w:t>
            </w:r>
            <w:r>
              <w:tab/>
              <w:t>željeznički vozni park i oprema mogu se financirati samo gdje su izravno povezani s poboljšanjem određenog dijela željezničke infrastrukture</w:t>
            </w:r>
          </w:p>
          <w:p w:rsidR="00943A84" w:rsidRDefault="00943A84" w:rsidP="00B43B00">
            <w:r>
              <w:t>•</w:t>
            </w:r>
            <w:r>
              <w:tab/>
              <w:t>sukladnost s normama ERTMS-a, ECTS-a i TSI-a</w:t>
            </w:r>
          </w:p>
        </w:tc>
      </w:tr>
    </w:tbl>
    <w:p w:rsidR="002F173C" w:rsidRDefault="002F173C" w:rsidP="002F173C">
      <w:pPr>
        <w:widowControl w:val="0"/>
        <w:shd w:val="clear" w:color="auto" w:fill="FFFFFF"/>
        <w:autoSpaceDE w:val="0"/>
        <w:autoSpaceDN w:val="0"/>
        <w:adjustRightInd w:val="0"/>
        <w:spacing w:after="187" w:line="240" w:lineRule="auto"/>
        <w:ind w:left="533"/>
        <w:rPr>
          <w:rFonts w:ascii="Times New Roman" w:eastAsia="Times New Roman" w:hAnsi="Times New Roman" w:cs="Times New Roman"/>
          <w:i/>
          <w:iCs/>
          <w:color w:val="000000"/>
          <w:spacing w:val="1"/>
          <w:sz w:val="24"/>
          <w:szCs w:val="24"/>
          <w:lang w:eastAsia="hr-HR"/>
        </w:rPr>
      </w:pPr>
    </w:p>
    <w:p w:rsidR="00FC3F35" w:rsidRPr="00576C1D" w:rsidRDefault="00FC3F35" w:rsidP="002F173C">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t xml:space="preserve">2.A.6.3 Planirano korištenje financijskih instrumenata </w:t>
      </w:r>
      <w:r w:rsidRPr="00576C1D">
        <w:rPr>
          <w:rFonts w:ascii="Times New Roman" w:eastAsia="Times New Roman" w:hAnsi="Times New Roman" w:cs="Times New Roman"/>
          <w:iCs/>
          <w:color w:val="000000"/>
          <w:spacing w:val="1"/>
          <w:sz w:val="24"/>
          <w:szCs w:val="24"/>
          <w:lang w:eastAsia="hr-HR"/>
        </w:rPr>
        <w:t>(po potrebi)</w:t>
      </w:r>
    </w:p>
    <w:tbl>
      <w:tblPr>
        <w:tblStyle w:val="TableGrid"/>
        <w:tblW w:w="0" w:type="auto"/>
        <w:tblLook w:val="04A0" w:firstRow="1" w:lastRow="0" w:firstColumn="1" w:lastColumn="0" w:noHBand="0" w:noVBand="1"/>
      </w:tblPr>
      <w:tblGrid>
        <w:gridCol w:w="4531"/>
        <w:gridCol w:w="10745"/>
      </w:tblGrid>
      <w:tr w:rsidR="00943A84" w:rsidTr="00943A84">
        <w:tc>
          <w:tcPr>
            <w:tcW w:w="4531" w:type="dxa"/>
          </w:tcPr>
          <w:p w:rsidR="00943A84" w:rsidRDefault="00943A84" w:rsidP="00B43B00">
            <w:r w:rsidRPr="00576C1D">
              <w:rPr>
                <w:rFonts w:ascii="Times New Roman" w:hAnsi="Times New Roman"/>
                <w:b/>
                <w:bCs/>
                <w:color w:val="000000"/>
                <w:spacing w:val="-1"/>
                <w:sz w:val="18"/>
                <w:szCs w:val="18"/>
              </w:rPr>
              <w:t>Investicijski prioritet</w:t>
            </w:r>
          </w:p>
        </w:tc>
        <w:tc>
          <w:tcPr>
            <w:tcW w:w="10745" w:type="dxa"/>
          </w:tcPr>
          <w:p w:rsidR="00943A84" w:rsidRPr="00576C1D" w:rsidRDefault="00943A84" w:rsidP="00B43B00">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7iii - Razvoj i obnova sveobuhvatnih, visokokvalitetnih i interoperabilnih željezničkih sustava te promicanje mjera za smanjenje buke</w:t>
            </w:r>
          </w:p>
          <w:p w:rsidR="00943A84" w:rsidRDefault="00943A84" w:rsidP="00B43B00"/>
        </w:tc>
      </w:tr>
      <w:tr w:rsidR="00943A84" w:rsidTr="00943A84">
        <w:tc>
          <w:tcPr>
            <w:tcW w:w="15276" w:type="dxa"/>
            <w:gridSpan w:val="2"/>
          </w:tcPr>
          <w:p w:rsidR="00943A84" w:rsidRDefault="00943A84" w:rsidP="00B43B00">
            <w:r w:rsidRPr="00576C1D">
              <w:rPr>
                <w:rFonts w:ascii="Times New Roman" w:hAnsi="Times New Roman"/>
              </w:rPr>
              <w:t>Nije primjenjivo.</w:t>
            </w:r>
          </w:p>
        </w:tc>
      </w:tr>
    </w:tbl>
    <w:p w:rsidR="002F173C" w:rsidRDefault="002F173C" w:rsidP="002F173C">
      <w:pPr>
        <w:widowControl w:val="0"/>
        <w:shd w:val="clear" w:color="auto" w:fill="FFFFFF"/>
        <w:autoSpaceDE w:val="0"/>
        <w:autoSpaceDN w:val="0"/>
        <w:adjustRightInd w:val="0"/>
        <w:spacing w:after="182" w:line="240" w:lineRule="auto"/>
        <w:ind w:left="533"/>
        <w:rPr>
          <w:rFonts w:ascii="Times New Roman" w:eastAsia="Times New Roman" w:hAnsi="Times New Roman" w:cs="Times New Roman"/>
          <w:i/>
          <w:iCs/>
          <w:color w:val="000000"/>
          <w:sz w:val="24"/>
          <w:szCs w:val="24"/>
          <w:lang w:eastAsia="hr-HR"/>
        </w:rPr>
      </w:pPr>
    </w:p>
    <w:p w:rsidR="00FC3F35" w:rsidRPr="00576C1D" w:rsidRDefault="00FC3F35" w:rsidP="002F173C">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z w:val="24"/>
          <w:szCs w:val="24"/>
          <w:lang w:eastAsia="hr-HR"/>
        </w:rPr>
        <w:t xml:space="preserve">2.A.6.4 Planirano korištenje velikih projekata </w:t>
      </w:r>
      <w:r w:rsidRPr="00576C1D">
        <w:rPr>
          <w:rFonts w:ascii="Times New Roman" w:eastAsia="Times New Roman" w:hAnsi="Times New Roman" w:cs="Times New Roman"/>
          <w:iCs/>
          <w:color w:val="000000"/>
          <w:sz w:val="24"/>
          <w:szCs w:val="24"/>
          <w:lang w:eastAsia="hr-HR"/>
        </w:rPr>
        <w:t>(po potrebi)</w:t>
      </w:r>
    </w:p>
    <w:tbl>
      <w:tblPr>
        <w:tblStyle w:val="TableGrid"/>
        <w:tblW w:w="0" w:type="auto"/>
        <w:tblLook w:val="04A0" w:firstRow="1" w:lastRow="0" w:firstColumn="1" w:lastColumn="0" w:noHBand="0" w:noVBand="1"/>
      </w:tblPr>
      <w:tblGrid>
        <w:gridCol w:w="4531"/>
        <w:gridCol w:w="10745"/>
      </w:tblGrid>
      <w:tr w:rsidR="00943A84" w:rsidTr="00943A84">
        <w:tc>
          <w:tcPr>
            <w:tcW w:w="4531" w:type="dxa"/>
          </w:tcPr>
          <w:p w:rsidR="00943A84" w:rsidRDefault="00943A84" w:rsidP="00B43B00">
            <w:r w:rsidRPr="00576C1D">
              <w:rPr>
                <w:rFonts w:ascii="Times New Roman" w:hAnsi="Times New Roman"/>
                <w:b/>
                <w:bCs/>
                <w:color w:val="000000"/>
                <w:spacing w:val="-1"/>
                <w:sz w:val="18"/>
                <w:szCs w:val="18"/>
              </w:rPr>
              <w:t>Investicijski prioritet</w:t>
            </w:r>
          </w:p>
        </w:tc>
        <w:tc>
          <w:tcPr>
            <w:tcW w:w="10745" w:type="dxa"/>
          </w:tcPr>
          <w:p w:rsidR="00943A84" w:rsidRPr="00576C1D" w:rsidRDefault="00943A84" w:rsidP="00B43B00">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7iii - Razvoj i obnova sveobuhvatnih, visokokvalitetnih i interoperabilnih željezničkih sustava te promicanje mjera za smanjenje buke</w:t>
            </w:r>
          </w:p>
          <w:p w:rsidR="00943A84" w:rsidRDefault="00943A84" w:rsidP="00B43B00"/>
        </w:tc>
      </w:tr>
      <w:tr w:rsidR="00943A84" w:rsidTr="00943A84">
        <w:tc>
          <w:tcPr>
            <w:tcW w:w="15276" w:type="dxa"/>
            <w:gridSpan w:val="2"/>
          </w:tcPr>
          <w:p w:rsidR="00943A84" w:rsidRPr="00343F39" w:rsidRDefault="00943A84" w:rsidP="00B43B00">
            <w:pPr>
              <w:rPr>
                <w:rFonts w:ascii="Times New Roman" w:hAnsi="Times New Roman"/>
              </w:rPr>
            </w:pPr>
            <w:r w:rsidRPr="00343F39">
              <w:rPr>
                <w:rFonts w:ascii="Times New Roman" w:hAnsi="Times New Roman"/>
              </w:rPr>
              <w:t>Identificirani su sljedeći projekti:</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Dugo Selo - Križevci (iz razdoblja 2007.-2013., faziranje)</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Hrvatski Leskovac - Karlovac</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Križevci - Koprivnica – državna granica</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Dugo Selo - Novska</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Goljak - Skradnik</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Okučani - Vinkovci</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Vinkovci - Vukovar</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Podsused - Samobor</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Zaprešić - Zabok</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GSM-R</w:t>
            </w:r>
          </w:p>
          <w:p w:rsidR="00943A84" w:rsidRPr="00343F39" w:rsidRDefault="00943A84" w:rsidP="00B43B00">
            <w:pPr>
              <w:rPr>
                <w:rFonts w:ascii="Times New Roman" w:hAnsi="Times New Roman"/>
              </w:rPr>
            </w:pPr>
            <w:r w:rsidRPr="00343F39">
              <w:rPr>
                <w:rFonts w:ascii="Times New Roman" w:hAnsi="Times New Roman"/>
              </w:rPr>
              <w:t>•</w:t>
            </w:r>
            <w:r w:rsidRPr="00343F39">
              <w:rPr>
                <w:rFonts w:ascii="Times New Roman" w:hAnsi="Times New Roman"/>
              </w:rPr>
              <w:tab/>
              <w:t>Centar za upravljanje prometom</w:t>
            </w:r>
          </w:p>
          <w:p w:rsidR="00943A84" w:rsidRDefault="00943A84" w:rsidP="00B43B00">
            <w:r w:rsidRPr="00343F39">
              <w:rPr>
                <w:rFonts w:ascii="Times New Roman" w:hAnsi="Times New Roman"/>
              </w:rPr>
              <w:t>Također, mogu se identificirati i drugi projekti tijekom provođenja operativnog programa.</w:t>
            </w:r>
          </w:p>
        </w:tc>
      </w:tr>
    </w:tbl>
    <w:p w:rsidR="00943A84" w:rsidRDefault="00943A84"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i/>
          <w:iCs/>
          <w:color w:val="000000"/>
          <w:spacing w:val="1"/>
          <w:sz w:val="24"/>
          <w:szCs w:val="24"/>
          <w:lang w:eastAsia="hr-HR"/>
        </w:rPr>
      </w:pPr>
    </w:p>
    <w:p w:rsidR="00943A84" w:rsidRDefault="00943A84"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i/>
          <w:i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Table 5: Zajednički i pokazatelji neposrednih rezultata specifični za program </w:t>
      </w:r>
      <w:r w:rsidRPr="00576C1D">
        <w:rPr>
          <w:rFonts w:ascii="Times New Roman" w:eastAsia="Times New Roman" w:hAnsi="Times New Roman" w:cs="Times New Roman"/>
          <w:bCs/>
          <w:color w:val="000000"/>
          <w:spacing w:val="-1"/>
          <w:sz w:val="24"/>
          <w:szCs w:val="24"/>
          <w:lang w:eastAsia="hr-HR"/>
        </w:rPr>
        <w:t>(po investicijskom prioritetu, podijeljeno po kategoriji regije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102" w:type="dxa"/>
        <w:tblLayout w:type="fixed"/>
        <w:tblCellMar>
          <w:left w:w="40" w:type="dxa"/>
          <w:right w:w="40" w:type="dxa"/>
        </w:tblCellMar>
        <w:tblLook w:val="0000" w:firstRow="0" w:lastRow="0" w:firstColumn="0" w:lastColumn="0" w:noHBand="0" w:noVBand="0"/>
      </w:tblPr>
      <w:tblGrid>
        <w:gridCol w:w="1054"/>
        <w:gridCol w:w="1373"/>
        <w:gridCol w:w="1555"/>
        <w:gridCol w:w="1565"/>
        <w:gridCol w:w="2554"/>
        <w:gridCol w:w="1555"/>
        <w:gridCol w:w="1555"/>
        <w:gridCol w:w="1565"/>
        <w:gridCol w:w="1277"/>
        <w:gridCol w:w="1238"/>
      </w:tblGrid>
      <w:tr w:rsidR="00FC3F35" w:rsidRPr="00576C1D" w:rsidTr="002F173C">
        <w:trPr>
          <w:trHeight w:hRule="exact" w:val="442"/>
        </w:trPr>
        <w:tc>
          <w:tcPr>
            <w:tcW w:w="242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w w:val="105"/>
                <w:sz w:val="16"/>
                <w:szCs w:val="16"/>
                <w:lang w:eastAsia="hr-HR"/>
              </w:rPr>
              <w:t>Investicijski prioritet</w:t>
            </w:r>
          </w:p>
        </w:tc>
        <w:tc>
          <w:tcPr>
            <w:tcW w:w="10349" w:type="dxa"/>
            <w:gridSpan w:val="6"/>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w w:val="105"/>
                <w:sz w:val="16"/>
                <w:szCs w:val="16"/>
                <w:lang w:eastAsia="hr-HR"/>
              </w:rPr>
              <w:t>7iii - Razvoj i obnova sveobuhvatnih, visokokvalitetnih i interoperabilnih željezničkih sustava te promicanje mjera za smanjenje buke</w:t>
            </w:r>
          </w:p>
        </w:tc>
        <w:tc>
          <w:tcPr>
            <w:tcW w:w="127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2F173C">
        <w:trPr>
          <w:trHeight w:hRule="exact" w:val="442"/>
        </w:trPr>
        <w:tc>
          <w:tcPr>
            <w:tcW w:w="10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lastRenderedPageBreak/>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w w:val="105"/>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w w:val="105"/>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w w:val="10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w w:val="105"/>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w w:val="105"/>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w w:val="105"/>
                <w:sz w:val="16"/>
                <w:szCs w:val="16"/>
                <w:lang w:eastAsia="hr-HR"/>
              </w:rPr>
              <w:t>Izvor podataka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w w:val="105"/>
                <w:sz w:val="16"/>
                <w:szCs w:val="16"/>
                <w:lang w:eastAsia="hr-HR"/>
              </w:rPr>
              <w:t>Učestalost izvješćivanja</w:t>
            </w:r>
          </w:p>
        </w:tc>
      </w:tr>
      <w:tr w:rsidR="00FC3F35" w:rsidRPr="00576C1D" w:rsidTr="002F173C">
        <w:trPr>
          <w:trHeight w:hRule="exact" w:val="432"/>
        </w:trPr>
        <w:tc>
          <w:tcPr>
            <w:tcW w:w="10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2F173C">
        <w:trPr>
          <w:trHeight w:hRule="exact" w:val="998"/>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w w:val="105"/>
                <w:sz w:val="16"/>
                <w:szCs w:val="16"/>
                <w:lang w:eastAsia="hr-HR"/>
              </w:rPr>
              <w:t>CO11a</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w w:val="105"/>
                <w:sz w:val="16"/>
                <w:szCs w:val="16"/>
                <w:lang w:eastAsia="hr-HR"/>
              </w:rPr>
              <w:t>Željeznice: Ukupna duljina nove željezničke pruge, od čega: TEN-T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km</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w w:val="105"/>
                <w:sz w:val="16"/>
                <w:szCs w:val="16"/>
                <w:lang w:eastAsia="hr-HR"/>
              </w:rPr>
              <w:t>80,00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w w:val="105"/>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before="422"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xml:space="preserve">2.A.7 </w:t>
      </w:r>
      <w:r w:rsidRPr="00576C1D">
        <w:rPr>
          <w:rFonts w:ascii="Times New Roman" w:eastAsia="Times New Roman" w:hAnsi="Times New Roman" w:cs="Times New Roman"/>
          <w:b/>
          <w:bCs/>
          <w:color w:val="000000"/>
          <w:spacing w:val="-1"/>
          <w:sz w:val="24"/>
          <w:szCs w:val="24"/>
          <w:lang w:eastAsia="hr-HR"/>
        </w:rPr>
        <w:t>Socijalna inovacija, međudržavna suradnja i doprinos tematskim ciljevima 1-7</w:t>
      </w:r>
    </w:p>
    <w:tbl>
      <w:tblPr>
        <w:tblStyle w:val="TableGrid"/>
        <w:tblW w:w="0" w:type="auto"/>
        <w:tblLook w:val="04A0" w:firstRow="1" w:lastRow="0" w:firstColumn="1" w:lastColumn="0" w:noHBand="0" w:noVBand="1"/>
      </w:tblPr>
      <w:tblGrid>
        <w:gridCol w:w="4531"/>
        <w:gridCol w:w="10745"/>
      </w:tblGrid>
      <w:tr w:rsidR="00943A84" w:rsidTr="00943A84">
        <w:tc>
          <w:tcPr>
            <w:tcW w:w="4531" w:type="dxa"/>
          </w:tcPr>
          <w:p w:rsidR="00943A84" w:rsidRDefault="00943A84" w:rsidP="00B43B00">
            <w:r w:rsidRPr="00576C1D">
              <w:rPr>
                <w:rFonts w:ascii="Times New Roman" w:hAnsi="Times New Roman"/>
                <w:color w:val="000000"/>
                <w:w w:val="105"/>
                <w:sz w:val="16"/>
                <w:szCs w:val="16"/>
              </w:rPr>
              <w:t>Prioritetna os</w:t>
            </w:r>
          </w:p>
        </w:tc>
        <w:tc>
          <w:tcPr>
            <w:tcW w:w="10745" w:type="dxa"/>
          </w:tcPr>
          <w:p w:rsidR="00943A84" w:rsidRDefault="00943A84" w:rsidP="00B43B00">
            <w:r w:rsidRPr="00576C1D">
              <w:rPr>
                <w:rFonts w:ascii="Times New Roman" w:hAnsi="Times New Roman"/>
                <w:color w:val="000000"/>
                <w:spacing w:val="1"/>
                <w:w w:val="105"/>
                <w:sz w:val="16"/>
                <w:szCs w:val="16"/>
              </w:rPr>
              <w:t>7 - Povezanost i mobilnost</w:t>
            </w:r>
          </w:p>
        </w:tc>
      </w:tr>
      <w:tr w:rsidR="00943A84" w:rsidTr="00943A84">
        <w:tc>
          <w:tcPr>
            <w:tcW w:w="15276" w:type="dxa"/>
            <w:gridSpan w:val="2"/>
          </w:tcPr>
          <w:p w:rsidR="00943A84" w:rsidRDefault="00943A84" w:rsidP="00B43B00"/>
        </w:tc>
      </w:tr>
    </w:tbl>
    <w:p w:rsidR="002F173C" w:rsidRDefault="002F173C" w:rsidP="002F173C">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2"/>
          <w:sz w:val="24"/>
          <w:szCs w:val="24"/>
          <w:lang w:eastAsia="hr-HR"/>
        </w:rPr>
      </w:pPr>
    </w:p>
    <w:p w:rsidR="00FC3F35" w:rsidRPr="00576C1D" w:rsidRDefault="00FC3F35" w:rsidP="002F173C">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2.A.8 Okvir uspješnosti</w:t>
      </w:r>
    </w:p>
    <w:p w:rsidR="00FC3F35" w:rsidRPr="00576C1D" w:rsidRDefault="00FC3F35" w:rsidP="002F173C">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6: Okvir uspješnosti prioritetne osi </w:t>
      </w:r>
      <w:r w:rsidRPr="00576C1D">
        <w:rPr>
          <w:rFonts w:ascii="Times New Roman" w:eastAsia="Times New Roman" w:hAnsi="Times New Roman" w:cs="Times New Roman"/>
          <w:bCs/>
          <w:color w:val="000000"/>
          <w:spacing w:val="-1"/>
          <w:sz w:val="24"/>
          <w:szCs w:val="24"/>
          <w:lang w:eastAsia="hr-HR"/>
        </w:rPr>
        <w:t>(po fondu i, za EFRR i ESF, po kategoriji regije)</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102" w:type="dxa"/>
        <w:tblLayout w:type="fixed"/>
        <w:tblCellMar>
          <w:left w:w="40" w:type="dxa"/>
          <w:right w:w="40" w:type="dxa"/>
        </w:tblCellMar>
        <w:tblLook w:val="0000" w:firstRow="0" w:lastRow="0" w:firstColumn="0" w:lastColumn="0" w:noHBand="0" w:noVBand="0"/>
      </w:tblPr>
      <w:tblGrid>
        <w:gridCol w:w="1044"/>
        <w:gridCol w:w="10"/>
        <w:gridCol w:w="652"/>
        <w:gridCol w:w="10"/>
        <w:gridCol w:w="700"/>
        <w:gridCol w:w="10"/>
        <w:gridCol w:w="844"/>
        <w:gridCol w:w="10"/>
        <w:gridCol w:w="1670"/>
        <w:gridCol w:w="10"/>
        <w:gridCol w:w="1190"/>
        <w:gridCol w:w="10"/>
        <w:gridCol w:w="950"/>
        <w:gridCol w:w="10"/>
        <w:gridCol w:w="998"/>
        <w:gridCol w:w="10"/>
        <w:gridCol w:w="1008"/>
        <w:gridCol w:w="10"/>
        <w:gridCol w:w="1008"/>
        <w:gridCol w:w="10"/>
        <w:gridCol w:w="1008"/>
        <w:gridCol w:w="10"/>
        <w:gridCol w:w="998"/>
        <w:gridCol w:w="10"/>
        <w:gridCol w:w="1008"/>
        <w:gridCol w:w="10"/>
        <w:gridCol w:w="892"/>
        <w:gridCol w:w="10"/>
        <w:gridCol w:w="1200"/>
      </w:tblGrid>
      <w:tr w:rsidR="00FC3F35" w:rsidRPr="00576C1D" w:rsidTr="002F173C">
        <w:trPr>
          <w:trHeight w:hRule="exact" w:val="374"/>
        </w:trPr>
        <w:tc>
          <w:tcPr>
            <w:tcW w:w="2416"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Prioritetna os</w:t>
            </w:r>
          </w:p>
        </w:tc>
        <w:tc>
          <w:tcPr>
            <w:tcW w:w="12894" w:type="dxa"/>
            <w:gridSpan w:val="2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7- Povezanost i mobilnost</w:t>
            </w:r>
          </w:p>
        </w:tc>
      </w:tr>
      <w:tr w:rsidR="00FC3F35" w:rsidRPr="00576C1D" w:rsidTr="002F173C">
        <w:trPr>
          <w:trHeight w:hRule="exact" w:val="365"/>
        </w:trPr>
        <w:tc>
          <w:tcPr>
            <w:tcW w:w="104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Oznaka</w:t>
            </w:r>
          </w:p>
        </w:tc>
        <w:tc>
          <w:tcPr>
            <w:tcW w:w="662"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Vrsta pokazatelja</w:t>
            </w:r>
          </w:p>
        </w:tc>
        <w:tc>
          <w:tcPr>
            <w:tcW w:w="1564" w:type="dxa"/>
            <w:gridSpan w:val="4"/>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0"/>
                <w:szCs w:val="10"/>
                <w:lang w:eastAsia="hr-HR"/>
              </w:rPr>
              <w:t>Pokazatelj ili ključni provedbeni korak</w:t>
            </w:r>
          </w:p>
        </w:tc>
        <w:tc>
          <w:tcPr>
            <w:tcW w:w="1680"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Mjerna jedinica, po potrebi</w:t>
            </w:r>
          </w:p>
        </w:tc>
        <w:tc>
          <w:tcPr>
            <w:tcW w:w="1200"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Fond</w:t>
            </w:r>
          </w:p>
        </w:tc>
        <w:tc>
          <w:tcPr>
            <w:tcW w:w="960"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Kategorija regije</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Kontrolna točka za 2018.</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Konačni cilj (2023.)</w:t>
            </w:r>
          </w:p>
        </w:tc>
        <w:tc>
          <w:tcPr>
            <w:tcW w:w="902" w:type="dxa"/>
            <w:gridSpan w:val="2"/>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Izvor podataka</w:t>
            </w:r>
          </w:p>
        </w:tc>
        <w:tc>
          <w:tcPr>
            <w:tcW w:w="1210" w:type="dxa"/>
            <w:gridSpan w:val="2"/>
            <w:vMerge w:val="restart"/>
            <w:tcBorders>
              <w:top w:val="single" w:sz="6" w:space="0" w:color="auto"/>
              <w:left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Objašnjenje relevantnosti pokazatelja, po potrebi</w:t>
            </w:r>
          </w:p>
        </w:tc>
      </w:tr>
      <w:tr w:rsidR="00FC3F35" w:rsidRPr="00576C1D" w:rsidTr="002F173C">
        <w:trPr>
          <w:trHeight w:hRule="exact" w:val="384"/>
        </w:trPr>
        <w:tc>
          <w:tcPr>
            <w:tcW w:w="104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4"/>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w:t>
            </w:r>
          </w:p>
        </w:tc>
        <w:tc>
          <w:tcPr>
            <w:tcW w:w="902"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tc>
        <w:tc>
          <w:tcPr>
            <w:tcW w:w="1210" w:type="dxa"/>
            <w:gridSpan w:val="2"/>
            <w:vMerge/>
            <w:tcBorders>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2F173C">
        <w:trPr>
          <w:trHeight w:hRule="exact" w:val="374"/>
        </w:trPr>
        <w:tc>
          <w:tcPr>
            <w:tcW w:w="2426"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Prioritetna os</w:t>
            </w:r>
          </w:p>
        </w:tc>
        <w:tc>
          <w:tcPr>
            <w:tcW w:w="12884" w:type="dxa"/>
            <w:gridSpan w:val="2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7- </w:t>
            </w:r>
            <w:r w:rsidRPr="00576C1D">
              <w:rPr>
                <w:rFonts w:ascii="Times New Roman" w:eastAsia="Times New Roman" w:hAnsi="Times New Roman" w:cs="Times New Roman"/>
                <w:b/>
                <w:bCs/>
                <w:color w:val="000000"/>
                <w:spacing w:val="1"/>
                <w:sz w:val="10"/>
                <w:szCs w:val="10"/>
                <w:lang w:eastAsia="hr-HR"/>
              </w:rPr>
              <w:t>Povezanost i mobilnost</w:t>
            </w:r>
          </w:p>
        </w:tc>
      </w:tr>
      <w:tr w:rsidR="00FC3F35" w:rsidRPr="00576C1D" w:rsidTr="002F173C">
        <w:trPr>
          <w:trHeight w:hRule="exact" w:val="365"/>
        </w:trPr>
        <w:tc>
          <w:tcPr>
            <w:tcW w:w="105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20" w:lineRule="exact"/>
              <w:ind w:right="365"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4"/>
              <w:rPr>
                <w:rFonts w:ascii="Times New Roman" w:eastAsia="Times New Roman" w:hAnsi="Times New Roman" w:cs="Times New Roman"/>
                <w:sz w:val="10"/>
                <w:szCs w:val="20"/>
                <w:lang w:eastAsia="hr-HR"/>
              </w:rPr>
            </w:pPr>
            <w:r w:rsidRPr="00576C1D">
              <w:rPr>
                <w:rFonts w:ascii="Times New Roman" w:eastAsia="Times New Roman" w:hAnsi="Times New Roman" w:cs="Times New Roman"/>
                <w:sz w:val="10"/>
                <w:szCs w:val="20"/>
                <w:lang w:eastAsia="hr-HR"/>
              </w:rPr>
              <w:t>Objašnjenje relevantnosti pokazatelja, po potrebi</w:t>
            </w:r>
          </w:p>
        </w:tc>
      </w:tr>
      <w:tr w:rsidR="00FC3F35" w:rsidRPr="00576C1D" w:rsidTr="002F173C">
        <w:trPr>
          <w:trHeight w:hRule="exact" w:val="1642"/>
        </w:trPr>
        <w:tc>
          <w:tcPr>
            <w:tcW w:w="105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CO13</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8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Ceste: Ukupna duljina novoizgrađenih cesta</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km</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10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53,00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4" w:firstLine="2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Izabrani jer na projekte izgradnja cesta ide najveći dio EFRR sredstava ( &gt; 60 %). Cilj odražava ukupni broj kilometara za trenutno poznate projekte</w:t>
            </w:r>
          </w:p>
        </w:tc>
      </w:tr>
      <w:tr w:rsidR="00FC3F35" w:rsidRPr="00576C1D" w:rsidTr="002F173C">
        <w:trPr>
          <w:trHeight w:hRule="exact" w:val="826"/>
        </w:trPr>
        <w:tc>
          <w:tcPr>
            <w:tcW w:w="105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F</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Ukupni iznos potvrđenih/prihvatljivih izdataka</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milijuna EUR</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92,872.000,00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400,000.000,00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U kontrolnoj je točki prisutno pravilo N+3 za PO bez 6 % PR (tj.  alokacija sredstava za 2014. i 2015., neto 6 %).</w:t>
            </w:r>
          </w:p>
        </w:tc>
      </w:tr>
      <w:tr w:rsidR="00FC3F35" w:rsidRPr="00576C1D" w:rsidTr="002F173C">
        <w:trPr>
          <w:trHeight w:hRule="exact" w:val="2678"/>
        </w:trPr>
        <w:tc>
          <w:tcPr>
            <w:tcW w:w="105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lastRenderedPageBreak/>
              <w:t>7.2</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Obujam ugovorenih projekata koji spadaju u SC 7b 1</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EUR</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150,000.000,00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330,000.000,00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26"/>
              <w:rPr>
                <w:rFonts w:ascii="Times New Roman" w:eastAsia="Times New Roman" w:hAnsi="Times New Roman" w:cs="Times New Roman"/>
                <w:color w:val="000000"/>
                <w:spacing w:val="-2"/>
                <w:sz w:val="10"/>
                <w:szCs w:val="10"/>
                <w:lang w:eastAsia="hr-HR"/>
              </w:rPr>
            </w:pPr>
            <w:r w:rsidRPr="00576C1D">
              <w:rPr>
                <w:rFonts w:ascii="Times New Roman" w:eastAsia="Times New Roman" w:hAnsi="Times New Roman" w:cs="Times New Roman"/>
                <w:color w:val="000000"/>
                <w:spacing w:val="-2"/>
                <w:sz w:val="10"/>
                <w:szCs w:val="10"/>
                <w:lang w:eastAsia="hr-HR"/>
              </w:rPr>
              <w:t>odnosi se na dio ugovora koji sufinancira EFRR</w:t>
            </w:r>
          </w:p>
          <w:p w:rsidR="00FC3F35" w:rsidRPr="00576C1D" w:rsidRDefault="00FC3F35" w:rsidP="00FC3F35">
            <w:pPr>
              <w:widowControl w:val="0"/>
              <w:shd w:val="clear" w:color="auto" w:fill="FFFFFF"/>
              <w:autoSpaceDE w:val="0"/>
              <w:autoSpaceDN w:val="0"/>
              <w:adjustRightInd w:val="0"/>
              <w:spacing w:after="0" w:line="115" w:lineRule="exact"/>
              <w:ind w:right="14" w:firstLine="26"/>
              <w:rPr>
                <w:rFonts w:ascii="Times New Roman" w:eastAsia="Times New Roman" w:hAnsi="Times New Roman" w:cs="Times New Roman"/>
                <w:color w:val="000000"/>
                <w:spacing w:val="-2"/>
                <w:sz w:val="10"/>
                <w:szCs w:val="10"/>
                <w:lang w:eastAsia="hr-HR"/>
              </w:rPr>
            </w:pPr>
            <w:r w:rsidRPr="00576C1D">
              <w:rPr>
                <w:rFonts w:ascii="Times New Roman" w:eastAsia="Times New Roman" w:hAnsi="Times New Roman" w:cs="Times New Roman"/>
                <w:color w:val="000000"/>
                <w:spacing w:val="-2"/>
                <w:sz w:val="10"/>
                <w:szCs w:val="10"/>
                <w:lang w:eastAsia="hr-HR"/>
              </w:rPr>
              <w:t>Uzevši u obzir planirane datume provedbe projekta, ne očekuju se značajni neposredni rezultati prije 2018. godine</w:t>
            </w:r>
          </w:p>
          <w:p w:rsidR="00FC3F35" w:rsidRPr="00576C1D" w:rsidRDefault="00FC3F35" w:rsidP="00FC3F35">
            <w:pPr>
              <w:widowControl w:val="0"/>
              <w:shd w:val="clear" w:color="auto" w:fill="FFFFFF"/>
              <w:autoSpaceDE w:val="0"/>
              <w:autoSpaceDN w:val="0"/>
              <w:adjustRightInd w:val="0"/>
              <w:spacing w:after="0" w:line="110" w:lineRule="exact"/>
              <w:ind w:right="14" w:firstLine="2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Cilj kontrolne točke odražava potrebu za ugovaranjem velikog dijela sredstava do 2018. godine kako bi se projekti završili do 2023. godine</w:t>
            </w:r>
          </w:p>
        </w:tc>
      </w:tr>
      <w:tr w:rsidR="00FC3F35" w:rsidRPr="00576C1D" w:rsidTr="002F173C">
        <w:trPr>
          <w:trHeight w:hRule="exact" w:val="2688"/>
        </w:trPr>
        <w:tc>
          <w:tcPr>
            <w:tcW w:w="105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0"/>
                <w:szCs w:val="10"/>
                <w:lang w:eastAsia="hr-HR"/>
              </w:rPr>
              <w:t>CO 12a</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2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Željeznice: Ukupna duljina rekonstruiranih ili nadograđenih željezničkih pruga, od čega: TEN-T</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km</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KF</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20,00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80,00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26"/>
              <w:rPr>
                <w:rFonts w:ascii="Times New Roman" w:eastAsia="Times New Roman" w:hAnsi="Times New Roman" w:cs="Times New Roman"/>
                <w:color w:val="000000"/>
                <w:spacing w:val="-3"/>
                <w:sz w:val="10"/>
                <w:szCs w:val="10"/>
                <w:lang w:eastAsia="hr-HR"/>
              </w:rPr>
            </w:pPr>
            <w:r w:rsidRPr="00576C1D">
              <w:rPr>
                <w:rFonts w:ascii="Times New Roman" w:eastAsia="Times New Roman" w:hAnsi="Times New Roman" w:cs="Times New Roman"/>
                <w:color w:val="000000"/>
                <w:spacing w:val="-3"/>
                <w:sz w:val="10"/>
                <w:szCs w:val="10"/>
                <w:lang w:eastAsia="hr-HR"/>
              </w:rPr>
              <w:t>Izabrano jer na projekte izgradnje željeznica ide najveći dio EFRR sredstava ( &gt; 50 %).</w:t>
            </w:r>
          </w:p>
          <w:p w:rsidR="00FC3F35" w:rsidRPr="00576C1D" w:rsidRDefault="00FC3F35" w:rsidP="00FC3F35">
            <w:pPr>
              <w:widowControl w:val="0"/>
              <w:shd w:val="clear" w:color="auto" w:fill="FFFFFF"/>
              <w:autoSpaceDE w:val="0"/>
              <w:autoSpaceDN w:val="0"/>
              <w:adjustRightInd w:val="0"/>
              <w:spacing w:after="0" w:line="115" w:lineRule="exact"/>
              <w:ind w:right="14" w:firstLine="2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Cilj odražava raspodjelu budući da svi projekti koji su trenutno u pripremi zajedno sadržavaju otprilike 400 km. Središnji cilj od 20 km odražava činjenicu da će većina projekata započeti tek 2017. - 2018.</w:t>
            </w:r>
          </w:p>
        </w:tc>
      </w:tr>
      <w:tr w:rsidR="00FC3F35" w:rsidRPr="00576C1D" w:rsidTr="002F173C">
        <w:trPr>
          <w:trHeight w:hRule="exact" w:val="374"/>
        </w:trPr>
        <w:tc>
          <w:tcPr>
            <w:tcW w:w="2426"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Prioritetna os</w:t>
            </w:r>
          </w:p>
        </w:tc>
        <w:tc>
          <w:tcPr>
            <w:tcW w:w="12884" w:type="dxa"/>
            <w:gridSpan w:val="2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7-  Povezanost i mobilnost</w:t>
            </w:r>
          </w:p>
        </w:tc>
      </w:tr>
      <w:tr w:rsidR="00FC3F35" w:rsidRPr="00576C1D" w:rsidTr="002F173C">
        <w:trPr>
          <w:trHeight w:hRule="exact" w:val="365"/>
        </w:trPr>
        <w:tc>
          <w:tcPr>
            <w:tcW w:w="105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provedbeni korak</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Mjerna jedinica, po potrebi</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relevantnosti pokazatelja, gdje je bitno</w:t>
            </w:r>
          </w:p>
        </w:tc>
      </w:tr>
      <w:tr w:rsidR="00FC3F35" w:rsidRPr="00576C1D" w:rsidTr="002F173C">
        <w:trPr>
          <w:trHeight w:hRule="exact" w:val="826"/>
        </w:trPr>
        <w:tc>
          <w:tcPr>
            <w:tcW w:w="105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F</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Ukupni iznos potvrđenih/prihvatljivih izdataka</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milijuna EUR</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KF</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211,331.572,00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910,205.755,00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U kontrolnoj je točki prisutno pravilo N+3 za PO bez 6 % PR (tj.  alokacija sredstava za 2014. i 2015., neto 6 %).</w:t>
            </w:r>
          </w:p>
        </w:tc>
      </w:tr>
      <w:tr w:rsidR="00FC3F35" w:rsidRPr="00576C1D" w:rsidTr="002F173C">
        <w:trPr>
          <w:trHeight w:hRule="exact" w:val="2688"/>
        </w:trPr>
        <w:tc>
          <w:tcPr>
            <w:tcW w:w="105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7.1</w:t>
            </w:r>
          </w:p>
        </w:tc>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w:t>
            </w:r>
          </w:p>
        </w:tc>
        <w:tc>
          <w:tcPr>
            <w:tcW w:w="1564"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Obujam ugovorenih projekata koji spadaju pod SC 7iii1</w:t>
            </w:r>
          </w:p>
        </w:tc>
        <w:tc>
          <w:tcPr>
            <w:tcW w:w="16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EUR</w:t>
            </w:r>
          </w:p>
        </w:tc>
        <w:tc>
          <w:tcPr>
            <w:tcW w:w="12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KF</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300,000.000,00</w:t>
            </w: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480,205.755,00</w:t>
            </w:r>
          </w:p>
        </w:tc>
        <w:tc>
          <w:tcPr>
            <w:tcW w:w="90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9" w:firstLine="5"/>
              <w:rPr>
                <w:rFonts w:ascii="Times New Roman" w:eastAsia="Times New Roman" w:hAnsi="Times New Roman" w:cs="Times New Roman"/>
                <w:color w:val="000000"/>
                <w:spacing w:val="-1"/>
                <w:sz w:val="10"/>
                <w:szCs w:val="10"/>
                <w:lang w:eastAsia="hr-HR"/>
              </w:rPr>
            </w:pPr>
            <w:r w:rsidRPr="00576C1D">
              <w:rPr>
                <w:rFonts w:ascii="Times New Roman" w:eastAsia="Times New Roman" w:hAnsi="Times New Roman" w:cs="Times New Roman"/>
                <w:color w:val="000000"/>
                <w:spacing w:val="-1"/>
                <w:sz w:val="10"/>
                <w:szCs w:val="10"/>
                <w:lang w:eastAsia="hr-HR"/>
              </w:rPr>
              <w:t xml:space="preserve">odnosi se na KF-ovo sufinanciranje ugovora </w:t>
            </w:r>
          </w:p>
          <w:p w:rsidR="00FC3F35" w:rsidRPr="00576C1D" w:rsidRDefault="00FC3F35" w:rsidP="00FC3F35">
            <w:pPr>
              <w:widowControl w:val="0"/>
              <w:shd w:val="clear" w:color="auto" w:fill="FFFFFF"/>
              <w:autoSpaceDE w:val="0"/>
              <w:autoSpaceDN w:val="0"/>
              <w:adjustRightInd w:val="0"/>
              <w:spacing w:after="0" w:line="115" w:lineRule="exact"/>
              <w:ind w:right="29" w:firstLine="5"/>
              <w:rPr>
                <w:rFonts w:ascii="Times New Roman" w:eastAsia="Times New Roman" w:hAnsi="Times New Roman" w:cs="Times New Roman"/>
                <w:color w:val="000000"/>
                <w:spacing w:val="-1"/>
                <w:sz w:val="10"/>
                <w:szCs w:val="10"/>
                <w:lang w:eastAsia="hr-HR"/>
              </w:rPr>
            </w:pPr>
            <w:r w:rsidRPr="00576C1D">
              <w:rPr>
                <w:rFonts w:ascii="Times New Roman" w:eastAsia="Times New Roman" w:hAnsi="Times New Roman" w:cs="Times New Roman"/>
                <w:color w:val="000000"/>
                <w:spacing w:val="-1"/>
                <w:sz w:val="10"/>
                <w:szCs w:val="10"/>
                <w:lang w:eastAsia="hr-HR"/>
              </w:rPr>
              <w:t>Uzevši u obzir planirane datume završetka projektne dokumentacije za željeznice, ne očekuju se značajni neposredni  rezultati prije 2018. godine</w:t>
            </w:r>
          </w:p>
          <w:p w:rsidR="00FC3F35" w:rsidRPr="00576C1D" w:rsidRDefault="00FC3F35" w:rsidP="00FC3F35">
            <w:pPr>
              <w:widowControl w:val="0"/>
              <w:shd w:val="clear" w:color="auto" w:fill="FFFFFF"/>
              <w:autoSpaceDE w:val="0"/>
              <w:autoSpaceDN w:val="0"/>
              <w:adjustRightInd w:val="0"/>
              <w:spacing w:after="0" w:line="115" w:lineRule="exact"/>
              <w:ind w:right="29"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Kontrolna točka odražava potrebu za ugovaranjem velikog dijela sredstava do 2018. godine kako bi se projekti završili do 2023. godine</w:t>
            </w:r>
          </w:p>
        </w:tc>
      </w:tr>
    </w:tbl>
    <w:p w:rsidR="002F173C" w:rsidRDefault="002F173C" w:rsidP="00FC3F35">
      <w:pPr>
        <w:widowControl w:val="0"/>
        <w:shd w:val="clear" w:color="auto" w:fill="FFFFFF"/>
        <w:autoSpaceDE w:val="0"/>
        <w:autoSpaceDN w:val="0"/>
        <w:adjustRightInd w:val="0"/>
        <w:spacing w:before="456" w:after="0" w:line="240" w:lineRule="auto"/>
        <w:ind w:left="533"/>
        <w:rPr>
          <w:rFonts w:ascii="Times New Roman" w:eastAsia="Times New Roman" w:hAnsi="Times New Roman" w:cs="Times New Roman"/>
          <w:b/>
          <w:bCs/>
          <w:color w:val="000000"/>
          <w:sz w:val="24"/>
          <w:szCs w:val="24"/>
          <w:lang w:eastAsia="hr-HR"/>
        </w:rPr>
      </w:pPr>
    </w:p>
    <w:p w:rsidR="002F173C" w:rsidRDefault="002F173C">
      <w:pP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br w:type="page"/>
      </w:r>
    </w:p>
    <w:p w:rsidR="00FC3F35" w:rsidRPr="00576C1D" w:rsidRDefault="00FC3F35" w:rsidP="002F173C">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Dodatne kvalitativne informacije o uspostavi okvira uspješnosti</w:t>
      </w:r>
    </w:p>
    <w:p w:rsidR="00FC3F35" w:rsidRPr="00576C1D" w:rsidRDefault="00FC3F35" w:rsidP="002F173C">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2.A.9 Kategorije intervencije</w:t>
      </w:r>
    </w:p>
    <w:p w:rsidR="00FC3F35" w:rsidRPr="00576C1D" w:rsidRDefault="00FC3F35" w:rsidP="002F173C">
      <w:pPr>
        <w:widowControl w:val="0"/>
        <w:shd w:val="clear" w:color="auto" w:fill="FFFFFF"/>
        <w:autoSpaceDE w:val="0"/>
        <w:autoSpaceDN w:val="0"/>
        <w:adjustRightInd w:val="0"/>
        <w:spacing w:after="0" w:line="269" w:lineRule="exact"/>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4"/>
          <w:szCs w:val="24"/>
          <w:lang w:eastAsia="hr-HR"/>
        </w:rPr>
        <w:t>Kategorije intervencije koje odgovaraju sadržaju prioritetne osi na temelju nazivlja kojeg usvaja Komisija, i indikativna analiza potpore Unije</w:t>
      </w:r>
      <w:r w:rsidRPr="00576C1D">
        <w:rPr>
          <w:rFonts w:ascii="Times New Roman" w:eastAsia="Times New Roman" w:hAnsi="Times New Roman" w:cs="Times New Roman"/>
          <w:color w:val="000000"/>
          <w:spacing w:val="-1"/>
          <w:sz w:val="24"/>
          <w:szCs w:val="24"/>
          <w:lang w:eastAsia="hr-HR"/>
        </w:rPr>
        <w:t>.</w:t>
      </w:r>
    </w:p>
    <w:p w:rsidR="00FC3F35" w:rsidRDefault="00FC3F35" w:rsidP="002F173C">
      <w:pPr>
        <w:widowControl w:val="0"/>
        <w:shd w:val="clear" w:color="auto" w:fill="FFFFFF"/>
        <w:autoSpaceDE w:val="0"/>
        <w:autoSpaceDN w:val="0"/>
        <w:adjustRightInd w:val="0"/>
        <w:spacing w:after="110" w:line="514" w:lineRule="exact"/>
        <w:ind w:left="542" w:right="11059"/>
        <w:rPr>
          <w:rFonts w:ascii="Times New Roman" w:eastAsia="Times New Roman" w:hAnsi="Times New Roman" w:cs="Times New Roman"/>
          <w:color w:val="000000"/>
          <w:spacing w:val="-4"/>
          <w:lang w:eastAsia="hr-HR"/>
        </w:rPr>
      </w:pPr>
      <w:r w:rsidRPr="00576C1D">
        <w:rPr>
          <w:rFonts w:ascii="Times New Roman" w:eastAsia="Times New Roman" w:hAnsi="Times New Roman" w:cs="Times New Roman"/>
          <w:b/>
          <w:bCs/>
          <w:color w:val="000000"/>
          <w:spacing w:val="-3"/>
          <w:sz w:val="24"/>
          <w:szCs w:val="24"/>
          <w:lang w:eastAsia="hr-HR"/>
        </w:rPr>
        <w:t xml:space="preserve">Tablice 7-11: Kategorije intervencije </w:t>
      </w:r>
      <w:r w:rsidRPr="00576C1D">
        <w:rPr>
          <w:rFonts w:ascii="Times New Roman" w:eastAsia="Times New Roman" w:hAnsi="Times New Roman" w:cs="Times New Roman"/>
          <w:color w:val="000000"/>
          <w:spacing w:val="-4"/>
          <w:lang w:eastAsia="hr-HR"/>
        </w:rPr>
        <w:t>Tablica 7: Dimenzija 1 - Područje intervencije</w:t>
      </w:r>
    </w:p>
    <w:tbl>
      <w:tblPr>
        <w:tblW w:w="0" w:type="auto"/>
        <w:tblInd w:w="-102" w:type="dxa"/>
        <w:tblLayout w:type="fixed"/>
        <w:tblCellMar>
          <w:left w:w="40" w:type="dxa"/>
          <w:right w:w="40" w:type="dxa"/>
        </w:tblCellMar>
        <w:tblLook w:val="0000" w:firstRow="0" w:lastRow="0" w:firstColumn="0" w:lastColumn="0" w:noHBand="0" w:noVBand="0"/>
      </w:tblPr>
      <w:tblGrid>
        <w:gridCol w:w="142"/>
        <w:gridCol w:w="979"/>
        <w:gridCol w:w="297"/>
        <w:gridCol w:w="682"/>
        <w:gridCol w:w="2016"/>
        <w:gridCol w:w="9178"/>
        <w:gridCol w:w="2441"/>
      </w:tblGrid>
      <w:tr w:rsidR="002F173C" w:rsidRPr="00576C1D" w:rsidTr="002F173C">
        <w:trPr>
          <w:trHeight w:hRule="exact" w:val="442"/>
        </w:trPr>
        <w:tc>
          <w:tcPr>
            <w:tcW w:w="2100" w:type="dxa"/>
            <w:gridSpan w:val="4"/>
            <w:tcBorders>
              <w:top w:val="single" w:sz="6" w:space="0" w:color="auto"/>
              <w:left w:val="single" w:sz="6" w:space="0" w:color="auto"/>
              <w:bottom w:val="single" w:sz="6" w:space="0" w:color="auto"/>
              <w:right w:val="single" w:sz="4"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color w:val="000000"/>
                <w:spacing w:val="-1"/>
                <w:sz w:val="16"/>
                <w:szCs w:val="16"/>
                <w:lang w:eastAsia="hr-HR"/>
              </w:rPr>
            </w:pPr>
            <w:r w:rsidRPr="00576C1D">
              <w:rPr>
                <w:rFonts w:ascii="Times New Roman" w:eastAsia="Times New Roman" w:hAnsi="Times New Roman" w:cs="Times New Roman"/>
                <w:color w:val="000000"/>
                <w:spacing w:val="-4"/>
                <w:sz w:val="18"/>
                <w:szCs w:val="18"/>
                <w:lang w:eastAsia="hr-HR"/>
              </w:rPr>
              <w:t>Prioritetna os</w:t>
            </w:r>
          </w:p>
        </w:tc>
        <w:tc>
          <w:tcPr>
            <w:tcW w:w="13635" w:type="dxa"/>
            <w:gridSpan w:val="3"/>
            <w:tcBorders>
              <w:top w:val="single" w:sz="6" w:space="0" w:color="auto"/>
              <w:left w:val="single" w:sz="4" w:space="0" w:color="auto"/>
              <w:bottom w:val="single" w:sz="6" w:space="0" w:color="auto"/>
              <w:right w:val="single" w:sz="6" w:space="0" w:color="auto"/>
            </w:tcBorders>
            <w:shd w:val="clear" w:color="auto" w:fill="FFFFFF"/>
          </w:tcPr>
          <w:p w:rsidR="002F173C" w:rsidRDefault="002F173C" w:rsidP="002F173C">
            <w:r w:rsidRPr="00576C1D">
              <w:rPr>
                <w:rFonts w:ascii="Times New Roman" w:eastAsia="Times New Roman" w:hAnsi="Times New Roman" w:cs="Times New Roman"/>
                <w:color w:val="000000"/>
                <w:spacing w:val="-5"/>
                <w:sz w:val="18"/>
                <w:szCs w:val="18"/>
                <w:lang w:eastAsia="hr-HR"/>
              </w:rPr>
              <w:t>7 – Povezanost i mobilnost</w:t>
            </w:r>
          </w:p>
        </w:tc>
      </w:tr>
      <w:tr w:rsidR="002F173C" w:rsidRPr="00576C1D" w:rsidTr="002F173C">
        <w:trPr>
          <w:trHeight w:hRule="exact" w:val="442"/>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 </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028. TEN-T autoceste i ceste - osnovna mreža (novogradnja)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200,000.000,00</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030. Poveznice sporednih cesta  s TEN-T cestovnim mrežama i čvorovima (nova gradnja)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w:t>
            </w:r>
          </w:p>
        </w:tc>
      </w:tr>
      <w:tr w:rsidR="002F173C" w:rsidRPr="00576C1D" w:rsidTr="002F173C">
        <w:trPr>
          <w:trHeight w:hRule="exact" w:val="51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031. Ostale nacionalne i regionalne ceste (nova gradnja)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60,000.000,00</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033. TEN-T obnovljene ili poboljšane ceste</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034. Ostale obnovljene ili poboljšane ceste (autoceste, nacionalne, regionalne ili lokalne)</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60,000.000,00</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024. Željeznice (osnovne transeuropske prometne mreže/TEN-T)</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340,000.000,00</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026. Ostala željeznica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50,000.000,00</w:t>
            </w:r>
          </w:p>
        </w:tc>
      </w:tr>
      <w:tr w:rsidR="002F173C" w:rsidRPr="00576C1D" w:rsidTr="002F173C">
        <w:trPr>
          <w:trHeight w:hRule="exact" w:val="51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027. Pokretna željeznička suprastruktura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90,205.755,00</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037. Zračne luke (TEN-T)</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120,000.000,00</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040. Ostale morske luke</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80,000.000,00</w:t>
            </w:r>
          </w:p>
        </w:tc>
      </w:tr>
      <w:tr w:rsidR="002F173C" w:rsidRPr="00576C1D" w:rsidTr="002F173C">
        <w:trPr>
          <w:trHeight w:hRule="exact" w:val="52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041. Unutarnji plovni putovi i luke (TEN-T)</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60,000.000,00</w:t>
            </w:r>
          </w:p>
        </w:tc>
      </w:tr>
      <w:tr w:rsidR="002F173C" w:rsidRPr="00576C1D" w:rsidTr="002F173C">
        <w:trPr>
          <w:trHeight w:hRule="exact" w:val="518"/>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043. Infrastruktura čistog gradskog prometa i promicanje (uključujući opremu i vozila)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150,000.000,00</w:t>
            </w:r>
          </w:p>
        </w:tc>
      </w:tr>
      <w:tr w:rsidR="002F173C" w:rsidRPr="00576C1D" w:rsidTr="002F173C">
        <w:trPr>
          <w:trHeight w:hRule="exact" w:val="624"/>
        </w:trPr>
        <w:tc>
          <w:tcPr>
            <w:tcW w:w="1121"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gridSpan w:val="3"/>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182" w:lineRule="exact"/>
              <w:ind w:right="7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044. Pametni prometni sustavi (uključujući uvođenje upravljanjem potražnjom, sustave naplate cestarine, sustave IT  nadzora i informacijske sustave)</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right="5"/>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2F173C" w:rsidRPr="00576C1D" w:rsidTr="002F173C">
        <w:trPr>
          <w:trHeight w:hRule="exact" w:val="720"/>
        </w:trPr>
        <w:tc>
          <w:tcPr>
            <w:tcW w:w="15735" w:type="dxa"/>
            <w:gridSpan w:val="7"/>
            <w:tcBorders>
              <w:top w:val="single" w:sz="6" w:space="0" w:color="auto"/>
              <w:left w:val="nil"/>
              <w:bottom w:val="single" w:sz="6" w:space="0" w:color="auto"/>
              <w:right w:val="nil"/>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lang w:eastAsia="hr-HR"/>
              </w:rPr>
              <w:lastRenderedPageBreak/>
              <w:t>Tablica 8: Dimenzija 2 - Oblik financiranja</w:t>
            </w:r>
          </w:p>
        </w:tc>
      </w:tr>
      <w:tr w:rsidR="002F173C" w:rsidRPr="00576C1D" w:rsidTr="002F173C">
        <w:trPr>
          <w:gridBefore w:val="1"/>
          <w:wBefore w:w="142" w:type="dxa"/>
          <w:trHeight w:hRule="exact" w:val="442"/>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2F173C" w:rsidRPr="00576C1D" w:rsidRDefault="002F173C" w:rsidP="002F173C">
            <w:pPr>
              <w:widowControl w:val="0"/>
              <w:shd w:val="clear" w:color="auto" w:fill="FFFFFF"/>
              <w:autoSpaceDE w:val="0"/>
              <w:autoSpaceDN w:val="0"/>
              <w:adjustRightInd w:val="0"/>
              <w:spacing w:after="0" w:line="240" w:lineRule="auto"/>
              <w:ind w:left="557" w:hanging="557"/>
              <w:rPr>
                <w:rFonts w:ascii="Times New Roman" w:eastAsia="Times New Roman" w:hAnsi="Times New Roman" w:cs="Times New Roman"/>
                <w:color w:val="000000"/>
                <w:spacing w:val="-1"/>
                <w:sz w:val="16"/>
                <w:szCs w:val="16"/>
                <w:lang w:eastAsia="hr-HR"/>
              </w:rPr>
            </w:pPr>
            <w:r w:rsidRPr="00576C1D">
              <w:rPr>
                <w:rFonts w:ascii="Times New Roman" w:eastAsia="Times New Roman" w:hAnsi="Times New Roman" w:cs="Times New Roman"/>
                <w:color w:val="000000"/>
                <w:spacing w:val="-4"/>
                <w:sz w:val="18"/>
                <w:szCs w:val="18"/>
                <w:lang w:eastAsia="hr-HR"/>
              </w:rPr>
              <w:t>Prioritetna os</w:t>
            </w:r>
          </w:p>
        </w:tc>
        <w:tc>
          <w:tcPr>
            <w:tcW w:w="14317" w:type="dxa"/>
            <w:gridSpan w:val="4"/>
            <w:tcBorders>
              <w:top w:val="single" w:sz="6" w:space="0" w:color="auto"/>
              <w:left w:val="single" w:sz="6" w:space="0" w:color="auto"/>
              <w:bottom w:val="single" w:sz="6" w:space="0" w:color="auto"/>
              <w:right w:val="single" w:sz="6" w:space="0" w:color="auto"/>
            </w:tcBorders>
            <w:shd w:val="clear" w:color="auto" w:fill="FFFFFF"/>
          </w:tcPr>
          <w:p w:rsidR="002F173C" w:rsidRDefault="002F173C" w:rsidP="002F173C">
            <w:r w:rsidRPr="00576C1D">
              <w:rPr>
                <w:rFonts w:ascii="Times New Roman" w:eastAsia="Times New Roman" w:hAnsi="Times New Roman" w:cs="Times New Roman"/>
                <w:color w:val="000000"/>
                <w:spacing w:val="-5"/>
                <w:sz w:val="18"/>
                <w:szCs w:val="18"/>
                <w:lang w:eastAsia="hr-HR"/>
              </w:rPr>
              <w:t>7 – Povezanost i mobilnost</w:t>
            </w:r>
          </w:p>
        </w:tc>
      </w:tr>
      <w:tr w:rsidR="00FC3F35" w:rsidRPr="00576C1D" w:rsidTr="002F173C">
        <w:trPr>
          <w:gridBefore w:val="1"/>
          <w:wBefore w:w="142" w:type="dxa"/>
          <w:trHeight w:hRule="exact" w:val="442"/>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69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 </w:t>
            </w:r>
          </w:p>
        </w:tc>
      </w:tr>
      <w:tr w:rsidR="00FC3F35" w:rsidRPr="00576C1D" w:rsidTr="002F173C">
        <w:trPr>
          <w:gridBefore w:val="1"/>
          <w:wBefore w:w="142" w:type="dxa"/>
          <w:trHeight w:hRule="exact" w:val="528"/>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69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400,000.000,00</w:t>
            </w:r>
          </w:p>
        </w:tc>
      </w:tr>
      <w:tr w:rsidR="00FC3F35" w:rsidRPr="00576C1D" w:rsidTr="002F173C">
        <w:trPr>
          <w:gridBefore w:val="1"/>
          <w:wBefore w:w="142" w:type="dxa"/>
          <w:trHeight w:hRule="exact" w:val="538"/>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698"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910,205.755,00</w:t>
            </w:r>
          </w:p>
        </w:tc>
      </w:tr>
    </w:tbl>
    <w:p w:rsidR="00FC3F35" w:rsidRPr="00576C1D" w:rsidRDefault="00FC3F35" w:rsidP="00FC3F35">
      <w:pPr>
        <w:widowControl w:val="0"/>
        <w:autoSpaceDE w:val="0"/>
        <w:autoSpaceDN w:val="0"/>
        <w:adjustRightInd w:val="0"/>
        <w:spacing w:after="48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720"/>
        <w:gridCol w:w="1728"/>
        <w:gridCol w:w="547"/>
        <w:gridCol w:w="9178"/>
        <w:gridCol w:w="2441"/>
      </w:tblGrid>
      <w:tr w:rsidR="00FC3F35" w:rsidRPr="00576C1D" w:rsidTr="002F173C">
        <w:trPr>
          <w:trHeight w:hRule="exact" w:val="250"/>
        </w:trPr>
        <w:tc>
          <w:tcPr>
            <w:tcW w:w="3427" w:type="dxa"/>
            <w:gridSpan w:val="3"/>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lang w:eastAsia="hr-HR"/>
              </w:rPr>
              <w:t xml:space="preserve">Tablica 9: Dimenzija </w:t>
            </w:r>
            <w:r w:rsidRPr="00576C1D">
              <w:rPr>
                <w:rFonts w:ascii="Times New Roman" w:eastAsia="Times New Roman" w:hAnsi="Times New Roman" w:cs="Times New Roman"/>
                <w:color w:val="000000"/>
                <w:spacing w:val="-3"/>
                <w:lang w:eastAsia="hr-HR"/>
              </w:rPr>
              <w:t>3 – Vrsta teritorija</w:t>
            </w:r>
          </w:p>
        </w:tc>
        <w:tc>
          <w:tcPr>
            <w:tcW w:w="54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44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2F173C">
        <w:trPr>
          <w:trHeight w:hRule="exact" w:val="442"/>
        </w:trPr>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1453" w:type="dxa"/>
            <w:gridSpan w:val="3"/>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8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7 – </w:t>
            </w:r>
            <w:r w:rsidRPr="00576C1D">
              <w:rPr>
                <w:rFonts w:ascii="Times New Roman" w:eastAsia="Times New Roman" w:hAnsi="Times New Roman" w:cs="Times New Roman"/>
                <w:b/>
                <w:bCs/>
                <w:color w:val="000000"/>
                <w:spacing w:val="1"/>
                <w:sz w:val="16"/>
                <w:szCs w:val="16"/>
                <w:lang w:eastAsia="hr-HR"/>
              </w:rPr>
              <w:t>Povezanost i mobilnost</w:t>
            </w:r>
          </w:p>
        </w:tc>
        <w:tc>
          <w:tcPr>
            <w:tcW w:w="2441"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2F173C">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720"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72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54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 </w:t>
            </w:r>
          </w:p>
        </w:tc>
      </w:tr>
      <w:tr w:rsidR="00FC3F35" w:rsidRPr="00576C1D" w:rsidTr="002F173C">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720"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72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Velika urbana područja (gusto naseljena &gt; 50 000 stanovnika)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w:t>
            </w:r>
          </w:p>
        </w:tc>
      </w:tr>
      <w:tr w:rsidR="00FC3F35" w:rsidRPr="00576C1D" w:rsidTr="002F173C">
        <w:trPr>
          <w:trHeight w:hRule="exact" w:val="51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720"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72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 Mala urbana područja (srednje naseljena &gt; 5 000 stanovnika)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40,000.000,00</w:t>
            </w:r>
          </w:p>
        </w:tc>
      </w:tr>
      <w:tr w:rsidR="00FC3F35" w:rsidRPr="00576C1D" w:rsidTr="002F173C">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720"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72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320,000.000,00</w:t>
            </w:r>
          </w:p>
        </w:tc>
      </w:tr>
      <w:tr w:rsidR="00FC3F35" w:rsidRPr="00576C1D" w:rsidTr="002F173C">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720"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72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Velika urbana područja (gusto naseljena &gt; 50 000 stanovnika)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250,000.000,00</w:t>
            </w:r>
          </w:p>
        </w:tc>
      </w:tr>
      <w:tr w:rsidR="00FC3F35" w:rsidRPr="00576C1D" w:rsidTr="002F173C">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720"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72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 Mala urbana područja (srednje naseljena &gt; 5 000 stanovnika)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100,000.000,00</w:t>
            </w:r>
          </w:p>
        </w:tc>
      </w:tr>
      <w:tr w:rsidR="00FC3F35" w:rsidRPr="00576C1D" w:rsidTr="002F173C">
        <w:trPr>
          <w:trHeight w:hRule="exact" w:val="53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720"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728"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4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560,205.755,00</w:t>
            </w:r>
          </w:p>
        </w:tc>
      </w:tr>
    </w:tbl>
    <w:p w:rsidR="00FC3F35" w:rsidRPr="00576C1D" w:rsidRDefault="00FC3F35" w:rsidP="00FC3F35">
      <w:pPr>
        <w:widowControl w:val="0"/>
        <w:autoSpaceDE w:val="0"/>
        <w:autoSpaceDN w:val="0"/>
        <w:adjustRightInd w:val="0"/>
        <w:spacing w:after="48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806"/>
        <w:gridCol w:w="173"/>
        <w:gridCol w:w="826"/>
        <w:gridCol w:w="528"/>
        <w:gridCol w:w="1642"/>
        <w:gridCol w:w="9178"/>
        <w:gridCol w:w="2440"/>
      </w:tblGrid>
      <w:tr w:rsidR="00FC3F35" w:rsidRPr="00576C1D" w:rsidTr="002F173C">
        <w:trPr>
          <w:trHeight w:hRule="exact" w:val="250"/>
        </w:trPr>
        <w:tc>
          <w:tcPr>
            <w:tcW w:w="13153" w:type="dxa"/>
            <w:gridSpan w:val="6"/>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8"/>
                <w:lang w:eastAsia="hr-HR"/>
              </w:rPr>
              <w:t xml:space="preserve">Tablica 10: </w:t>
            </w:r>
            <w:r w:rsidRPr="00576C1D">
              <w:rPr>
                <w:rFonts w:ascii="Times New Roman" w:eastAsia="Times New Roman" w:hAnsi="Times New Roman" w:cs="Times New Roman"/>
                <w:color w:val="000000"/>
                <w:spacing w:val="-9"/>
                <w:lang w:eastAsia="hr-HR"/>
              </w:rPr>
              <w:t xml:space="preserve">Dimenzija </w:t>
            </w:r>
            <w:r w:rsidRPr="00576C1D">
              <w:rPr>
                <w:rFonts w:ascii="Times New Roman" w:eastAsia="Times New Roman" w:hAnsi="Times New Roman" w:cs="Times New Roman"/>
                <w:color w:val="000000"/>
                <w:spacing w:val="-4"/>
                <w:lang w:eastAsia="hr-HR"/>
              </w:rPr>
              <w:t>4 - Mehanizmi teritorijalne provedbe</w:t>
            </w:r>
          </w:p>
        </w:tc>
        <w:tc>
          <w:tcPr>
            <w:tcW w:w="2440"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2F173C">
        <w:trPr>
          <w:trHeight w:hRule="exact" w:val="461"/>
        </w:trPr>
        <w:tc>
          <w:tcPr>
            <w:tcW w:w="1805" w:type="dxa"/>
            <w:gridSpan w:val="3"/>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528"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260"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0"/>
                <w:szCs w:val="20"/>
                <w:lang w:eastAsia="hr-HR"/>
              </w:rPr>
              <w:t>7 – Povezanost i mobilnost</w:t>
            </w:r>
          </w:p>
        </w:tc>
      </w:tr>
      <w:tr w:rsidR="00FC3F35" w:rsidRPr="00576C1D" w:rsidTr="002F173C">
        <w:trPr>
          <w:trHeight w:hRule="exact" w:val="432"/>
        </w:trPr>
        <w:tc>
          <w:tcPr>
            <w:tcW w:w="80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173"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2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170"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244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 </w:t>
            </w:r>
          </w:p>
        </w:tc>
      </w:tr>
      <w:tr w:rsidR="00FC3F35" w:rsidRPr="00576C1D" w:rsidTr="002F173C">
        <w:trPr>
          <w:trHeight w:hRule="exact" w:val="538"/>
        </w:trPr>
        <w:tc>
          <w:tcPr>
            <w:tcW w:w="80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173"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2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170"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 Ostali integrirani pristupi održivom urbanom/ruralnom razvoju</w:t>
            </w:r>
          </w:p>
        </w:tc>
        <w:tc>
          <w:tcPr>
            <w:tcW w:w="244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100,000.000,00</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169" w:right="541" w:bottom="360" w:left="54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2995"/>
        <w:gridCol w:w="9178"/>
        <w:gridCol w:w="2441"/>
      </w:tblGrid>
      <w:tr w:rsidR="00FC3F35" w:rsidRPr="00576C1D" w:rsidTr="002F173C">
        <w:trPr>
          <w:trHeight w:hRule="exact" w:val="461"/>
        </w:trPr>
        <w:tc>
          <w:tcPr>
            <w:tcW w:w="15593"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lastRenderedPageBreak/>
              <w:t>Prioritetna os                               7 – Povezanost i mobilnost</w:t>
            </w:r>
          </w:p>
        </w:tc>
      </w:tr>
      <w:tr w:rsidR="00FC3F35" w:rsidRPr="00576C1D" w:rsidTr="002F173C">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 </w:t>
            </w:r>
          </w:p>
        </w:tc>
      </w:tr>
      <w:tr w:rsidR="00FC3F35" w:rsidRPr="00576C1D" w:rsidTr="002F173C">
        <w:trPr>
          <w:trHeight w:hRule="exact" w:val="51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300,000.000,00</w:t>
            </w:r>
          </w:p>
        </w:tc>
      </w:tr>
      <w:tr w:rsidR="00FC3F35" w:rsidRPr="00576C1D" w:rsidTr="002F173C">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Integrirano teritorijalno ulaganje - urbano</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50,000.000,00</w:t>
            </w:r>
          </w:p>
        </w:tc>
      </w:tr>
      <w:tr w:rsidR="00FC3F35" w:rsidRPr="00576C1D" w:rsidTr="002F173C">
        <w:trPr>
          <w:trHeight w:hRule="exact" w:val="52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 Ostali integrirani pristupi održivom urbanom/ruralnom razvoju</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240,000.000,00</w:t>
            </w:r>
          </w:p>
        </w:tc>
      </w:tr>
      <w:tr w:rsidR="00FC3F35" w:rsidRPr="00576C1D" w:rsidTr="002F173C">
        <w:trPr>
          <w:trHeight w:hRule="exact" w:val="538"/>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KF</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24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620,205.755,00</w:t>
            </w:r>
          </w:p>
        </w:tc>
      </w:tr>
    </w:tbl>
    <w:p w:rsidR="00FC3F35" w:rsidRPr="00576C1D" w:rsidRDefault="00FC3F35" w:rsidP="00FC3F35">
      <w:pPr>
        <w:widowControl w:val="0"/>
        <w:shd w:val="clear" w:color="auto" w:fill="FFFFFF"/>
        <w:autoSpaceDE w:val="0"/>
        <w:autoSpaceDN w:val="0"/>
        <w:adjustRightInd w:val="0"/>
        <w:spacing w:before="466" w:after="187"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0"/>
          <w:szCs w:val="20"/>
          <w:lang w:eastAsia="hr-HR"/>
        </w:rPr>
        <w:t xml:space="preserve">Tablica 11: Dimenzija 6 - </w:t>
      </w:r>
      <w:r w:rsidRPr="00576C1D">
        <w:rPr>
          <w:rFonts w:ascii="Times New Roman" w:eastAsia="Times New Roman" w:hAnsi="Times New Roman" w:cs="Times New Roman"/>
          <w:b/>
          <w:color w:val="000000"/>
          <w:spacing w:val="2"/>
          <w:sz w:val="20"/>
          <w:szCs w:val="20"/>
          <w:lang w:eastAsia="hr-HR"/>
        </w:rPr>
        <w:t xml:space="preserve">Sporedna tema Europskog socijalnog fonda </w:t>
      </w:r>
      <w:r w:rsidRPr="00576C1D">
        <w:rPr>
          <w:rFonts w:ascii="Times New Roman" w:eastAsia="Times New Roman" w:hAnsi="Times New Roman" w:cs="Times New Roman"/>
          <w:color w:val="000000"/>
          <w:spacing w:val="2"/>
          <w:sz w:val="20"/>
          <w:szCs w:val="20"/>
          <w:lang w:eastAsia="hr-HR"/>
        </w:rPr>
        <w:t>(samo Europski socijalni fond i Inicijativa za zapošljavanje mladih)</w:t>
      </w:r>
    </w:p>
    <w:tbl>
      <w:tblPr>
        <w:tblStyle w:val="TableGrid"/>
        <w:tblW w:w="0" w:type="auto"/>
        <w:tblLook w:val="04A0" w:firstRow="1" w:lastRow="0" w:firstColumn="1" w:lastColumn="0" w:noHBand="0" w:noVBand="1"/>
      </w:tblPr>
      <w:tblGrid>
        <w:gridCol w:w="1575"/>
        <w:gridCol w:w="4770"/>
        <w:gridCol w:w="5812"/>
        <w:gridCol w:w="3544"/>
      </w:tblGrid>
      <w:tr w:rsidR="00706475" w:rsidTr="002F173C">
        <w:tc>
          <w:tcPr>
            <w:tcW w:w="1575" w:type="dxa"/>
            <w:vAlign w:val="center"/>
          </w:tcPr>
          <w:p w:rsidR="00706475" w:rsidRDefault="00706475" w:rsidP="00B43B00">
            <w:r w:rsidRPr="00576C1D">
              <w:rPr>
                <w:rFonts w:ascii="Times New Roman" w:hAnsi="Times New Roman"/>
                <w:color w:val="000000"/>
                <w:w w:val="105"/>
                <w:sz w:val="16"/>
                <w:szCs w:val="16"/>
              </w:rPr>
              <w:t>Prioritetna os</w:t>
            </w:r>
          </w:p>
        </w:tc>
        <w:tc>
          <w:tcPr>
            <w:tcW w:w="14126" w:type="dxa"/>
            <w:gridSpan w:val="3"/>
            <w:vAlign w:val="center"/>
          </w:tcPr>
          <w:p w:rsidR="00706475" w:rsidRDefault="00706475" w:rsidP="00B43B00">
            <w:r w:rsidRPr="00576C1D">
              <w:rPr>
                <w:rFonts w:ascii="Times New Roman" w:hAnsi="Times New Roman"/>
                <w:color w:val="000000"/>
                <w:spacing w:val="1"/>
                <w:w w:val="105"/>
                <w:sz w:val="16"/>
                <w:szCs w:val="16"/>
              </w:rPr>
              <w:t>7 - Povezanost i mobilnost</w:t>
            </w:r>
          </w:p>
        </w:tc>
      </w:tr>
      <w:tr w:rsidR="00706475" w:rsidTr="002F173C">
        <w:trPr>
          <w:trHeight w:val="422"/>
        </w:trPr>
        <w:tc>
          <w:tcPr>
            <w:tcW w:w="1575" w:type="dxa"/>
            <w:vAlign w:val="center"/>
          </w:tcPr>
          <w:p w:rsidR="00706475" w:rsidRDefault="00706475" w:rsidP="00B43B00">
            <w:r w:rsidRPr="00576C1D">
              <w:rPr>
                <w:rFonts w:ascii="Times New Roman" w:hAnsi="Times New Roman"/>
                <w:b/>
                <w:bCs/>
                <w:color w:val="000000"/>
                <w:spacing w:val="-5"/>
                <w:sz w:val="16"/>
                <w:szCs w:val="16"/>
              </w:rPr>
              <w:t>Fond</w:t>
            </w:r>
          </w:p>
        </w:tc>
        <w:tc>
          <w:tcPr>
            <w:tcW w:w="4770" w:type="dxa"/>
            <w:vAlign w:val="center"/>
          </w:tcPr>
          <w:p w:rsidR="00706475" w:rsidRDefault="00706475" w:rsidP="00B43B00">
            <w:r w:rsidRPr="00576C1D">
              <w:rPr>
                <w:rFonts w:ascii="Times New Roman" w:hAnsi="Times New Roman"/>
                <w:b/>
                <w:bCs/>
                <w:color w:val="000000"/>
                <w:spacing w:val="-1"/>
                <w:sz w:val="16"/>
                <w:szCs w:val="16"/>
              </w:rPr>
              <w:t>Kategorija regije</w:t>
            </w:r>
          </w:p>
        </w:tc>
        <w:tc>
          <w:tcPr>
            <w:tcW w:w="5812" w:type="dxa"/>
            <w:vAlign w:val="center"/>
          </w:tcPr>
          <w:p w:rsidR="00706475" w:rsidRDefault="00706475" w:rsidP="00706475">
            <w:pPr>
              <w:widowControl w:val="0"/>
              <w:shd w:val="clear" w:color="auto" w:fill="FFFFFF"/>
              <w:autoSpaceDE w:val="0"/>
              <w:autoSpaceDN w:val="0"/>
              <w:adjustRightInd w:val="0"/>
            </w:pPr>
            <w:r w:rsidRPr="00576C1D">
              <w:rPr>
                <w:rFonts w:ascii="Times New Roman" w:hAnsi="Times New Roman"/>
                <w:b/>
                <w:bCs/>
                <w:color w:val="000000"/>
                <w:spacing w:val="-3"/>
                <w:sz w:val="16"/>
                <w:szCs w:val="16"/>
              </w:rPr>
              <w:t>Šifra</w:t>
            </w:r>
          </w:p>
        </w:tc>
        <w:tc>
          <w:tcPr>
            <w:tcW w:w="3544" w:type="dxa"/>
            <w:vAlign w:val="center"/>
          </w:tcPr>
          <w:p w:rsidR="00706475" w:rsidRDefault="00706475" w:rsidP="00B43B00">
            <w:r w:rsidRPr="00576C1D">
              <w:rPr>
                <w:rFonts w:ascii="Times New Roman" w:hAnsi="Times New Roman"/>
                <w:b/>
                <w:sz w:val="16"/>
                <w:szCs w:val="16"/>
              </w:rPr>
              <w:t xml:space="preserve">iznos u </w:t>
            </w:r>
            <w:r w:rsidRPr="00576C1D">
              <w:rPr>
                <w:rFonts w:ascii="Times New Roman" w:hAnsi="Times New Roman"/>
                <w:b/>
                <w:bCs/>
                <w:color w:val="000000"/>
                <w:spacing w:val="-1"/>
                <w:sz w:val="16"/>
                <w:szCs w:val="16"/>
              </w:rPr>
              <w:t>€</w:t>
            </w:r>
          </w:p>
        </w:tc>
      </w:tr>
    </w:tbl>
    <w:p w:rsidR="00FC3F35" w:rsidRPr="00576C1D" w:rsidRDefault="00FC3F35" w:rsidP="00FC3F35">
      <w:pPr>
        <w:widowControl w:val="0"/>
        <w:shd w:val="clear" w:color="auto" w:fill="FFFFFF"/>
        <w:autoSpaceDE w:val="0"/>
        <w:autoSpaceDN w:val="0"/>
        <w:adjustRightInd w:val="0"/>
        <w:spacing w:before="643" w:after="240" w:line="278" w:lineRule="exact"/>
        <w:ind w:left="1392" w:hanging="8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24"/>
          <w:szCs w:val="24"/>
          <w:lang w:eastAsia="hr-HR"/>
        </w:rPr>
        <w:t xml:space="preserve">2.A.10 Sažetak planiranog korištenja tehničke pomoći uključujući, prema potrebi, aktivnosti kojima se jača administrativni kapacitet nadležnih tijela uključenih u kontrolu i upravljanje programima i korisnicima </w:t>
      </w:r>
      <w:r w:rsidRPr="00576C1D">
        <w:rPr>
          <w:rFonts w:ascii="Times New Roman" w:eastAsia="Times New Roman" w:hAnsi="Times New Roman" w:cs="Times New Roman"/>
          <w:bCs/>
          <w:color w:val="000000"/>
          <w:spacing w:val="5"/>
          <w:sz w:val="24"/>
          <w:szCs w:val="24"/>
          <w:lang w:eastAsia="hr-HR"/>
        </w:rPr>
        <w:t>(po potrebi) (po prioritetnoj osi)</w:t>
      </w:r>
    </w:p>
    <w:tbl>
      <w:tblPr>
        <w:tblStyle w:val="TableGrid"/>
        <w:tblW w:w="0" w:type="auto"/>
        <w:tblLook w:val="04A0" w:firstRow="1" w:lastRow="0" w:firstColumn="1" w:lastColumn="0" w:noHBand="0" w:noVBand="1"/>
      </w:tblPr>
      <w:tblGrid>
        <w:gridCol w:w="1575"/>
        <w:gridCol w:w="14126"/>
      </w:tblGrid>
      <w:tr w:rsidR="00806CB9" w:rsidTr="002F173C">
        <w:tc>
          <w:tcPr>
            <w:tcW w:w="1575" w:type="dxa"/>
          </w:tcPr>
          <w:p w:rsidR="00806CB9" w:rsidRDefault="00806CB9" w:rsidP="00B43B00">
            <w:r w:rsidRPr="00576C1D">
              <w:rPr>
                <w:rFonts w:ascii="Times New Roman" w:hAnsi="Times New Roman"/>
                <w:color w:val="000000"/>
                <w:w w:val="105"/>
                <w:sz w:val="16"/>
                <w:szCs w:val="16"/>
              </w:rPr>
              <w:t>Prioritetna os</w:t>
            </w:r>
          </w:p>
        </w:tc>
        <w:tc>
          <w:tcPr>
            <w:tcW w:w="14126" w:type="dxa"/>
          </w:tcPr>
          <w:p w:rsidR="00806CB9" w:rsidRDefault="00806CB9" w:rsidP="00B43B00">
            <w:r w:rsidRPr="00576C1D">
              <w:rPr>
                <w:rFonts w:ascii="Times New Roman" w:hAnsi="Times New Roman"/>
                <w:color w:val="000000"/>
                <w:spacing w:val="1"/>
                <w:w w:val="105"/>
                <w:sz w:val="16"/>
                <w:szCs w:val="16"/>
              </w:rPr>
              <w:t>7 - Povezanost i mobilnost</w:t>
            </w:r>
          </w:p>
        </w:tc>
      </w:tr>
      <w:tr w:rsidR="00806CB9" w:rsidTr="002F173C">
        <w:tc>
          <w:tcPr>
            <w:tcW w:w="15701" w:type="dxa"/>
            <w:gridSpan w:val="2"/>
          </w:tcPr>
          <w:p w:rsidR="00806CB9" w:rsidRDefault="00806CB9" w:rsidP="00B43B00">
            <w:r w:rsidRPr="00576C1D">
              <w:rPr>
                <w:rFonts w:ascii="Times New Roman" w:hAnsi="Times New Roman"/>
                <w:color w:val="000000"/>
                <w:spacing w:val="1"/>
                <w:sz w:val="24"/>
                <w:szCs w:val="24"/>
              </w:rPr>
              <w:t>Ova prioritetna os uključuje tehničku pomoć u obliku pripreme baze projekata za trenutno razdoblje financiranja, ali i za sljedeće. Također je predviđena potpora razvoja specifičnih studija prijevoza iznad razine projekta npr. studija regije ili podsektora, generiranja podataka itd. kako bi se olakšala provedba prioritetne osi</w:t>
            </w:r>
            <w:r w:rsidRPr="00576C1D">
              <w:rPr>
                <w:rFonts w:ascii="Times New Roman" w:hAnsi="Times New Roman"/>
                <w:color w:val="000000"/>
                <w:sz w:val="24"/>
                <w:szCs w:val="24"/>
              </w:rPr>
              <w:t>.</w:t>
            </w:r>
          </w:p>
        </w:tc>
      </w:tr>
    </w:tbl>
    <w:p w:rsidR="00FC3F35"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2.A.I Prioritetna os</w:t>
      </w:r>
    </w:p>
    <w:tbl>
      <w:tblPr>
        <w:tblStyle w:val="TableGrid"/>
        <w:tblW w:w="0" w:type="auto"/>
        <w:tblLook w:val="04A0" w:firstRow="1" w:lastRow="0" w:firstColumn="1" w:lastColumn="0" w:noHBand="0" w:noVBand="1"/>
      </w:tblPr>
      <w:tblGrid>
        <w:gridCol w:w="1575"/>
        <w:gridCol w:w="14126"/>
      </w:tblGrid>
      <w:tr w:rsidR="00806CB9" w:rsidTr="00251335">
        <w:tc>
          <w:tcPr>
            <w:tcW w:w="1575" w:type="dxa"/>
          </w:tcPr>
          <w:p w:rsidR="00806CB9" w:rsidRDefault="00806CB9" w:rsidP="00B43B00">
            <w:r w:rsidRPr="00997F44">
              <w:rPr>
                <w:rFonts w:ascii="Times New Roman" w:hAnsi="Times New Roman"/>
                <w:color w:val="000000"/>
                <w:w w:val="105"/>
                <w:sz w:val="16"/>
                <w:szCs w:val="16"/>
              </w:rPr>
              <w:t>Oznaka prioritetne osi</w:t>
            </w:r>
          </w:p>
        </w:tc>
        <w:tc>
          <w:tcPr>
            <w:tcW w:w="14126" w:type="dxa"/>
          </w:tcPr>
          <w:p w:rsidR="00806CB9" w:rsidRDefault="00806CB9" w:rsidP="00B43B00"/>
        </w:tc>
      </w:tr>
      <w:tr w:rsidR="00806CB9" w:rsidTr="00251335">
        <w:tc>
          <w:tcPr>
            <w:tcW w:w="1575" w:type="dxa"/>
          </w:tcPr>
          <w:p w:rsidR="00806CB9" w:rsidRDefault="00806CB9" w:rsidP="00B43B00">
            <w:r w:rsidRPr="00576C1D">
              <w:rPr>
                <w:rFonts w:ascii="Times New Roman" w:hAnsi="Times New Roman"/>
                <w:b/>
                <w:bCs/>
                <w:color w:val="000000"/>
                <w:spacing w:val="-2"/>
                <w:sz w:val="18"/>
                <w:szCs w:val="18"/>
              </w:rPr>
              <w:t>Naziv prioritetne osi</w:t>
            </w:r>
          </w:p>
        </w:tc>
        <w:tc>
          <w:tcPr>
            <w:tcW w:w="14126" w:type="dxa"/>
          </w:tcPr>
          <w:p w:rsidR="00806CB9" w:rsidRDefault="00806CB9" w:rsidP="00B43B00">
            <w:r w:rsidRPr="00576C1D">
              <w:rPr>
                <w:rFonts w:ascii="Times New Roman" w:hAnsi="Times New Roman"/>
                <w:color w:val="000000"/>
                <w:spacing w:val="-1"/>
                <w:sz w:val="18"/>
                <w:szCs w:val="18"/>
              </w:rPr>
              <w:t>Socijalno uključivanje i zdravlje</w:t>
            </w:r>
          </w:p>
        </w:tc>
      </w:tr>
    </w:tbl>
    <w:p w:rsidR="00806CB9" w:rsidRPr="00576C1D" w:rsidRDefault="00806CB9"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će se prioritetna os provoditi isključivo financijskim instrumentima uspostavljenima na razini Unije</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će se prioritetna os provoditi isključivo lokalnim razvojem koji će voditi zajednica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Za ESF: Cjelokupna je prioritetna os posvećena socijalnoj inovaciji i međudržavnoj suradnji, ili oboje</w:t>
      </w:r>
    </w:p>
    <w:p w:rsidR="00FC3F35" w:rsidRPr="00576C1D" w:rsidRDefault="00FC3F35" w:rsidP="00FC3F35">
      <w:pPr>
        <w:widowControl w:val="0"/>
        <w:shd w:val="clear" w:color="auto" w:fill="FFFFFF"/>
        <w:autoSpaceDE w:val="0"/>
        <w:autoSpaceDN w:val="0"/>
        <w:adjustRightInd w:val="0"/>
        <w:spacing w:before="518" w:after="0" w:line="274" w:lineRule="exact"/>
        <w:ind w:left="542" w:right="13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 xml:space="preserve">2.A.2 Opravdanje za uspostavu prioritetne osi koja obuhvaća više od jedne kategorije regije, tematskog cilja ili fonda </w:t>
      </w:r>
      <w:r w:rsidRPr="00576C1D">
        <w:rPr>
          <w:rFonts w:ascii="Times New Roman" w:eastAsia="Times New Roman" w:hAnsi="Times New Roman" w:cs="Times New Roman"/>
          <w:bCs/>
          <w:color w:val="000000"/>
          <w:spacing w:val="-1"/>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2.A.3 Fond, kategorija regije i obračunska osnovica za potporu Unije</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Obračunska osnovica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Kategorija regije za najudaljenije regije i sjeverne rijetko naseljene regije (po potrebi)</w:t>
            </w:r>
          </w:p>
        </w:tc>
      </w:tr>
      <w:tr w:rsidR="00FC3F35" w:rsidRPr="00576C1D" w:rsidTr="00FC3F35">
        <w:trPr>
          <w:trHeight w:hRule="exact" w:val="47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EFRR</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Manje razvijena</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Ukupno</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shd w:val="clear" w:color="auto" w:fill="FFFFFF"/>
        <w:autoSpaceDE w:val="0"/>
        <w:autoSpaceDN w:val="0"/>
        <w:adjustRightInd w:val="0"/>
        <w:spacing w:before="518"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bl>
      <w:tblPr>
        <w:tblStyle w:val="TableGrid"/>
        <w:tblW w:w="0" w:type="auto"/>
        <w:tblLook w:val="04A0" w:firstRow="1" w:lastRow="0" w:firstColumn="1" w:lastColumn="0" w:noHBand="0" w:noVBand="1"/>
      </w:tblPr>
      <w:tblGrid>
        <w:gridCol w:w="1575"/>
        <w:gridCol w:w="13701"/>
      </w:tblGrid>
      <w:tr w:rsidR="00806CB9" w:rsidTr="00806CB9">
        <w:tc>
          <w:tcPr>
            <w:tcW w:w="1575" w:type="dxa"/>
          </w:tcPr>
          <w:p w:rsidR="00806CB9" w:rsidRDefault="00806CB9" w:rsidP="00B43B00">
            <w:r w:rsidRPr="00997F44">
              <w:rPr>
                <w:rFonts w:ascii="Times New Roman" w:hAnsi="Times New Roman"/>
                <w:color w:val="000000"/>
                <w:w w:val="105"/>
                <w:sz w:val="16"/>
                <w:szCs w:val="16"/>
              </w:rPr>
              <w:t>Oznaka prioritetne osi</w:t>
            </w:r>
          </w:p>
        </w:tc>
        <w:tc>
          <w:tcPr>
            <w:tcW w:w="13701" w:type="dxa"/>
          </w:tcPr>
          <w:p w:rsidR="00806CB9" w:rsidRDefault="00806CB9" w:rsidP="00B43B00">
            <w:r w:rsidRPr="00576C1D">
              <w:rPr>
                <w:rFonts w:ascii="Times New Roman" w:hAnsi="Times New Roman"/>
                <w:b/>
                <w:bCs/>
                <w:color w:val="000000"/>
                <w:sz w:val="18"/>
                <w:szCs w:val="18"/>
              </w:rPr>
              <w:t>9a</w:t>
            </w:r>
          </w:p>
        </w:tc>
      </w:tr>
      <w:tr w:rsidR="00806CB9" w:rsidTr="00806CB9">
        <w:tc>
          <w:tcPr>
            <w:tcW w:w="1575" w:type="dxa"/>
          </w:tcPr>
          <w:p w:rsidR="00806CB9" w:rsidRDefault="00806CB9" w:rsidP="00B43B00">
            <w:r w:rsidRPr="00576C1D">
              <w:rPr>
                <w:rFonts w:ascii="Times New Roman" w:hAnsi="Times New Roman"/>
                <w:b/>
                <w:bCs/>
                <w:color w:val="000000"/>
                <w:spacing w:val="-2"/>
                <w:sz w:val="18"/>
                <w:szCs w:val="18"/>
              </w:rPr>
              <w:t>Naziv prioritetne osi</w:t>
            </w:r>
          </w:p>
        </w:tc>
        <w:tc>
          <w:tcPr>
            <w:tcW w:w="13701" w:type="dxa"/>
          </w:tcPr>
          <w:p w:rsidR="00806CB9" w:rsidRDefault="00806CB9" w:rsidP="00B43B00">
            <w:r w:rsidRPr="00576C1D">
              <w:rPr>
                <w:rFonts w:ascii="Times New Roman" w:hAnsi="Times New Roman"/>
                <w:color w:val="000000"/>
                <w:spacing w:val="-1"/>
                <w:sz w:val="18"/>
                <w:szCs w:val="18"/>
              </w:rPr>
              <w:t>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tc>
      </w:tr>
    </w:tbl>
    <w:p w:rsidR="00251335" w:rsidRDefault="00251335" w:rsidP="00FC3F35">
      <w:pPr>
        <w:widowControl w:val="0"/>
        <w:shd w:val="clear" w:color="auto" w:fill="FFFFFF"/>
        <w:autoSpaceDE w:val="0"/>
        <w:autoSpaceDN w:val="0"/>
        <w:adjustRightInd w:val="0"/>
        <w:spacing w:after="173" w:line="240" w:lineRule="auto"/>
        <w:ind w:left="538"/>
        <w:rPr>
          <w:rFonts w:ascii="Times New Roman" w:eastAsia="Times New Roman" w:hAnsi="Times New Roman" w:cs="Times New Roman"/>
          <w:b/>
          <w:bCs/>
          <w:color w:val="000000"/>
          <w:spacing w:val="-1"/>
          <w:sz w:val="24"/>
          <w:szCs w:val="24"/>
          <w:lang w:eastAsia="hr-HR"/>
        </w:rPr>
      </w:pPr>
    </w:p>
    <w:p w:rsidR="00FC3F35" w:rsidRDefault="00FC3F35" w:rsidP="00FC3F35">
      <w:pPr>
        <w:widowControl w:val="0"/>
        <w:shd w:val="clear" w:color="auto" w:fill="FFFFFF"/>
        <w:autoSpaceDE w:val="0"/>
        <w:autoSpaceDN w:val="0"/>
        <w:adjustRightInd w:val="0"/>
        <w:spacing w:after="173"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tbl>
      <w:tblPr>
        <w:tblStyle w:val="TableGrid"/>
        <w:tblW w:w="0" w:type="auto"/>
        <w:tblLayout w:type="fixed"/>
        <w:tblLook w:val="04A0" w:firstRow="1" w:lastRow="0" w:firstColumn="1" w:lastColumn="0" w:noHBand="0" w:noVBand="1"/>
      </w:tblPr>
      <w:tblGrid>
        <w:gridCol w:w="2802"/>
        <w:gridCol w:w="13167"/>
      </w:tblGrid>
      <w:tr w:rsidR="00251335" w:rsidTr="00251335">
        <w:tc>
          <w:tcPr>
            <w:tcW w:w="2802" w:type="dxa"/>
          </w:tcPr>
          <w:p w:rsidR="00251335" w:rsidRDefault="00251335" w:rsidP="00F37F5D">
            <w:r w:rsidRPr="00576C1D">
              <w:rPr>
                <w:rFonts w:ascii="Times New Roman" w:hAnsi="Times New Roman"/>
                <w:b/>
                <w:bCs/>
                <w:color w:val="000000"/>
                <w:sz w:val="18"/>
                <w:szCs w:val="18"/>
              </w:rPr>
              <w:t>Oznaka specifičnog cilja</w:t>
            </w:r>
          </w:p>
        </w:tc>
        <w:tc>
          <w:tcPr>
            <w:tcW w:w="13167" w:type="dxa"/>
          </w:tcPr>
          <w:p w:rsidR="00251335" w:rsidRDefault="00251335" w:rsidP="00F37F5D">
            <w:r>
              <w:t>1</w:t>
            </w:r>
          </w:p>
        </w:tc>
      </w:tr>
      <w:tr w:rsidR="00251335" w:rsidTr="00251335">
        <w:tc>
          <w:tcPr>
            <w:tcW w:w="2802" w:type="dxa"/>
          </w:tcPr>
          <w:p w:rsidR="00251335" w:rsidRDefault="00251335" w:rsidP="00F37F5D">
            <w:r w:rsidRPr="00576C1D">
              <w:rPr>
                <w:rFonts w:ascii="Times New Roman" w:hAnsi="Times New Roman"/>
                <w:b/>
                <w:bCs/>
                <w:color w:val="000000"/>
                <w:sz w:val="18"/>
                <w:szCs w:val="18"/>
              </w:rPr>
              <w:t>Naziv specifičnog cilja</w:t>
            </w:r>
          </w:p>
        </w:tc>
        <w:tc>
          <w:tcPr>
            <w:tcW w:w="13167" w:type="dxa"/>
          </w:tcPr>
          <w:p w:rsidR="00251335" w:rsidRPr="00576C1D" w:rsidRDefault="00251335" w:rsidP="00F37F5D">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1"/>
                <w:sz w:val="18"/>
                <w:szCs w:val="18"/>
              </w:rPr>
              <w:t>Poboljšanje pristupa primarnoj i hitnoj zdravstvenoj zaštiti, sa fokusom na udaljena i deprivirana područja</w:t>
            </w:r>
          </w:p>
          <w:p w:rsidR="00251335" w:rsidRDefault="00251335" w:rsidP="00F37F5D"/>
        </w:tc>
      </w:tr>
      <w:tr w:rsidR="00251335" w:rsidTr="00251335">
        <w:tc>
          <w:tcPr>
            <w:tcW w:w="2802" w:type="dxa"/>
          </w:tcPr>
          <w:p w:rsidR="00251335" w:rsidRDefault="00251335" w:rsidP="00F37F5D">
            <w:r w:rsidRPr="00576C1D">
              <w:rPr>
                <w:rFonts w:ascii="Times New Roman" w:hAnsi="Times New Roman"/>
                <w:b/>
                <w:bCs/>
                <w:color w:val="000000"/>
                <w:spacing w:val="-1"/>
                <w:sz w:val="18"/>
                <w:szCs w:val="18"/>
              </w:rPr>
              <w:t>Rezultati koje države članice žele postići uz potporu Unije</w:t>
            </w:r>
          </w:p>
        </w:tc>
        <w:tc>
          <w:tcPr>
            <w:tcW w:w="13167" w:type="dxa"/>
          </w:tcPr>
          <w:p w:rsidR="00251335" w:rsidRDefault="00251335" w:rsidP="00F37F5D">
            <w:r>
              <w:t>Vezano za primarnu zdravstvenu skrb (PZS), stanovnici područja s nedovoljnim brojem ekipa PZS-a suočeni su s ograničenim pristupom zdravstvenoj skrbi i ponekad moraju dugo putovati kako bi došli do najbliže ordinacije PZS-a ili bolnice. Nedostatak ekipa PZS-a u određenim područjima povećava pritisak na bolničkim uslugama jer je vjerojatnije da će pacijenti iz tih područja tražiti pomoć izravno od bolnica, uz uputnicu svojih liječnika ili bez nje.</w:t>
            </w:r>
          </w:p>
          <w:p w:rsidR="00251335" w:rsidRDefault="00251335" w:rsidP="00F37F5D">
            <w:r>
              <w:t>Diljem čitave Hrvatske postoji 255 ekipa PZS-a (opća medicina, primarna pedijatrija, primarna ginekologija) koje zahtijeva Mreža javne zdravstvene službe (NN  101/2012.), ali one nisu aktivne zbog neadekvatne infrastrukture ili manjka medicinskog osoblja.</w:t>
            </w:r>
          </w:p>
          <w:p w:rsidR="00251335" w:rsidRDefault="00251335" w:rsidP="00F37F5D">
            <w:r>
              <w:t>Koristit će se ESIF kako bi se riješio problem nepostojanja ekipa PZS-a. Fokus su socioekonomski deprivirana i geografski izolirana područja kao što su otoci. Deprivirana područja identificirat će se na temelju njihovog razvojnog indeksa. Tražena promjena je poboljšanje pristupa PZS-u u područjima gdje postoji manjak ekipa PZS-a, osobito na depriviranim i/ili izoliranim područjima, što će se postići podupiranjem pružatelja PZS-a. Smanjit će se broj uputnica pružatelja PZS-a za bolnice jer će se na razini PZS-a omogućiti više dijagnostičkih i terapeutskih postupaka. Kasnije smanjenje u potražnji bolničkih usluga doprinijet će smanjenju lista čekanja u bolnicama što je u skladu s trenutnom strukturalnom reformom. Financiranje infrastrukture bit će dostupno na ograničenom broju lokacija, kao i za kupnju vozila i opreme (EFRR) i obrazovanje medicinskih radnika (ESF) koji su izravno povezani s uspostavom ekipa PZS-a. Nova vozila i opremu koristit će liječnici i terenske sestre kako bi se povećao broj kućnih posjeta, što će pak poboljšati pristup zdravstvenoj skrbi ranjivih skupina poput osoba s invaliditetom koje žive u udaljenim ruralnim područjima te koje inače, zbog udaljenosti ili fizičkih poteškoća ne bi mogle koristiti usluge zdravstvene skrbi.</w:t>
            </w:r>
          </w:p>
          <w:p w:rsidR="00251335" w:rsidRDefault="00251335" w:rsidP="00F37F5D">
            <w:r>
              <w:t xml:space="preserve">Osim potpore pružateljima PZS-a, važan element dovršetka reformi u pogledu poboljšanja pristupa primarnoj zdravstvenoj skrbi diljem Hrvatske je osiguranje pristupa učinkovitoj hitnoj zdravstvenoj skrbi. Hitna medicinska služba (HMS) se u većini Hrvatske značajno popravila od reforme koju se provodilo posljednjih nekoliko godina. Uz potporu pozajmice Svjetske banke, uspostavljeni su i opremljeni županijski zavodi za hitnu medicinu i opremljeni su (i preuređeni gdje </w:t>
            </w:r>
            <w:r>
              <w:lastRenderedPageBreak/>
              <w:t>potrebno) zajednički</w:t>
            </w:r>
            <w:r w:rsidRPr="00251335">
              <w:t>medicinski odjeli za hitne slučajeve u 21 bolnici. Kako bi se dovršila reforma EMS-a, koristit će se ESIF kako bi se izgradili i opremili zajednički medicinski odjeli za hitne slučajeve u preostalim bolnicama gdje još nisu uspostavljeni i gdje takve investicije nisu planirane iz drugih izvora poput javno-privatnog partnerstva. Nadalje, koristit će se ESIF kako bi se poboljšao prijevoz i briga za hitne pacijente s hrvatskih otoka uspostavom brze pomorske hitne medicinske službe. Kao rezultat, pacijenti s otoka prevozit će se brže i u prikladnim plovilima, HMS će biti dostupan za slučajeve pomorskih nesreća i pomorskih katastrofa te će se popraviti prekogranično pružanje zdravstvene skrbi, u skladu s Direktivom 2011/24/EU</w:t>
            </w:r>
          </w:p>
        </w:tc>
      </w:tr>
    </w:tbl>
    <w:tbl>
      <w:tblPr>
        <w:tblW w:w="0" w:type="auto"/>
        <w:tblInd w:w="40" w:type="dxa"/>
        <w:tblLayout w:type="fixed"/>
        <w:tblCellMar>
          <w:left w:w="40" w:type="dxa"/>
          <w:right w:w="40" w:type="dxa"/>
        </w:tblCellMar>
        <w:tblLook w:val="0000" w:firstRow="0" w:lastRow="0" w:firstColumn="0" w:lastColumn="0" w:noHBand="0" w:noVBand="0"/>
      </w:tblPr>
      <w:tblGrid>
        <w:gridCol w:w="2707"/>
        <w:gridCol w:w="12442"/>
      </w:tblGrid>
      <w:tr w:rsidR="00FC3F35" w:rsidRPr="00576C1D" w:rsidTr="0025133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lastRenderedPageBreak/>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2</w:t>
            </w:r>
          </w:p>
        </w:tc>
      </w:tr>
      <w:tr w:rsidR="00FC3F35" w:rsidRPr="00576C1D" w:rsidTr="0025133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Poboljšanje učinkovitosti i dostupnosti bolničkog liječenja za ranjive skupine ljudi</w:t>
            </w:r>
          </w:p>
        </w:tc>
      </w:tr>
      <w:tr w:rsidR="00FC3F35" w:rsidRPr="00576C1D" w:rsidTr="0025133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Rezultati koje države članice žele postići uz potporu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Pristup bolničkim uslugama može se značajno popraviti tako što će se povećati njihova učinkovitost promjenom načina pružanja liječničke skrbi. Trenutno se bolnička skrb u Hrvatskoj ponajviše temelji na akutnoj bolničkoj skrbi, koja ne samo da je najskuplja već je često i nepotrebna za optimalno liječenje pacijenata u bolnicama. Prelazak s akutne bolničke skrbi na dnevne bolnice/dnevne kirurgije jedan je od glavnih ciljeva Nacionalnog plana za razvoj kliničkih bolničkih centara, kliničkih bolnica i općih bolnica u Republici Hrvatskoj za razdoblje između 2014. i 2016. (Nacionalni plan), što je ujedno i jedna od ključnih mjera definiranih u nacionalnom programu reformi Republike Hrvatske.</w:t>
            </w:r>
          </w:p>
          <w:p w:rsidR="00FC3F35" w:rsidRPr="00576C1D" w:rsidRDefault="00FC3F35" w:rsidP="00FC3F35">
            <w:pPr>
              <w:widowControl w:val="0"/>
              <w:shd w:val="clear" w:color="auto" w:fill="FFFFFF"/>
              <w:autoSpaceDE w:val="0"/>
              <w:autoSpaceDN w:val="0"/>
              <w:adjustRightInd w:val="0"/>
              <w:spacing w:after="0" w:line="278" w:lineRule="exact"/>
              <w:ind w:right="48" w:hanging="5"/>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Vezano za ograničenja u pristupu bolničkoj skrbi, ranjive su skupine osobito pogođene tim ograničenjima, ponajviše zbog neučinkovitih ili nerazvijenih bolničkih usluga. Među raznim ranjivim skupinama definiranim u Strategiji borbe protiv siromaštva i socijalne isključenosti za 2014. - 2020., cilj ulaganja EFRR-a unutar ovog specifičnog cilja je poboljšati učinkovitost i pristup bolničkim uslugama za sljedeće ranjive skupine: djecu, osobe s duševnim poremećajima, pacijente s odjela psihijatrije, pacijente na samrti i pacijente s najtežim tjelesnim ozljedama, poput ozljeda kralježnice. Ove su grupe izabrane jer briga za njih predstavlja značajno opterećenje za članove njihovih obitelji, što je često uzrok bolovanja ili odsustva s posla ili čak poteškoća pri ulasku na tržište rada. Ulaganja u bolnice i bolničke odjele koji pružaju skrb tim ranjivim skupinama mogu smanjiti opterećenje na članovima obitelji/pružateljima skrbi i pridonijeti drugoj ključnoj mjeri identificiranoj u nacionalnom programu reformi, tj smanjenju stope bolovanja.</w:t>
            </w:r>
          </w:p>
          <w:p w:rsidR="00FC3F35" w:rsidRPr="00576C1D" w:rsidRDefault="00FC3F35" w:rsidP="00FC3F35">
            <w:pPr>
              <w:widowControl w:val="0"/>
              <w:shd w:val="clear" w:color="auto" w:fill="FFFFFF"/>
              <w:autoSpaceDE w:val="0"/>
              <w:autoSpaceDN w:val="0"/>
              <w:adjustRightInd w:val="0"/>
              <w:spacing w:after="0" w:line="278" w:lineRule="exact"/>
              <w:ind w:right="4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Bolnice, posebne bolnice i bolnički odjeli koji pružaju skrb pacijentima iz gore navedenih ranjivih skupina zadovoljavaju uvjete za sve aktivnosti unutar ovog specifičnog cilja. Nadalje, aktivnosti usmjerene na uspostavu dnevnih bolnica i dnevnih kirurgija provest će se u svim bolnicama koje obuhvaća nacionalni plan. Ulaganja u ove dijelove hrvatskog bolničkog sustava</w:t>
            </w:r>
          </w:p>
        </w:tc>
      </w:tr>
      <w:tr w:rsidR="00FC3F35" w:rsidRPr="00576C1D" w:rsidTr="0025133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38" w:firstLine="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najizravnije će doprinijeti poboljšanju učinkovitosti i pristupačnosti bolničke skrbi za ranjive skupine, dok će istovremeno pridonijeti općim ciljevima nacionalnog plana, osobito u pogledu efikasnijeg i troškovno učinkovitijeg zdravstvenog sustava.</w:t>
            </w:r>
          </w:p>
          <w:p w:rsidR="00FC3F35" w:rsidRPr="00576C1D" w:rsidRDefault="00FC3F35" w:rsidP="00FC3F35">
            <w:pPr>
              <w:widowControl w:val="0"/>
              <w:shd w:val="clear" w:color="auto" w:fill="FFFFFF"/>
              <w:autoSpaceDE w:val="0"/>
              <w:autoSpaceDN w:val="0"/>
              <w:adjustRightInd w:val="0"/>
              <w:spacing w:after="0" w:line="274" w:lineRule="exact"/>
              <w:ind w:right="38" w:firstLine="5"/>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83" w:lineRule="exact"/>
              <w:ind w:right="38"/>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Komplementarne aktivnosti koje sufinancira ESF podržavat će neprekidno medicinsko obrazovanje i izobrazbu za rad u načinima bolničke skrbi koje podržava EFRR. Također će podržavati razvoj kliničkih smjernica i kliničkih putova.</w:t>
            </w:r>
          </w:p>
          <w:p w:rsidR="00FC3F35" w:rsidRPr="00576C1D" w:rsidRDefault="00FC3F35" w:rsidP="00FC3F35">
            <w:pPr>
              <w:widowControl w:val="0"/>
              <w:shd w:val="clear" w:color="auto" w:fill="FFFFFF"/>
              <w:autoSpaceDE w:val="0"/>
              <w:autoSpaceDN w:val="0"/>
              <w:adjustRightInd w:val="0"/>
              <w:spacing w:after="0" w:line="274" w:lineRule="exact"/>
              <w:ind w:right="3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Ranjive skupine pacijenata diljem zemlje će, kao rezultat ulaganja ESIF-a, imati pristup poboljšanim zdravstvenim ustanovama. Neke grupe ranjivih pacijenata (pacijenti s teškim tjelesnim oštećenjima, pacijenti na samrti) imat će pristup bolničkoj skrbi koja je ranije bila jako loša ili nije ni postojala. Promjena oblika skrbi povećat će produktivnost bolnica i poboljšati protočnost pacijenata, što će doprinijeti smanjenju lista čekanja i smanjenju upisa u bolnice gore navedenih skupina pacijenata. Povećat će se učinkovitost bolničkih operacija što će dovesti do značajnih ušteda u sustavu, uključujući i smanjenjem broja bolničkih primanja i bolovanja</w:t>
            </w:r>
            <w:r w:rsidRPr="00576C1D">
              <w:rPr>
                <w:rFonts w:ascii="Times New Roman" w:eastAsia="Times New Roman" w:hAnsi="Times New Roman" w:cs="Times New Roman"/>
                <w:color w:val="000000"/>
                <w:sz w:val="24"/>
                <w:szCs w:val="24"/>
                <w:lang w:eastAsia="hr-HR"/>
              </w:rPr>
              <w:t>.</w:t>
            </w:r>
          </w:p>
        </w:tc>
      </w:tr>
      <w:tr w:rsidR="00FC3F35" w:rsidRPr="00576C1D" w:rsidTr="0025133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lastRenderedPageBreak/>
              <w:t>Oznaka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3</w:t>
            </w:r>
          </w:p>
        </w:tc>
      </w:tr>
      <w:tr w:rsidR="00FC3F35" w:rsidRPr="00576C1D" w:rsidTr="0025133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right="49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Promicanje socijalne uključenosti i smanjenje nejednakosti kroz poboljšani pristup socijalnim uslugama te prelazak s institucionalne skrbi na skrb u zajednici  putem poboljšane socijalne infrastrukture</w:t>
            </w:r>
          </w:p>
        </w:tc>
      </w:tr>
      <w:tr w:rsidR="00FC3F35" w:rsidRPr="00576C1D" w:rsidTr="00251335">
        <w:tc>
          <w:tcPr>
            <w:tcW w:w="270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5" w:right="67"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Rezultati koje države članice žele postići uz potporu Unije</w:t>
            </w:r>
          </w:p>
        </w:tc>
        <w:tc>
          <w:tcPr>
            <w:tcW w:w="1244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134"/>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Hrvatska je suočena s regionalnom neujednačenošću u razvoju i dostupnosti socijalnih usluga. Ovom problemu treba pristupiti s dvije  povezane strane. Kao prvo, na temelju plana deinstitucionalizacije, glavni cilj procesa </w:t>
            </w:r>
            <w:r w:rsidRPr="00576C1D">
              <w:rPr>
                <w:rFonts w:ascii="Times New Roman" w:eastAsia="Times New Roman" w:hAnsi="Times New Roman" w:cs="Times New Roman"/>
                <w:b/>
                <w:color w:val="000000"/>
                <w:sz w:val="24"/>
                <w:szCs w:val="24"/>
                <w:lang w:eastAsia="hr-HR"/>
              </w:rPr>
              <w:t>deinstitucionalizacije</w:t>
            </w:r>
            <w:r w:rsidRPr="00576C1D">
              <w:rPr>
                <w:rFonts w:ascii="Times New Roman" w:eastAsia="Times New Roman" w:hAnsi="Times New Roman" w:cs="Times New Roman"/>
                <w:color w:val="000000"/>
                <w:sz w:val="24"/>
                <w:szCs w:val="24"/>
                <w:lang w:eastAsia="hr-HR"/>
              </w:rPr>
              <w:t xml:space="preserve"> je smanjenje broja osoba koje ulaze u, i povećati broj osoba koje izlaze iz institucija u nove oblike skrbi u zajednici.</w:t>
            </w:r>
          </w:p>
          <w:p w:rsidR="00FC3F35" w:rsidRPr="00576C1D" w:rsidRDefault="00FC3F35" w:rsidP="00FC3F35">
            <w:pPr>
              <w:widowControl w:val="0"/>
              <w:shd w:val="clear" w:color="auto" w:fill="FFFFFF"/>
              <w:autoSpaceDE w:val="0"/>
              <w:autoSpaceDN w:val="0"/>
              <w:adjustRightInd w:val="0"/>
              <w:spacing w:after="0" w:line="274" w:lineRule="exact"/>
              <w:ind w:right="13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Očekivani rezultat procesa deinstitucionalizacije predstavljen je brojem korisnika koje treba deinstitucionalizirati. Očekivani rezultati su: smanjenje omjera djece i mladih bez odgovarajuće roditeljske skrbi u i izvan institucija, na 20 % u institucijama i 80 % izvan institucija; deinstitucionalizacija 40 % djece i mladih s poremećajima u ponašanju, , 30 % osoba s intelektualnim, osjetilnim i tjelesnim oštećenjima do 2016. godine i 20 % osoba s mentalnim oštećenjima do 2018. godine.</w:t>
            </w:r>
          </w:p>
        </w:tc>
      </w:tr>
    </w:tbl>
    <w:p w:rsidR="00251335" w:rsidRDefault="00251335" w:rsidP="00FC3F35">
      <w:pPr>
        <w:widowControl w:val="0"/>
        <w:shd w:val="clear" w:color="auto" w:fill="FFFFFF"/>
        <w:autoSpaceDE w:val="0"/>
        <w:autoSpaceDN w:val="0"/>
        <w:adjustRightInd w:val="0"/>
        <w:spacing w:after="0" w:line="274" w:lineRule="exact"/>
        <w:ind w:left="3336"/>
        <w:rPr>
          <w:rFonts w:ascii="Times New Roman" w:eastAsia="Times New Roman" w:hAnsi="Times New Roman" w:cs="Times New Roman"/>
          <w:color w:val="000000"/>
          <w:spacing w:val="-1"/>
          <w:sz w:val="24"/>
          <w:szCs w:val="24"/>
          <w:lang w:eastAsia="hr-HR"/>
        </w:rPr>
      </w:pPr>
    </w:p>
    <w:p w:rsidR="00251335" w:rsidRDefault="00251335" w:rsidP="00FC3F35">
      <w:pPr>
        <w:widowControl w:val="0"/>
        <w:shd w:val="clear" w:color="auto" w:fill="FFFFFF"/>
        <w:autoSpaceDE w:val="0"/>
        <w:autoSpaceDN w:val="0"/>
        <w:adjustRightInd w:val="0"/>
        <w:spacing w:after="0" w:line="274" w:lineRule="exact"/>
        <w:ind w:left="3336"/>
        <w:rPr>
          <w:rFonts w:ascii="Times New Roman" w:eastAsia="Times New Roman" w:hAnsi="Times New Roman" w:cs="Times New Roman"/>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left="3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xml:space="preserve">S druge strane, postoji potreba </w:t>
      </w:r>
      <w:r w:rsidRPr="00576C1D">
        <w:rPr>
          <w:rFonts w:ascii="Times New Roman" w:eastAsia="Times New Roman" w:hAnsi="Times New Roman" w:cs="Times New Roman"/>
          <w:b/>
          <w:color w:val="000000"/>
          <w:spacing w:val="-1"/>
          <w:sz w:val="24"/>
          <w:szCs w:val="24"/>
          <w:lang w:eastAsia="hr-HR"/>
        </w:rPr>
        <w:t>poboljšanja raspoloživosti usluga u zajednici</w:t>
      </w:r>
      <w:r w:rsidRPr="00576C1D">
        <w:rPr>
          <w:rFonts w:ascii="Times New Roman" w:eastAsia="Times New Roman" w:hAnsi="Times New Roman" w:cs="Times New Roman"/>
          <w:color w:val="000000"/>
          <w:spacing w:val="-1"/>
          <w:sz w:val="24"/>
          <w:szCs w:val="24"/>
          <w:lang w:eastAsia="hr-HR"/>
        </w:rPr>
        <w:t xml:space="preserve"> za ranjive skupine, kako bi se omogućio bolji pristup i kvaliteta socijalnih usluga. Preduvjet održive deinstitucionalizacije je potpora širenju mreže ovih usluga koje pružaju razni pružatelji usluga, poput NVO-ova. Potrebno je podržati pružanje šireg raspona usluga u zajednici ranjivim skupinama, kako bi se spriječila institucionalizacija. Nadalje, kako bi se bolje pripremilo korisnike i njihove obitelji na deinstitucionalizaciju, potrebno je poboljšati uvjete centara za socijalnu skrb, koji podržavaju ovaj postupak.</w:t>
      </w:r>
      <w:r w:rsidR="00C244E3">
        <w:rPr>
          <w:rFonts w:ascii="Times New Roman" w:eastAsia="Times New Roman" w:hAnsi="Times New Roman" w:cs="Times New Roman"/>
          <w:noProof/>
          <w:sz w:val="20"/>
          <w:szCs w:val="20"/>
          <w:lang w:eastAsia="hr-HR"/>
        </w:rPr>
        <w:pict>
          <v:line id="Line 1837" o:spid="_x0000_s1197" style="position:absolute;left:0;text-align:left;z-index:251640320;visibility:visible;mso-position-horizontal-relative:margin;mso-position-vertical-relative:text" from="25.9pt,-.95pt" to="78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MY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" o:allowincell="f" strokeweight=".25pt">
            <w10:wrap anchorx="margin"/>
          </v:line>
        </w:pict>
      </w:r>
    </w:p>
    <w:p w:rsidR="00FC3F35" w:rsidRPr="00576C1D" w:rsidRDefault="00FC3F35" w:rsidP="00FC3F35">
      <w:pPr>
        <w:widowControl w:val="0"/>
        <w:shd w:val="clear" w:color="auto" w:fill="FFFFFF"/>
        <w:autoSpaceDE w:val="0"/>
        <w:autoSpaceDN w:val="0"/>
        <w:adjustRightInd w:val="0"/>
        <w:spacing w:before="278" w:after="0" w:line="274" w:lineRule="exact"/>
        <w:ind w:left="3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Sve regije imaju nedovoljnu raspoloživost i dostupnost socijalnih usluga koje se pružaju ranjivim skupinama kao što je određeno u Strategiji za borbu protiv siromaštva i socijalne isključenosti te će se projekti provoditi na području cijele Hrvatske. Stoga je potrebno razviti socijalne usluge uzajednici i za druge ranjive skupine, poput starijih osoba, beskućnika, hrvatskih branitelja i stradalnika rata, kako bi se spriječila njihova institucionalizacija i pridonijelo njihovom boljem uključivanju</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4450" w:line="274" w:lineRule="exact"/>
        <w:ind w:left="3336"/>
        <w:jc w:val="both"/>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Nadalje, zbog nedostatka izdvojenog sustava psihosocijalne skrbi za braniteljsku i stradalničku populaciju , a s obzirom na činjenicu da je to populacija koja, s obzirom na specifične potrebe, često ima otežan pristup socijalnim uslugama od općeg interesa, te jepotrebna i prilagodba postojećih usluga potrebama populacije, postoji stvarna potreba za usmjerenim pružanjem psihosocijalne skrbi kroz uspostavu veteranskih centara na lokalnoj razini. Veteranski centri primarno su dnevni centri koji pružaju usluge populaciji u potrebi i time olakšavaju uključivanje korisnika u društvenu zajednicu.</w:t>
      </w:r>
    </w:p>
    <w:p w:rsidR="00FC3F35" w:rsidRPr="00576C1D" w:rsidRDefault="00FC3F35" w:rsidP="00FC3F35">
      <w:pPr>
        <w:widowControl w:val="0"/>
        <w:shd w:val="clear" w:color="auto" w:fill="FFFFFF"/>
        <w:autoSpaceDE w:val="0"/>
        <w:autoSpaceDN w:val="0"/>
        <w:adjustRightInd w:val="0"/>
        <w:spacing w:before="278" w:after="4450" w:line="274" w:lineRule="exact"/>
        <w:ind w:left="3336"/>
        <w:rPr>
          <w:rFonts w:ascii="Times New Roman" w:eastAsia="Times New Roman" w:hAnsi="Times New Roman" w:cs="Times New Roman"/>
          <w:sz w:val="20"/>
          <w:szCs w:val="20"/>
          <w:lang w:eastAsia="hr-HR"/>
        </w:rPr>
        <w:sectPr w:rsidR="00FC3F35" w:rsidRPr="00576C1D">
          <w:pgSz w:w="16834" w:h="11909" w:orient="landscape"/>
          <w:pgMar w:top="1178"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38" o:spid="_x0000_s1196" style="position:absolute;z-index:251642368;visibility:visible;mso-position-horizontal-relative:margin" from="26.4pt,-198.7pt" to="782.9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8"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Tablica 3: Pokazatelji rezultata specifični za program, po specifičnom cilju (za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1 - Poboljšanje pristupa primarnoj i hitnoj zdravstvenoj zaštiti, s fokusom na udaljena i  deprivirana područja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056"/>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9all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Smanjenje broja uputnica pružatelja primarne zdravstvene skrbi u bolnice u depriviranim/izoliranim područjima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Broj uputnica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490.027,00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2013.</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416.676,00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Ministarstvo zdravlja, Hrvatski fond zdravstvenog osiguranja, ISU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470"/>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2 - Poboljšanje učinkovitosti i dostupnosti bolničkog liječenja za ranjive skupine ljudi</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(gdje je prikladno)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1421"/>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9a21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Smanjenje broja prijmova na akutne bolničke odjele obuhvaćene nacionalnim planom razvoja kliničkih bolničkih centara, kliničkih bolnica, klinika i općih bolnica u Republici Hrvatskoj (2014. - 2016.)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9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Godišnji broj bolničkih prijmova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4,157.784,00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2014.</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3,742.000,00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4"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Ministarstvo zdravlja, Hrvatski fond zdravstvenog osiguranja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672"/>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righ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0"/>
                <w:szCs w:val="20"/>
                <w:lang w:eastAsia="hr-HR"/>
              </w:rPr>
              <w:t>3 - Promicanje socijalne uključenosti i smanjenje nejednakosti kroz poboljšani socijalnim uslugama te prelazak s institucionalne skrbi na skrb u zajednici  putem poboljšane socijalne infrastrukture</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518"/>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9a31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Smanjenje broja osoba u institucijama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8.311.,00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25,00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ISU, ankete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4"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će se podržati u sklopu investicijskog prioriteta </w:t>
      </w:r>
      <w:r w:rsidRPr="00576C1D">
        <w:rPr>
          <w:rFonts w:ascii="Times New Roman" w:eastAsia="Times New Roman" w:hAnsi="Times New Roman" w:cs="Times New Roman"/>
          <w:bCs/>
          <w:color w:val="000000"/>
          <w:sz w:val="24"/>
          <w:szCs w:val="24"/>
          <w:lang w:eastAsia="hr-HR"/>
        </w:rPr>
        <w:t>(po investicijskom prioritetu)</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2"/>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FC3F35" w:rsidRPr="00576C1D">
          <w:pgSz w:w="16834" w:h="11909" w:orient="landscape"/>
          <w:pgMar w:top="1433"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39" o:spid="_x0000_s1195" style="position:absolute;z-index:251643392;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DFFgIAAC0EAAAOAAAAZHJzL2Uyb0RvYy54bWysU02P2jAQvVfqf7B8h3zAUo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4t1wxR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840" o:spid="_x0000_s1194" style="position:absolute;z-index:251644416;visibility:visible;mso-position-horizontal-relative:margin" from="-5.75pt,-2.65pt" to="-5.7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841" o:spid="_x0000_s1193" style="position:absolute;z-index:251646464;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842" o:spid="_x0000_s1192" style="position:absolute;z-index:251647488;visibility:visible;mso-position-horizontal-relative:margin" from="750.25pt,-2.65pt" to="750.2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433" w:right="1189" w:bottom="360" w:left="1183" w:header="720" w:footer="720" w:gutter="0"/>
          <w:cols w:num="2" w:space="720" w:equalWidth="0">
            <w:col w:w="1936" w:space="411"/>
            <w:col w:w="12115"/>
          </w:cols>
          <w:noEndnote/>
        </w:sectPr>
      </w:pPr>
    </w:p>
    <w:p w:rsidR="00FC3F35" w:rsidRPr="00576C1D" w:rsidRDefault="00C244E3" w:rsidP="00FC3F35">
      <w:pPr>
        <w:widowControl w:val="0"/>
        <w:shd w:val="clear" w:color="auto" w:fill="FFFFFF"/>
        <w:autoSpaceDE w:val="0"/>
        <w:autoSpaceDN w:val="0"/>
        <w:adjustRightInd w:val="0"/>
        <w:spacing w:before="192" w:after="0" w:line="240" w:lineRule="auto"/>
        <w:ind w:left="6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43" o:spid="_x0000_s1191" style="position:absolute;left:0;text-align:left;z-index:251648512;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yFFwIAAC0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" o:allowincell="f" strokeweight=".7pt">
            <w10:wrap anchorx="margin"/>
          </v:line>
        </w:pict>
      </w:r>
      <w:r w:rsidR="00FC3F35" w:rsidRPr="00576C1D">
        <w:rPr>
          <w:rFonts w:ascii="Times New Roman" w:eastAsia="Times New Roman" w:hAnsi="Times New Roman" w:cs="Times New Roman"/>
          <w:color w:val="000000"/>
          <w:spacing w:val="-1"/>
          <w:sz w:val="24"/>
          <w:szCs w:val="24"/>
          <w:u w:val="single"/>
          <w:lang w:eastAsia="hr-HR"/>
        </w:rPr>
        <w:t>Unutar SC 9.1.1 mogu se podržati sljedeće aktivnosti:</w:t>
      </w:r>
    </w:p>
    <w:p w:rsidR="00FC3F35" w:rsidRPr="00576C1D" w:rsidRDefault="00FC3F35" w:rsidP="00FC3F35">
      <w:pPr>
        <w:widowControl w:val="0"/>
        <w:shd w:val="clear" w:color="auto" w:fill="FFFFFF"/>
        <w:autoSpaceDE w:val="0"/>
        <w:autoSpaceDN w:val="0"/>
        <w:adjustRightInd w:val="0"/>
        <w:spacing w:before="278" w:after="0" w:line="274" w:lineRule="exact"/>
        <w:ind w:left="638" w:right="1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Investicije EFRR-a bit će usmjerene na pružatelje </w:t>
      </w:r>
      <w:r w:rsidRPr="00576C1D">
        <w:rPr>
          <w:rFonts w:ascii="Times New Roman" w:eastAsia="Times New Roman" w:hAnsi="Times New Roman" w:cs="Times New Roman"/>
          <w:b/>
          <w:color w:val="000000"/>
          <w:sz w:val="24"/>
          <w:szCs w:val="24"/>
          <w:lang w:eastAsia="hr-HR"/>
        </w:rPr>
        <w:t>primarne zdravstvene skrbi (PZS)</w:t>
      </w:r>
      <w:r w:rsidRPr="00576C1D">
        <w:rPr>
          <w:rFonts w:ascii="Times New Roman" w:eastAsia="Times New Roman" w:hAnsi="Times New Roman" w:cs="Times New Roman"/>
          <w:color w:val="000000"/>
          <w:sz w:val="24"/>
          <w:szCs w:val="24"/>
          <w:lang w:eastAsia="hr-HR"/>
        </w:rPr>
        <w:t xml:space="preserve"> u područjima gdje Mreža javne zdravstvene službe (NN 101/2012.) definira potrebu za ekipama primarne zdravstvene skrbi, ako takve ekipe nisu uspostavljene zbog neadekvatne infrastrukture ili manjka kadra. Potporu EFRR-a će moći primati pružatelji PZS-a na područjima koja su, po razvojnom indeksu, socioekonomski deprivirana i na geografski izoliranim područjima, ponajviše otocima. Potpora će se temeljiti na prijedlozima (planovima) koje pripremaju pružatelji PZS-a i koji obuhvaćaju integrirane aktivnosti EFRR-a i ESF-a. U svojim će prijedlozima projekata pružatelji PZS-a morati dokazati da će primljena potpora poboljšati pristup PZS-u u čitavom području koje pokrivaju, a osobito u općinama u kojima nema ekipa PZS-a prema Mreži javne zdravstvene službe</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638" w:right="1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Investicijama EFRR-a će se podržavati sljedeće:</w:t>
      </w:r>
    </w:p>
    <w:p w:rsidR="00FC3F35" w:rsidRPr="00576C1D" w:rsidRDefault="00FC3F35" w:rsidP="00FC3F35">
      <w:pPr>
        <w:widowControl w:val="0"/>
        <w:shd w:val="clear" w:color="auto" w:fill="FFFFFF"/>
        <w:autoSpaceDE w:val="0"/>
        <w:autoSpaceDN w:val="0"/>
        <w:adjustRightInd w:val="0"/>
        <w:spacing w:before="278" w:after="0" w:line="274" w:lineRule="exact"/>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Nabava medicinske opreme i vozila potrebnih za pružanje primarne zdravstvene skrbi. Kupnja medicinske opreme za pružatelje PZS-a, uključujući uređaje koji mogu smanjiti potrebu za uputnicama i pružiti odgovarajuću njegu bliže domovima pacijenata (radiološki uređaji s digitalizacijom kako bi se omogućilo korištenje telemedicine, mamografije, ultrazvuka, opreme za laboratorijsku analizu, mHealtha i drugih uređaja kojima se podržava samoskrb i praćenje kroničnih pacijenata). Vozila za pružatelje PZS-a koristit će se s ciljem povećanja mobilnosti zdravstvenih ekipa i kako bi se povećao broj kućnih posjeta, usmjereno ponajviše na najranjivije skupine (npr. osobe s invaliditetom u udaljenim ruralnim područjima) koje inače ne mogu koristiti zdravstvene usluge, zbog udaljenosti ili fizičkih poteškoća</w:t>
      </w:r>
      <w:r w:rsidRPr="00576C1D">
        <w:rPr>
          <w:rFonts w:ascii="Times New Roman" w:eastAsia="Times New Roman" w:hAnsi="Times New Roman" w:cs="Times New Roman"/>
          <w:color w:val="000000"/>
          <w:spacing w:val="-1"/>
          <w:sz w:val="24"/>
          <w:szCs w:val="24"/>
          <w:lang w:eastAsia="hr-HR"/>
        </w:rPr>
        <w:t>.</w:t>
      </w:r>
    </w:p>
    <w:p w:rsidR="00FC3F35" w:rsidRPr="00576C1D" w:rsidRDefault="00C244E3" w:rsidP="00FC3F35">
      <w:pPr>
        <w:widowControl w:val="0"/>
        <w:shd w:val="clear" w:color="auto" w:fill="FFFFFF"/>
        <w:autoSpaceDE w:val="0"/>
        <w:autoSpaceDN w:val="0"/>
        <w:adjustRightInd w:val="0"/>
        <w:spacing w:before="269" w:after="1027" w:line="278" w:lineRule="exact"/>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844" o:spid="_x0000_s1190" style="position:absolute;left:0;text-align:left;z-index:251649536;visibility:visible;mso-position-horizontal-relative:margin" from="26.4pt,57.45pt" to="783.3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W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" o:allowincell="f" strokeweight=".25pt">
            <w10:wrap anchorx="margin"/>
          </v:line>
        </w:pict>
      </w:r>
      <w:r w:rsidR="00FC3F35" w:rsidRPr="00576C1D">
        <w:rPr>
          <w:rFonts w:ascii="Times New Roman" w:eastAsia="Times New Roman" w:hAnsi="Times New Roman" w:cs="Times New Roman"/>
          <w:color w:val="000000"/>
          <w:spacing w:val="-1"/>
          <w:sz w:val="24"/>
          <w:szCs w:val="24"/>
          <w:lang w:eastAsia="hr-HR"/>
        </w:rPr>
        <w:t>Renovacija ili izgradnja infrastrukture (uključujući i zgrade) potrebne kako bi se poslovanje ekipa PZS-a uspješno obavljalo. Ovo se primjenjuje samo na ograničen broj lokacija gdje su potrebna postrojenja u vrlo lošem stanju ili ne postoje, ili kako bi se omogućilo pristup osobama s invaliditetom</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69" w:after="1027" w:line="278" w:lineRule="exact"/>
        <w:ind w:left="643"/>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45" o:spid="_x0000_s1189" style="position:absolute;z-index:251531776;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6O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UJbujh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846" o:spid="_x0000_s1188" style="position:absolute;z-index:251533824;visibility:visible;mso-position-horizontal-relative:margin" from="-5.75pt,-2.65pt" to="-5.75pt,4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p6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847" o:spid="_x0000_s1187" style="position:absolute;z-index:251536896;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APFQIAACwEAAAOAAAAZHJzL2Uyb0RvYy54bWysU8GO2jAQvVfqP1i+QxJI2R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CLrKAPFQIAACwEAAAOAAAAAAAAAAAAAAAAAC4CAABkcnMvZTJvRG9jLnhtbFBLAQItABQABgAI&#10;AAAAIQA5N2s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848" o:spid="_x0000_s1186" style="position:absolute;z-index:251537920;visibility:visible;mso-position-horizontal-relative:margin" from="750.25pt,-2.65pt" to="750.25pt,4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n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5" w:right="1189" w:bottom="360" w:left="1183" w:header="720" w:footer="720" w:gutter="0"/>
          <w:cols w:num="2" w:space="720" w:equalWidth="0">
            <w:col w:w="2078" w:space="269"/>
            <w:col w:w="12115"/>
          </w:cols>
          <w:noEndnote/>
        </w:sectPr>
      </w:pPr>
    </w:p>
    <w:p w:rsidR="00FC3F35" w:rsidRPr="00576C1D" w:rsidRDefault="00C244E3" w:rsidP="00FC3F35">
      <w:pPr>
        <w:widowControl w:val="0"/>
        <w:shd w:val="clear" w:color="auto" w:fill="FFFFFF"/>
        <w:autoSpaceDE w:val="0"/>
        <w:autoSpaceDN w:val="0"/>
        <w:adjustRightInd w:val="0"/>
        <w:spacing w:before="72" w:after="0" w:line="274" w:lineRule="exact"/>
        <w:ind w:left="6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49" o:spid="_x0000_s1185" style="position:absolute;left:0;text-align:left;z-index:251539968;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JzFg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" o:allowincell="f" strokeweight=".7pt">
            <w10:wrap anchorx="margin"/>
          </v:line>
        </w:pict>
      </w:r>
      <w:r w:rsidR="00FC3F35" w:rsidRPr="00576C1D">
        <w:rPr>
          <w:rFonts w:ascii="Times New Roman" w:eastAsia="Times New Roman" w:hAnsi="Times New Roman" w:cs="Times New Roman"/>
          <w:color w:val="000000"/>
          <w:spacing w:val="-1"/>
          <w:sz w:val="24"/>
          <w:szCs w:val="24"/>
          <w:lang w:eastAsia="hr-HR"/>
        </w:rPr>
        <w:t>Paralelnom investicijom u okviru ESF-a osigurat će se raspoloživost kvalificiranih ekipa koje će koristiti infrastrukturu i opremu dostavljenu unutar projekta. Ovo će se postići potporom specijalističkog obrazovanja za PZS, poput ginekologije, pedijatrije ili opće medicine, liječnika koji će raditi na trenutno praznim lokacijama i potporom izobrazbe drugih zdravstvenih radnika koji pružaju usluge u prihvatljivim područjima. Kako bi se privuklo liječnike za rad u depriviranim područjima, ESF će ih podržati stipendijama za specijalističko obrazovanje. Kako bi se osigurala održivost, zdravstveni radnici koji primaju potporu od ESF-a bit će obvezani na rad na najmanje 5 godina na traženoj lokaciji. Ovo će pridonijeti održivosti ulaganja EFRR-a</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53" w:after="0" w:line="557"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Korisnici ove radnje su pružatelji PZS-a i Ministarstvo zdravlja.</w:t>
      </w:r>
    </w:p>
    <w:p w:rsidR="00FC3F35" w:rsidRPr="00576C1D" w:rsidRDefault="00FC3F35" w:rsidP="00FC3F35">
      <w:pPr>
        <w:widowControl w:val="0"/>
        <w:shd w:val="clear" w:color="auto" w:fill="FFFFFF"/>
        <w:autoSpaceDE w:val="0"/>
        <w:autoSpaceDN w:val="0"/>
        <w:adjustRightInd w:val="0"/>
        <w:spacing w:after="0" w:line="557" w:lineRule="exact"/>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Ciljna skupina su svi stanovnici navedenih depriviranih ili izoliranih područja, a fokus je na najranjivijim i najmanje mobilnim društvenim skupinama.</w:t>
      </w:r>
    </w:p>
    <w:p w:rsidR="00FC3F35" w:rsidRPr="00576C1D" w:rsidRDefault="00FC3F35" w:rsidP="00FC3F35">
      <w:pPr>
        <w:widowControl w:val="0"/>
        <w:shd w:val="clear" w:color="auto" w:fill="FFFFFF"/>
        <w:autoSpaceDE w:val="0"/>
        <w:autoSpaceDN w:val="0"/>
        <w:adjustRightInd w:val="0"/>
        <w:spacing w:after="0" w:line="557"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Ulaganja EFRR-a za poboljšanje </w:t>
      </w:r>
      <w:r w:rsidRPr="00576C1D">
        <w:rPr>
          <w:rFonts w:ascii="Times New Roman" w:eastAsia="Times New Roman" w:hAnsi="Times New Roman" w:cs="Times New Roman"/>
          <w:b/>
          <w:color w:val="000000"/>
          <w:sz w:val="24"/>
          <w:szCs w:val="24"/>
          <w:lang w:eastAsia="hr-HR"/>
        </w:rPr>
        <w:t>hitne zdravstvene skrbi</w:t>
      </w:r>
      <w:r w:rsidRPr="00576C1D">
        <w:rPr>
          <w:rFonts w:ascii="Times New Roman" w:eastAsia="Times New Roman" w:hAnsi="Times New Roman" w:cs="Times New Roman"/>
          <w:color w:val="000000"/>
          <w:sz w:val="24"/>
          <w:szCs w:val="24"/>
          <w:lang w:eastAsia="hr-HR"/>
        </w:rPr>
        <w:t xml:space="preserve"> na geografski izoliranim i depriviranim područjima uključivat će sljedeće radnje:</w:t>
      </w:r>
    </w:p>
    <w:p w:rsidR="00FC3F35" w:rsidRPr="00576C1D" w:rsidRDefault="00FC3F35" w:rsidP="00FC3F35">
      <w:pPr>
        <w:widowControl w:val="0"/>
        <w:shd w:val="clear" w:color="auto" w:fill="FFFFFF"/>
        <w:autoSpaceDE w:val="0"/>
        <w:autoSpaceDN w:val="0"/>
        <w:adjustRightInd w:val="0"/>
        <w:spacing w:before="211" w:after="0" w:line="278" w:lineRule="exact"/>
        <w:ind w:left="638" w:right="4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Uspostava pomorske medicinske službe prijevoza kupnjom specijaliziranih brodica s potrebnom opremom i ugovaranjem vezova u lukama. O broju brodica odlučit će se nakon dovršetka studije izvedivosti čija izvedba je planirana za prvu fazu ulaganja</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Korisnici će biti županijski zavodi za hitnu medicinu koji pružaju zdravstvene usluge otocima, te Ministarstvo zdravlja.</w:t>
      </w:r>
    </w:p>
    <w:p w:rsidR="00FC3F35" w:rsidRPr="00576C1D" w:rsidRDefault="00FC3F35" w:rsidP="00FC3F35">
      <w:pPr>
        <w:widowControl w:val="0"/>
        <w:shd w:val="clear" w:color="auto" w:fill="FFFFFF"/>
        <w:autoSpaceDE w:val="0"/>
        <w:autoSpaceDN w:val="0"/>
        <w:adjustRightInd w:val="0"/>
        <w:spacing w:before="278" w:after="0" w:line="274" w:lineRule="exact"/>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Izgradnja i opremanje zajedničkih medicinskih odjela za hitne slučajeve u bolnicama gdje ti odjeli nisu u potpunosti u funkciji. Potrebni radovi i oprema definirat će se prema Pravilniku o minimalnim uvjetima u pogledu prostora, radnika i medicinsko-tehničke opreme za obavljanje zdravstvene djelatnosti (NN  42/2011.). Radovi će u pravilu uključivati izgradnju ili preuređivanje bolničkih prostora, a oprema može uključivati uređaje poput digitalnih rendgenskih uređaja, mobilnih uređaja za ultrazvuk, respiracijske, kardiološke i druge opreme izravno povezane s poboljšanjem učinkovitosti odjela za hitne slučajeve ciljnih bolnica.</w:t>
      </w:r>
    </w:p>
    <w:p w:rsidR="00FC3F35" w:rsidRPr="00576C1D" w:rsidRDefault="00FC3F35" w:rsidP="00FC3F35">
      <w:pPr>
        <w:widowControl w:val="0"/>
        <w:shd w:val="clear" w:color="auto" w:fill="FFFFFF"/>
        <w:autoSpaceDE w:val="0"/>
        <w:autoSpaceDN w:val="0"/>
        <w:adjustRightInd w:val="0"/>
        <w:spacing w:before="274"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Korisnici ove aktivnosti bit će prihvatljive bolnice.</w:t>
      </w:r>
    </w:p>
    <w:p w:rsidR="00FC3F35" w:rsidRPr="00576C1D" w:rsidRDefault="00C244E3" w:rsidP="00FC3F35">
      <w:pPr>
        <w:widowControl w:val="0"/>
        <w:shd w:val="clear" w:color="auto" w:fill="FFFFFF"/>
        <w:autoSpaceDE w:val="0"/>
        <w:autoSpaceDN w:val="0"/>
        <w:adjustRightInd w:val="0"/>
        <w:spacing w:before="278" w:after="1397" w:line="240" w:lineRule="auto"/>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850" o:spid="_x0000_s1184" style="position:absolute;left:0;text-align:left;z-index:251543040;visibility:visible;mso-position-horizontal-relative:margin" from="25.9pt,72.1pt" to="782.4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Paralelnom investicijom u okviru ESF-a osigurat će se raspoloživost odgovarajućeg broja liječnika sa specijalističkim obrazovanjem iz hitne medicine.</w:t>
      </w:r>
    </w:p>
    <w:p w:rsidR="00FC3F35" w:rsidRPr="00576C1D" w:rsidRDefault="00FC3F35" w:rsidP="00FC3F35">
      <w:pPr>
        <w:widowControl w:val="0"/>
        <w:shd w:val="clear" w:color="auto" w:fill="FFFFFF"/>
        <w:autoSpaceDE w:val="0"/>
        <w:autoSpaceDN w:val="0"/>
        <w:adjustRightInd w:val="0"/>
        <w:spacing w:before="278" w:after="1397" w:line="240" w:lineRule="auto"/>
        <w:ind w:left="643"/>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_x0000_s1183" style="position:absolute;z-index:251641344;visibility:visible;mso-position-horizontal-relative:margin" from="101pt,-3.5pt" to="10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JfFAIAACsEAAAOAAAAZHJzL2Uyb0RvYy54bWysU8GO2jAQvVfqP1i+QxJI2R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" o:allowincell="f" strokeweight=".7pt">
            <w10:wrap anchorx="margin"/>
          </v:line>
        </w:pict>
      </w:r>
      <w:r>
        <w:rPr>
          <w:rFonts w:ascii="Times New Roman" w:eastAsia="Times New Roman" w:hAnsi="Times New Roman" w:cs="Times New Roman"/>
          <w:noProof/>
          <w:sz w:val="20"/>
          <w:szCs w:val="20"/>
          <w:lang w:eastAsia="hr-HR"/>
        </w:rPr>
        <w:pict>
          <v:line id="Line 1851" o:spid="_x0000_s1182" style="position:absolute;z-index:251548160;visibility:visible;mso-position-horizontal-relative:margin" from="-6pt,-3.6pt" to="750.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dFg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852" o:spid="_x0000_s1181" style="position:absolute;z-index:251551232;visibility:visible;mso-position-horizontal-relative:margin" from="-5.5pt,-2.65pt" to="-5.5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SE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853" o:spid="_x0000_s1180" style="position:absolute;z-index:251558400;visibility:visible;mso-position-horizontal-relative:margin" from="750.5pt,-2.65pt" to="750.5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cFQIAAC0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" o:allowincell="f" strokeweight=".25pt">
            <w10:wrap anchorx="margin"/>
          </v:line>
        </w:pict>
      </w:r>
    </w:p>
    <w:p w:rsidR="00FC3F35" w:rsidRPr="00576C1D" w:rsidRDefault="00FC3F35" w:rsidP="00FC3F35">
      <w:pPr>
        <w:framePr w:h="211" w:hRule="exact" w:hSpace="38" w:wrap="auto" w:vAnchor="text" w:hAnchor="text" w:x="6" w:y="-37"/>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ind w:left="235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C244E3" w:rsidP="00FC3F35">
      <w:pPr>
        <w:widowControl w:val="0"/>
        <w:shd w:val="clear" w:color="auto" w:fill="FFFFFF"/>
        <w:autoSpaceDE w:val="0"/>
        <w:autoSpaceDN w:val="0"/>
        <w:adjustRightInd w:val="0"/>
        <w:spacing w:before="72"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854" o:spid="_x0000_s1179" style="position:absolute;z-index:251620352;visibility:visible" from="-5.5pt,2.4pt" to="75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xKFgIAAC0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" o:allowincell="f" strokeweight=".7pt"/>
        </w:pict>
      </w:r>
      <w:r w:rsidR="00FC3F35" w:rsidRPr="00576C1D">
        <w:rPr>
          <w:rFonts w:ascii="Times New Roman" w:eastAsia="Times New Roman" w:hAnsi="Times New Roman" w:cs="Times New Roman"/>
          <w:color w:val="000000"/>
          <w:sz w:val="24"/>
          <w:szCs w:val="24"/>
          <w:u w:val="single"/>
          <w:lang w:eastAsia="hr-HR"/>
        </w:rPr>
        <w:t>Unutar SC 9.1.2 mogu se podržati sljedeće aktivnosti:</w:t>
      </w:r>
    </w:p>
    <w:p w:rsidR="00FC3F35" w:rsidRPr="00576C1D" w:rsidRDefault="00FC3F35" w:rsidP="00FC3F35">
      <w:pPr>
        <w:widowControl w:val="0"/>
        <w:shd w:val="clear" w:color="auto" w:fill="FFFFFF"/>
        <w:autoSpaceDE w:val="0"/>
        <w:autoSpaceDN w:val="0"/>
        <w:adjustRightInd w:val="0"/>
        <w:spacing w:before="278"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Aktivnosti kojima se povećava učinkovitost i pristup bolničkoj skrbi za ranjive skupine sastojat će se od nekoliko operacija koje sufinancira EFRR koje se provodi na temelju prijedloga projekata koje pripremaju prihvatljive bolnice i bolnički odjeli koji pružaju skrb isključivo pacijentima iz četiri ciljane skupine. Projekte će ocijeniti Ministarstvo zdravlja na temelju nacionalnog plana</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58" w:after="0" w:line="552" w:lineRule="exact"/>
        <w:ind w:left="10" w:right="2304"/>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Kako bi se uzelo u obzir raznovrsne potrebe zdravstvene skrbi, potpora će se razlikovati vezano uz svaku ciljnu ranjivu skupinu. </w:t>
      </w:r>
    </w:p>
    <w:p w:rsidR="00FC3F35" w:rsidRPr="00576C1D" w:rsidRDefault="00FC3F35" w:rsidP="00FC3F35">
      <w:pPr>
        <w:widowControl w:val="0"/>
        <w:shd w:val="clear" w:color="auto" w:fill="FFFFFF"/>
        <w:autoSpaceDE w:val="0"/>
        <w:autoSpaceDN w:val="0"/>
        <w:adjustRightInd w:val="0"/>
        <w:spacing w:before="58" w:after="0" w:line="552" w:lineRule="exact"/>
        <w:ind w:left="10" w:right="230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u w:val="single"/>
          <w:lang w:eastAsia="hr-HR"/>
        </w:rPr>
        <w:t>Djeca</w:t>
      </w:r>
    </w:p>
    <w:p w:rsidR="00FC3F35" w:rsidRPr="00576C1D" w:rsidRDefault="00FC3F35" w:rsidP="00FC3F35">
      <w:pPr>
        <w:widowControl w:val="0"/>
        <w:shd w:val="clear" w:color="auto" w:fill="FFFFFF"/>
        <w:autoSpaceDE w:val="0"/>
        <w:autoSpaceDN w:val="0"/>
        <w:adjustRightInd w:val="0"/>
        <w:spacing w:before="221" w:after="0" w:line="278"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Usmjeravanje na bolničku skrb djece bit će obavljeno cjelovito i uključivat će brojna ulaganja u bolnice obuhvaćene nacionalnim planom. U planiranim će ulaganjima biti:</w:t>
      </w:r>
    </w:p>
    <w:p w:rsidR="00FC3F35" w:rsidRPr="00576C1D" w:rsidRDefault="00FC3F35" w:rsidP="00FC3F35">
      <w:pPr>
        <w:widowControl w:val="0"/>
        <w:numPr>
          <w:ilvl w:val="0"/>
          <w:numId w:val="2"/>
        </w:numPr>
        <w:shd w:val="clear" w:color="auto" w:fill="FFFFFF"/>
        <w:tabs>
          <w:tab w:val="left" w:pos="720"/>
        </w:tabs>
        <w:autoSpaceDE w:val="0"/>
        <w:autoSpaceDN w:val="0"/>
        <w:adjustRightInd w:val="0"/>
        <w:spacing w:before="278" w:after="0" w:line="274" w:lineRule="exact"/>
        <w:ind w:left="720"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Opća obnova i opremanje jedine klinike specijalizirane za dječje bolesti u okviru nacionalnog plana. Ta bolnica svake godine zaprimi 12.500 djece na bolnički tretman i pruža ambulantne dijagnostičke i terapeutske usluge za 230.000 djece, što je više od četvrtine ukupne populacije hrvatske djece do 18 godina.</w:t>
      </w:r>
    </w:p>
    <w:p w:rsidR="00FC3F35" w:rsidRPr="00576C1D" w:rsidRDefault="00FC3F35" w:rsidP="00FC3F35">
      <w:pPr>
        <w:widowControl w:val="0"/>
        <w:numPr>
          <w:ilvl w:val="0"/>
          <w:numId w:val="2"/>
        </w:numPr>
        <w:shd w:val="clear" w:color="auto" w:fill="FFFFFF"/>
        <w:tabs>
          <w:tab w:val="left" w:pos="720"/>
        </w:tabs>
        <w:autoSpaceDE w:val="0"/>
        <w:autoSpaceDN w:val="0"/>
        <w:adjustRightInd w:val="0"/>
        <w:spacing w:before="120" w:after="0" w:line="274" w:lineRule="exact"/>
        <w:ind w:left="720"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preuređenje i opremanje pedijatrijskih dnevnih bolnica i dnevnih kirurgija u bolnicama u okviru nacionalnog plana. Pedijatrijski pacijenti čine oko 15 % svih pacijenata liječenih u dnevnim bolnicama i dnevnim kirurgijama u Hrvatskoj. Pedijatrija ima veliki potencijal povećanja modalnosti dnevnih bolnica i dnevnih kirurgija, što bi doprinijelo poboljšanom pristupu, kvaliteti i učinkovitosti pedijatrijske skrbi. Ovo je također u skladu s poveljom Europske udruge za djecu u bolnici (EACH) u kojoj je utvrđeno da se djeca trebaju primati u bolnicu samo ako skrb koju trebaju ne može jednako dobro biti pružena kod kuće ili svakodnevno.</w:t>
      </w:r>
    </w:p>
    <w:p w:rsidR="00FC3F35" w:rsidRPr="00576C1D" w:rsidRDefault="00FC3F35" w:rsidP="00FC3F35">
      <w:pPr>
        <w:widowControl w:val="0"/>
        <w:numPr>
          <w:ilvl w:val="0"/>
          <w:numId w:val="2"/>
        </w:numPr>
        <w:shd w:val="clear" w:color="auto" w:fill="FFFFFF"/>
        <w:tabs>
          <w:tab w:val="left" w:pos="720"/>
        </w:tabs>
        <w:autoSpaceDE w:val="0"/>
        <w:autoSpaceDN w:val="0"/>
        <w:adjustRightInd w:val="0"/>
        <w:spacing w:before="120" w:after="0" w:line="274" w:lineRule="exact"/>
        <w:ind w:left="720"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preuređenje pedijatrijskih bolničkih odjela u bolnicama u okviru nacionalnog plana kako bi se roditeljima dozvolilo da borave s djecom pacijentima. Prema povelji EACH-a, djeca u bolnicama bi trebala imati pravo na stalnu prisutnost roditelja ili roditeljskog zamjenika</w:t>
      </w:r>
      <w:r w:rsidRPr="00576C1D">
        <w:rPr>
          <w:rFonts w:ascii="Times New Roman" w:eastAsia="Times New Roman" w:hAnsi="Times New Roman" w:cs="Times New Roman"/>
          <w:color w:val="000000"/>
          <w:sz w:val="24"/>
          <w:szCs w:val="24"/>
          <w:lang w:eastAsia="hr-HR"/>
        </w:rPr>
        <w:t>.</w:t>
      </w:r>
    </w:p>
    <w:p w:rsidR="00FC3F35" w:rsidRPr="00576C1D" w:rsidRDefault="00C244E3" w:rsidP="00FC3F35">
      <w:pPr>
        <w:widowControl w:val="0"/>
        <w:shd w:val="clear" w:color="auto" w:fill="FFFFFF"/>
        <w:autoSpaceDE w:val="0"/>
        <w:autoSpaceDN w:val="0"/>
        <w:adjustRightInd w:val="0"/>
        <w:spacing w:before="53" w:after="826" w:line="557" w:lineRule="exact"/>
        <w:ind w:right="3226"/>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178" style="position:absolute;z-index:251758592;visibility:visible" from="-4.9pt,69pt" to="7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yt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" o:allowincell="f" strokeweight=".7pt"/>
        </w:pict>
      </w:r>
      <w:r w:rsidR="00FC3F35" w:rsidRPr="00576C1D">
        <w:rPr>
          <w:rFonts w:ascii="Times New Roman" w:eastAsia="Times New Roman" w:hAnsi="Times New Roman" w:cs="Times New Roman"/>
          <w:color w:val="000000"/>
          <w:spacing w:val="-1"/>
          <w:sz w:val="24"/>
          <w:szCs w:val="24"/>
          <w:u w:val="single"/>
          <w:lang w:eastAsia="hr-HR"/>
        </w:rPr>
        <w:t xml:space="preserve">Korisnici aktivnosti: </w:t>
      </w:r>
      <w:r w:rsidR="00FC3F35" w:rsidRPr="00576C1D">
        <w:rPr>
          <w:rFonts w:ascii="Times New Roman" w:eastAsia="Times New Roman" w:hAnsi="Times New Roman" w:cs="Times New Roman"/>
          <w:color w:val="000000"/>
          <w:spacing w:val="-1"/>
          <w:sz w:val="24"/>
          <w:szCs w:val="24"/>
          <w:lang w:eastAsia="hr-HR"/>
        </w:rPr>
        <w:t xml:space="preserve">bolnice s pedijatrijskim bolničkim odjelima i/ili dnevne bolnice u okviru Nacionalnog Plana. </w:t>
      </w:r>
      <w:r w:rsidR="00FC3F35" w:rsidRPr="00576C1D">
        <w:rPr>
          <w:rFonts w:ascii="Times New Roman" w:eastAsia="Times New Roman" w:hAnsi="Times New Roman" w:cs="Times New Roman"/>
          <w:color w:val="000000"/>
          <w:sz w:val="24"/>
          <w:szCs w:val="24"/>
          <w:u w:val="single"/>
          <w:lang w:eastAsia="hr-HR"/>
        </w:rPr>
        <w:t>Pacijenti s odjela psihijatrije</w:t>
      </w:r>
    </w:p>
    <w:p w:rsidR="00FC3F35" w:rsidRPr="00576C1D" w:rsidRDefault="00FC3F35" w:rsidP="00FC3F35">
      <w:pPr>
        <w:widowControl w:val="0"/>
        <w:shd w:val="clear" w:color="auto" w:fill="FFFFFF"/>
        <w:autoSpaceDE w:val="0"/>
        <w:autoSpaceDN w:val="0"/>
        <w:adjustRightInd w:val="0"/>
        <w:spacing w:before="53" w:after="826" w:line="557" w:lineRule="exact"/>
        <w:ind w:right="3226"/>
        <w:rPr>
          <w:rFonts w:ascii="Times New Roman" w:eastAsia="Times New Roman" w:hAnsi="Times New Roman" w:cs="Times New Roman"/>
          <w:sz w:val="20"/>
          <w:szCs w:val="20"/>
          <w:lang w:eastAsia="hr-HR"/>
        </w:rPr>
        <w:sectPr w:rsidR="00FC3F35" w:rsidRPr="00576C1D">
          <w:pgSz w:w="16834" w:h="11909" w:orient="landscape"/>
          <w:pgMar w:top="1207" w:right="834" w:bottom="360" w:left="1178"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55" o:spid="_x0000_s1177" style="position:absolute;z-index:251653632;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5D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CKnp5D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856" o:spid="_x0000_s1176" style="position:absolute;z-index:251655680;visibility:visible;mso-position-horizontal-relative:margin" from="-5.75pt,-2.65pt" to="-5.7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Y5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857" o:spid="_x0000_s1175" style="position:absolute;z-index:251657728;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6oFgIAACwEAAAOAAAAZHJzL2Uyb0RvYy54bWysU8GO2jAQvVfqP1i+QxLIsi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858" o:spid="_x0000_s1174" style="position:absolute;z-index:251659776;visibility:visible;mso-position-horizontal-relative:margin" from="750.25pt,-2.65pt" to="750.2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XkFQ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7" w:right="1189" w:bottom="360" w:left="1183" w:header="720" w:footer="720" w:gutter="0"/>
          <w:cols w:num="2" w:space="720" w:equalWidth="0">
            <w:col w:w="1936" w:space="411"/>
            <w:col w:w="12115"/>
          </w:cols>
          <w:noEndnote/>
        </w:sectPr>
      </w:pPr>
    </w:p>
    <w:p w:rsidR="00FC3F35" w:rsidRPr="00576C1D" w:rsidRDefault="00C244E3" w:rsidP="00FC3F35">
      <w:pPr>
        <w:widowControl w:val="0"/>
        <w:shd w:val="clear" w:color="auto" w:fill="FFFFFF"/>
        <w:autoSpaceDE w:val="0"/>
        <w:autoSpaceDN w:val="0"/>
        <w:adjustRightInd w:val="0"/>
        <w:spacing w:before="72" w:after="0" w:line="274" w:lineRule="exact"/>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59" o:spid="_x0000_s1173" style="position:absolute;left:0;text-align:left;z-index:251662848;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" o:allowincell="f" strokeweight=".7pt">
            <w10:wrap anchorx="margin"/>
          </v:line>
        </w:pict>
      </w:r>
      <w:r w:rsidR="00FC3F35" w:rsidRPr="00576C1D">
        <w:rPr>
          <w:rFonts w:ascii="Times New Roman" w:eastAsia="Times New Roman" w:hAnsi="Times New Roman" w:cs="Times New Roman"/>
          <w:color w:val="000000"/>
          <w:spacing w:val="-1"/>
          <w:sz w:val="24"/>
          <w:szCs w:val="24"/>
          <w:lang w:eastAsia="hr-HR"/>
        </w:rPr>
        <w:t>Cilj ulaganja u bolničke kapacitete za pacijente s odjela psihijatrije bit će povećanje učinkovitosti i pristupa odgovarajućoj skrbi preuređenjem i opremanjem psihijatrijskih odjela dnevnih bolnica u bolnicama u okviru nacionalnog plana. Pacijenti na odjelima psihijatrije čine oko 15 % svih pacijenata  liječenih u dnevnim bolnicama i dnevnim kirurgijama u Hrvatskoj. Psihijatrija kao disciplina također ima veliki potencijal povećanja modalnosti dnevnih bolnica i dnevnih kirurgija, što bi doprinijelo poboljšanom pristupu, kvaliteti i učinkovitosti psihijatrijske skrbi</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69" w:after="0" w:line="278" w:lineRule="exact"/>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Skrb za osobe s najtežim duševnim bolestima (pacijenti ocijenjeni opasnima za sebe i druge) poboljšat će se izgradnjom i opremanjem forenzičkih odjela i odjela za psihijatriju s jakim osiguranjem u specijaliziranim bolnicama koje takvim pacijentima pružaju skrb</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Konačno, pružit će se potpora izgradnji i opremanju psihijatrijskih odjela za akutne pacijente gdje je to potrebno, u skladu s normama utvrđenima u Pravilniku o minimalnim uvjetima u pogledu prostora, radnika i medicinsko-tehničke opreme za obavljanje zdravstvene djelatnosti (NN 061/2011.). </w:t>
      </w:r>
      <w:r w:rsidRPr="00576C1D">
        <w:rPr>
          <w:rFonts w:ascii="Times New Roman" w:eastAsia="Times New Roman" w:hAnsi="Times New Roman" w:cs="Times New Roman"/>
          <w:color w:val="000000"/>
          <w:sz w:val="24"/>
          <w:szCs w:val="24"/>
          <w:u w:val="single"/>
          <w:lang w:eastAsia="hr-HR"/>
        </w:rPr>
        <w:t>Korisnici ove aktivnosti</w:t>
      </w:r>
      <w:r w:rsidRPr="00576C1D">
        <w:rPr>
          <w:rFonts w:ascii="Times New Roman" w:eastAsia="Times New Roman" w:hAnsi="Times New Roman" w:cs="Times New Roman"/>
          <w:color w:val="000000"/>
          <w:sz w:val="24"/>
          <w:szCs w:val="24"/>
          <w:lang w:eastAsia="hr-HR"/>
        </w:rPr>
        <w:t>: forenzički odjeli i odjeli za psihijatriju s jakim osiguranjem u specijaliziranim bolnicama i bolnicama s psihijatrijskim odjelima za akutne pacijente i/ili dnevne bolnice, u okviru nacionalnog plana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u w:val="single"/>
          <w:lang w:eastAsia="hr-HR"/>
        </w:rPr>
        <w:t>Pacijenti na samrti</w:t>
      </w:r>
    </w:p>
    <w:p w:rsidR="00FC3F35" w:rsidRPr="00576C1D" w:rsidRDefault="00FC3F35" w:rsidP="00FC3F35">
      <w:pPr>
        <w:widowControl w:val="0"/>
        <w:shd w:val="clear" w:color="auto" w:fill="FFFFFF"/>
        <w:autoSpaceDE w:val="0"/>
        <w:autoSpaceDN w:val="0"/>
        <w:adjustRightInd w:val="0"/>
        <w:spacing w:before="278"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Sustavni razvoj palijativne skrbi, tj. skrb za pacijente na samrti, započeo je tek nedavno, usvajanjem strateškog plana za razvoj palijativne skrbi u Republici Hrvatskoj za razdoblje 2014. - 2016. Ovaj strateški plan stavlja naglasak na razvoj palijativne skrbi na razini zajednice, ali uvažava potrebu za bolničkim kapacitetima palijativne skrbi, budući da više od 20 % oboljelih od raka i 5 % oboljelih od drugih bolesti treba specijalističku palijativnu skrb tijekom posljednje godine života. Ovo je značajan problem u Hrvatskoj jer je rak u Hrvatskoj drugi najčešći uzrok smrti: svaki četvrti državljanin Hrvatske umre od raka i godišnje od raka umre skoro 14,000 ljudi. Ulaganjima EFRR-a pružit će se infrastrukturalna osnova takve skrbi, preuređenjem i opremanjem odjela za palijativnu skrb u hrvatskim bolnicama u okviru nacionalnog plana, u skladu s normama danima u Pravilniku o minimalnim uvjetima u pogledu prostora, radnika i medicinsko-tehničke opreme za obavljanje zdravstvene djelatnosti (NN 061/2011.).</w:t>
      </w:r>
    </w:p>
    <w:p w:rsidR="00FC3F35" w:rsidRPr="00576C1D" w:rsidRDefault="00FC3F35" w:rsidP="00FC3F35">
      <w:pPr>
        <w:widowControl w:val="0"/>
        <w:shd w:val="clear" w:color="auto" w:fill="FFFFFF"/>
        <w:autoSpaceDE w:val="0"/>
        <w:autoSpaceDN w:val="0"/>
        <w:adjustRightInd w:val="0"/>
        <w:spacing w:before="53" w:after="0" w:line="557" w:lineRule="exact"/>
        <w:ind w:left="638" w:right="5069"/>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Korisnici aktivnosti: prihvatljive bolnice s odjelima palijativne skrbi, u okviru nacionalnog plana. </w:t>
      </w:r>
      <w:r w:rsidRPr="00576C1D">
        <w:rPr>
          <w:rFonts w:ascii="Times New Roman" w:eastAsia="Times New Roman" w:hAnsi="Times New Roman" w:cs="Times New Roman"/>
          <w:color w:val="000000"/>
          <w:spacing w:val="-1"/>
          <w:sz w:val="24"/>
          <w:szCs w:val="24"/>
          <w:lang w:eastAsia="hr-HR"/>
        </w:rPr>
        <w:br/>
      </w:r>
      <w:r w:rsidRPr="00576C1D">
        <w:rPr>
          <w:rFonts w:ascii="Times New Roman" w:eastAsia="Times New Roman" w:hAnsi="Times New Roman" w:cs="Times New Roman"/>
          <w:color w:val="000000"/>
          <w:sz w:val="24"/>
          <w:szCs w:val="24"/>
          <w:u w:val="single"/>
          <w:lang w:eastAsia="hr-HR"/>
        </w:rPr>
        <w:t>Pacijenti s ozljedom kralježnice</w:t>
      </w:r>
    </w:p>
    <w:p w:rsidR="00FC3F35" w:rsidRPr="00576C1D" w:rsidRDefault="00C244E3" w:rsidP="00FC3F35">
      <w:pPr>
        <w:widowControl w:val="0"/>
        <w:shd w:val="clear" w:color="auto" w:fill="FFFFFF"/>
        <w:autoSpaceDE w:val="0"/>
        <w:autoSpaceDN w:val="0"/>
        <w:adjustRightInd w:val="0"/>
        <w:spacing w:before="211" w:after="571" w:line="278" w:lineRule="exact"/>
        <w:ind w:left="64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860" o:spid="_x0000_s1172" style="position:absolute;left:0;text-align:left;z-index:251664896;visibility:visible;mso-position-horizontal-relative:margin" from="25.9pt,41.65pt" to="782.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" o:allowincell="f" strokeweight=".7pt">
            <w10:wrap anchorx="margin"/>
          </v:line>
        </w:pict>
      </w:r>
      <w:r w:rsidR="00FC3F35" w:rsidRPr="00576C1D">
        <w:rPr>
          <w:rFonts w:ascii="Times New Roman" w:eastAsia="Times New Roman" w:hAnsi="Times New Roman" w:cs="Times New Roman"/>
          <w:color w:val="000000"/>
          <w:spacing w:val="-1"/>
          <w:sz w:val="24"/>
          <w:szCs w:val="24"/>
          <w:lang w:eastAsia="hr-HR"/>
        </w:rPr>
        <w:t>Pacijenti s ozljedom kralježnice i posljedičnom paralizom imaju najteži fizički invaliditet i iako postoji više od 700 takvih pacijenata u Hrvatskoj, ne postoji primjereno opremljen centar za njihovo liječenje i rehabilitaciju. Ulaganjima EFRR-a pružit će se infrastrukturalna osnova poboljšane skrbi za takve</w:t>
      </w:r>
    </w:p>
    <w:p w:rsidR="00FC3F35" w:rsidRPr="00576C1D" w:rsidRDefault="00FC3F35" w:rsidP="00FC3F35">
      <w:pPr>
        <w:widowControl w:val="0"/>
        <w:shd w:val="clear" w:color="auto" w:fill="FFFFFF"/>
        <w:autoSpaceDE w:val="0"/>
        <w:autoSpaceDN w:val="0"/>
        <w:adjustRightInd w:val="0"/>
        <w:spacing w:before="211" w:after="571" w:line="278" w:lineRule="exact"/>
        <w:ind w:left="648"/>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r w:rsidRPr="00576C1D">
        <w:rPr>
          <w:rFonts w:ascii="Times New Roman" w:eastAsia="Times New Roman" w:hAnsi="Times New Roman" w:cs="Times New Roman"/>
          <w:sz w:val="20"/>
          <w:szCs w:val="20"/>
          <w:lang w:eastAsia="hr-HR"/>
        </w:rPr>
        <w:br w:type="column"/>
      </w: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61" o:spid="_x0000_s1171" style="position:absolute;z-index:251666944;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2UFgIAAC0EAAAOAAAAZHJzL2Uyb0RvYy54bWysU8uu2jAQ3VfqP1jeQxLITSE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tBJNlB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862" o:spid="_x0000_s1170" style="position:absolute;z-index:251670016;visibility:visible;mso-position-horizontal-relative:margin" from="-5.75pt,-2.65pt" to="-5.7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Tm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863" o:spid="_x0000_s1169" style="position:absolute;z-index:251671040;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DSIUr6FQIAACwEAAAOAAAAAAAAAAAAAAAAAC4CAABkcnMvZTJvRG9jLnhtbFBLAQItABQABgAI&#10;AAAAIQA5N2s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864" o:spid="_x0000_s1168" style="position:absolute;z-index:251674112;visibility:visible;mso-position-horizontal-relative:margin" from="750.25pt,-2.65pt" to="750.25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3/8Fg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188" w:right="1131" w:bottom="360" w:left="1241" w:header="720" w:footer="720" w:gutter="0"/>
          <w:cols w:num="2" w:space="720" w:equalWidth="0">
            <w:col w:w="2161" w:space="186"/>
            <w:col w:w="12115"/>
          </w:cols>
          <w:noEndnote/>
        </w:sectPr>
      </w:pPr>
    </w:p>
    <w:p w:rsidR="00FC3F35" w:rsidRPr="00576C1D" w:rsidRDefault="00C244E3" w:rsidP="00FC3F35">
      <w:pPr>
        <w:widowControl w:val="0"/>
        <w:shd w:val="clear" w:color="auto" w:fill="FFFFFF"/>
        <w:autoSpaceDE w:val="0"/>
        <w:autoSpaceDN w:val="0"/>
        <w:adjustRightInd w:val="0"/>
        <w:spacing w:before="67" w:after="0" w:line="278" w:lineRule="exact"/>
        <w:ind w:left="65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65" o:spid="_x0000_s1167" style="position:absolute;left:0;text-align:left;z-index:251676160;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" o:allowincell="f" strokeweight=".7pt">
            <w10:wrap anchorx="margin"/>
          </v:line>
        </w:pict>
      </w:r>
      <w:r w:rsidR="00FC3F35" w:rsidRPr="00576C1D">
        <w:rPr>
          <w:rFonts w:ascii="Times New Roman" w:eastAsia="Times New Roman" w:hAnsi="Times New Roman" w:cs="Times New Roman"/>
          <w:color w:val="000000"/>
          <w:spacing w:val="-1"/>
          <w:sz w:val="24"/>
          <w:szCs w:val="24"/>
          <w:lang w:eastAsia="hr-HR"/>
        </w:rPr>
        <w:t>pacijente izgradnjom i opremanjem novog centra za cjelovito liječenje i rehabilitaciju pacijenata s teškim ozljedama kralježnice u bolnici koja pokaže najviše potencijala za profiliranje u nacionalni referalni centar</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48" w:after="0" w:line="557" w:lineRule="exact"/>
        <w:ind w:left="638" w:right="706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Korisnici aktivnosti: Bolnica u ulozi nacionalnog referalnog centra.</w:t>
      </w:r>
      <w:r w:rsidRPr="00576C1D">
        <w:rPr>
          <w:rFonts w:ascii="Times New Roman" w:eastAsia="Times New Roman" w:hAnsi="Times New Roman" w:cs="Times New Roman"/>
          <w:color w:val="000000"/>
          <w:spacing w:val="-1"/>
          <w:sz w:val="24"/>
          <w:szCs w:val="24"/>
          <w:lang w:eastAsia="hr-HR"/>
        </w:rPr>
        <w:br/>
      </w:r>
      <w:r w:rsidRPr="00576C1D">
        <w:rPr>
          <w:rFonts w:ascii="Times New Roman" w:eastAsia="Times New Roman" w:hAnsi="Times New Roman" w:cs="Times New Roman"/>
          <w:color w:val="000000"/>
          <w:sz w:val="24"/>
          <w:szCs w:val="24"/>
          <w:u w:val="single"/>
          <w:lang w:eastAsia="hr-HR"/>
        </w:rPr>
        <w:t>Dnevne bolnice (uključujući dnevne kirurgije)</w:t>
      </w:r>
    </w:p>
    <w:p w:rsidR="00FC3F35" w:rsidRPr="00576C1D" w:rsidRDefault="00FC3F35" w:rsidP="00FC3F35">
      <w:pPr>
        <w:widowControl w:val="0"/>
        <w:shd w:val="clear" w:color="auto" w:fill="FFFFFF"/>
        <w:autoSpaceDE w:val="0"/>
        <w:autoSpaceDN w:val="0"/>
        <w:adjustRightInd w:val="0"/>
        <w:spacing w:before="221"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Osim aktivnosti usmjerenih posebice na ranjive skupine, značajna poboljšanja u pristupu zdravstvenoj skrbi i kvaliteti liječenja za ranjive skupine mogu se postići uspostavom dnevnih bolnica i dnevnih kirurgija. Uspostava dnevnih bolnica i dnevnih kirurgija također će imati značajan utjecaj na sveukupnu učinkovitost zdravstvenog sustava smanjenjem trenutnih neodrživo velikih troškova za liječenje pacijenata na bolničkim odjelima za akutnu skrb umjesto u dnevnim bolnicama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274"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Ulaganjima EFRR-a pružit će se infrastrukturalna osnova takve skrbi, preuređenjem i opremanjem odjela dnevnih bolnica i dnevnih kirurgija u hrvatskim bolnicama obuhvaćenim nacionalnim planom. Podržane aktivnosti uključivat će rekonstrukciju i renovaciju za bolji protok pacijenata i bolju sigurnost te kupnju opreme (uključujući ICT) posebno namijenjene za dnevni boravak i dnevnu kirurgiju. Povezane aktivnosti ESF-a uključivat će obrazovanje osoblja za postupke dnevne kirurgije, razvoj SOP-ova (standardnih operativnih postupaka), praćenje sigurne primjene lijekova, procjenu rizika, organizaciju prijmova i otpusta pacijenata usklađeno s primarnom skrbi i skrbi u zajednici. Korisnici aktivnosti: prihvatljive bolnice unutar okvira nacionalnog plana.</w:t>
      </w:r>
    </w:p>
    <w:p w:rsidR="00FC3F35" w:rsidRPr="00576C1D" w:rsidRDefault="00FC3F35" w:rsidP="00FC3F35">
      <w:pPr>
        <w:widowControl w:val="0"/>
        <w:shd w:val="clear" w:color="auto" w:fill="FFFFFF"/>
        <w:autoSpaceDE w:val="0"/>
        <w:autoSpaceDN w:val="0"/>
        <w:adjustRightInd w:val="0"/>
        <w:spacing w:before="278"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Aktivnosti koje sufinancira EFRR moraju biti usklađene s aktivnostima sufinanciranima unutar ESF-a (9.7.1).</w:t>
      </w:r>
    </w:p>
    <w:p w:rsidR="00FC3F35" w:rsidRPr="00576C1D" w:rsidRDefault="00FC3F35" w:rsidP="00FC3F35">
      <w:pPr>
        <w:widowControl w:val="0"/>
        <w:shd w:val="clear" w:color="auto" w:fill="FFFFFF"/>
        <w:autoSpaceDE w:val="0"/>
        <w:autoSpaceDN w:val="0"/>
        <w:adjustRightInd w:val="0"/>
        <w:spacing w:before="835"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u w:val="single"/>
          <w:lang w:eastAsia="hr-HR"/>
        </w:rPr>
        <w:t>Unutar 9.1.3 mogu se podržati sljedeće aktivnosti</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1.       DEINSTITUCIONALIZACIJA: tijekom prve faze financirat će se infrastrukturna ulaganja potrebna za deinstitucionalizaciju 31 institucije uključene u detaljni i već pripremljeni Operativni plan priložen Planu deinstitucionalizacije, uz mogućnost potpore dodatnim institucijama koje će biti transformirane u drugom dijelu financijske perspektive na temelju ovih iskustava. Indikativni popis uključuje</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tabs>
          <w:tab w:val="left" w:leader="underscore" w:pos="15494"/>
        </w:tabs>
        <w:autoSpaceDE w:val="0"/>
        <w:autoSpaceDN w:val="0"/>
        <w:adjustRightInd w:val="0"/>
        <w:spacing w:before="278" w:after="0" w:line="240" w:lineRule="auto"/>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poboljšanje infrastrukture domova socijalne skrbi, centara za socijalnu skrb i drugih pružatelja socijalnih usluga poput NVO-ova (gdje nadopunjuju</w:t>
      </w:r>
    </w:p>
    <w:p w:rsidR="00FC3F35" w:rsidRPr="00576C1D" w:rsidRDefault="00C244E3" w:rsidP="00FC3F35">
      <w:pPr>
        <w:widowControl w:val="0"/>
        <w:shd w:val="clear" w:color="auto" w:fill="FFFFFF"/>
        <w:tabs>
          <w:tab w:val="left" w:pos="7642"/>
          <w:tab w:val="left" w:pos="15034"/>
        </w:tabs>
        <w:autoSpaceDE w:val="0"/>
        <w:autoSpaceDN w:val="0"/>
        <w:adjustRightInd w:val="0"/>
        <w:spacing w:before="557"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pacing w:val="-1"/>
          <w:sz w:val="24"/>
          <w:szCs w:val="24"/>
          <w:lang w:eastAsia="hr-HR"/>
        </w:rPr>
        <w:pict>
          <v:line id="Line 1942" o:spid="_x0000_s1166" style="position:absolute;z-index:251766272;visibility:visible;mso-position-horizontal-relative:margin" from="26.4pt,2.6pt" to="782.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Z0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" o:allowincell="f" strokeweight=".25pt">
            <w10:wrap anchorx="margin"/>
          </v:line>
        </w:pict>
      </w:r>
      <w:r w:rsidR="00FC3F35" w:rsidRPr="00576C1D">
        <w:rPr>
          <w:rFonts w:ascii="Times New Roman" w:eastAsia="Times New Roman" w:hAnsi="Times New Roman" w:cs="Times New Roman"/>
          <w:color w:val="000000"/>
          <w:sz w:val="38"/>
          <w:szCs w:val="38"/>
          <w:lang w:eastAsia="hr-HR"/>
        </w:rPr>
        <w:tab/>
      </w:r>
      <w:r w:rsidR="00FC3F35" w:rsidRPr="00576C1D">
        <w:rPr>
          <w:rFonts w:ascii="Times New Roman" w:eastAsia="Times New Roman" w:hAnsi="Times New Roman" w:cs="Times New Roman"/>
          <w:color w:val="000000"/>
          <w:sz w:val="38"/>
          <w:szCs w:val="38"/>
          <w:lang w:eastAsia="hr-HR"/>
        </w:rPr>
        <w:tab/>
      </w:r>
    </w:p>
    <w:p w:rsidR="00FC3F35" w:rsidRPr="00576C1D" w:rsidRDefault="00FC3F35" w:rsidP="00FC3F35">
      <w:pPr>
        <w:widowControl w:val="0"/>
        <w:shd w:val="clear" w:color="auto" w:fill="FFFFFF"/>
        <w:tabs>
          <w:tab w:val="left" w:pos="7642"/>
          <w:tab w:val="left" w:pos="15034"/>
        </w:tabs>
        <w:autoSpaceDE w:val="0"/>
        <w:autoSpaceDN w:val="0"/>
        <w:adjustRightInd w:val="0"/>
        <w:spacing w:before="557"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88" w:right="598" w:bottom="360" w:left="59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66" o:spid="_x0000_s1165" style="position:absolute;z-index:25167820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6FQIAAC0EAAAOAAAAZHJzL2Uyb0RvYy54bWysU8GO2jAQvVfqP1i+QxLIp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Avp/p6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867" o:spid="_x0000_s1164" style="position:absolute;z-index:251680256;visibility:visible;mso-position-horizontal-relative:margin" from="-5.75pt,-2.65pt" to="-5.7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868" o:spid="_x0000_s1163" style="position:absolute;z-index:251682304;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pFQIAACwEAAAOAAAAZHJzL2Uyb0RvYy54bWysU8GO2jAQvVfqP1i+QxJIaY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Bc/A4pFQIAACwEAAAOAAAAAAAAAAAAAAAAAC4CAABkcnMvZTJvRG9jLnhtbFBLAQItABQABgAI&#10;AAAAIQA5N2s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869" o:spid="_x0000_s1162" style="position:absolute;z-index:251683328;visibility:visible;mso-position-horizontal-relative:margin" from="750.25pt,-2.65pt" to="750.2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7" w:right="1189" w:bottom="360" w:left="1183" w:header="720" w:footer="720" w:gutter="0"/>
          <w:cols w:num="2" w:space="720" w:equalWidth="0">
            <w:col w:w="1936" w:space="411"/>
            <w:col w:w="12115"/>
          </w:cols>
          <w:noEndnote/>
        </w:sectPr>
      </w:pPr>
    </w:p>
    <w:p w:rsidR="00FC3F35" w:rsidRPr="00576C1D" w:rsidRDefault="00C244E3" w:rsidP="00806CB9">
      <w:pPr>
        <w:widowControl w:val="0"/>
        <w:shd w:val="clear" w:color="auto" w:fill="FFFFFF"/>
        <w:autoSpaceDE w:val="0"/>
        <w:autoSpaceDN w:val="0"/>
        <w:adjustRightInd w:val="0"/>
        <w:spacing w:before="72" w:after="0" w:line="274" w:lineRule="exact"/>
        <w:ind w:left="6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70" o:spid="_x0000_s1161" style="position:absolute;left:0;text-align:left;z-index:251559424;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potrebu za postupkom deinstitucionalizacije institucija) vezano za kvalitetu usluga i prilagodbu infrastrukture u svrhu pružanja socijalnih usluga u zajednici, podržavanje procesa deinstitucionalizacije, usmjeravanje na osobe s invaliditetom, djecu i mlade s poremećajima u ponašanju i djecu i mlade bez odgovarajuće roditeljske skrbi (npr. preuređenje prostora vezanih za organizirano stanovanje, dnevne boravke, radne centre, preuređenje prostora centara za socijalnu skrb, opremanje novih prostora IT opremom, namještajem i drugom specijaliziranom opremom potrebnom za osobe s invaliditetom, kupnju vozila kao potpore radu mobilnih timova koji pružaju izvaninstitucionalonu skrb i pomoć i njegu u kući.</w:t>
      </w:r>
      <w:r w:rsidR="00FC3F35" w:rsidRPr="00576C1D">
        <w:rPr>
          <w:rFonts w:ascii="Times New Roman" w:eastAsia="Times New Roman" w:hAnsi="Times New Roman" w:cs="Times New Roman"/>
          <w:color w:val="000000"/>
          <w:spacing w:val="-1"/>
          <w:sz w:val="24"/>
          <w:szCs w:val="24"/>
          <w:lang w:eastAsia="hr-HR"/>
        </w:rPr>
        <w:t>Postupkomdeinstitucionalizacije trenutne institucije za dugotrajni smještaj postaju centri za pružanje usluga uzajednici (bez dugotrajnog smještaja) ili domovi za intenzivnu i dugotrajnu skrb. Nadalje, institucije koje su u potpunosti izolirane, imaju neadekvatne infrastrukturne uvjete i nemaju stručnog osoblja bit će u potpunosti zatvorene i korisnici će biti preusmjereni drugim pružateljima socijalnih usluga</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4"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Ulaganjima EFRR-a podržat će se samo deinstitucionalizacija i transformacija institucija koje će u potpunosti ili djelomično (npr. ako institucija ima 2 podružnice, u skladu s potrebama korisnika jedna podružnica može se transformirati u centar za pružanje samo usluga u zajednici (i to će biti podržano EFRR-om) a druga će biti samo za dugotrajni smještaj (neće biti podržano EFRR-om)) biti transformirani u centre za pružanje usluga u zajednici.</w:t>
      </w:r>
    </w:p>
    <w:p w:rsidR="00FC3F35" w:rsidRPr="00576C1D" w:rsidRDefault="00FC3F35" w:rsidP="00FC3F35">
      <w:pPr>
        <w:widowControl w:val="0"/>
        <w:shd w:val="clear" w:color="auto" w:fill="FFFFFF"/>
        <w:autoSpaceDE w:val="0"/>
        <w:autoSpaceDN w:val="0"/>
        <w:adjustRightInd w:val="0"/>
        <w:spacing w:before="278"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Ovo znači da će fokus ulaganja EFRR-a biti na institucijama koje imaju odgovarajuće stručno osoblje, nalaze se u zajednicama, zatvaraju kapacitete za dugotrajni smještaj i pretvaraju se u centre za pružanje usluga u zajednici, poput dnevnih boravaka, pomoći i njege u kući, organiziranog stanovanja (sa i bez 24-satne potpore u stanovima) itd., koje nedostaju u zajednici i potrebne su u skladu s procesom deinstitucionalizacije.</w:t>
      </w:r>
    </w:p>
    <w:p w:rsidR="00FC3F35" w:rsidRPr="00576C1D" w:rsidRDefault="00FC3F35" w:rsidP="00FC3F35">
      <w:pPr>
        <w:widowControl w:val="0"/>
        <w:shd w:val="clear" w:color="auto" w:fill="FFFFFF"/>
        <w:autoSpaceDE w:val="0"/>
        <w:autoSpaceDN w:val="0"/>
        <w:adjustRightInd w:val="0"/>
        <w:spacing w:before="274"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2.       POBOLJŠANA RASPOLOŽIVOST USLUGA U ZAJEDNICI:</w:t>
      </w:r>
    </w:p>
    <w:p w:rsidR="00FC3F35" w:rsidRPr="00576C1D" w:rsidRDefault="00FC3F35" w:rsidP="00FC3F35">
      <w:pPr>
        <w:widowControl w:val="0"/>
        <w:shd w:val="clear" w:color="auto" w:fill="FFFFFF"/>
        <w:autoSpaceDE w:val="0"/>
        <w:autoSpaceDN w:val="0"/>
        <w:adjustRightInd w:val="0"/>
        <w:spacing w:before="283"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Indikativni popis aktivnosti uključuje:</w:t>
      </w:r>
    </w:p>
    <w:p w:rsidR="00FC3F35" w:rsidRPr="00576C1D" w:rsidRDefault="00FC3F35" w:rsidP="00FC3F35">
      <w:pPr>
        <w:widowControl w:val="0"/>
        <w:numPr>
          <w:ilvl w:val="0"/>
          <w:numId w:val="14"/>
        </w:numPr>
        <w:shd w:val="clear" w:color="auto" w:fill="FFFFFF"/>
        <w:tabs>
          <w:tab w:val="left" w:pos="1276"/>
        </w:tabs>
        <w:autoSpaceDE w:val="0"/>
        <w:autoSpaceDN w:val="0"/>
        <w:adjustRightInd w:val="0"/>
        <w:spacing w:before="269" w:after="0" w:line="278" w:lineRule="exact"/>
        <w:ind w:left="1363" w:right="442" w:hanging="370"/>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investicije za izgradnju/rekonstrukciju infrastrukture osobito u skrbi za starije osobe i obnovu i preuređenjesocijalne/javne infrastrukture (npr. poboljšanom infrastrukturom domova za starije osobe s ciljem podizanja kvalitete izvaninstitucionalnih i institucionalnih usluga  - preuređenja, rekonstrukcije, izgradnje domova za starije osobe, opremanje p</w:t>
      </w:r>
      <w:r w:rsidR="009403E2" w:rsidRPr="00576C1D">
        <w:rPr>
          <w:rFonts w:ascii="Times New Roman" w:eastAsia="Times New Roman" w:hAnsi="Times New Roman" w:cs="Times New Roman"/>
          <w:color w:val="000000"/>
          <w:sz w:val="24"/>
          <w:szCs w:val="24"/>
          <w:lang w:eastAsia="hr-HR"/>
        </w:rPr>
        <w:t>r</w:t>
      </w:r>
      <w:r w:rsidRPr="00576C1D">
        <w:rPr>
          <w:rFonts w:ascii="Times New Roman" w:eastAsia="Times New Roman" w:hAnsi="Times New Roman" w:cs="Times New Roman"/>
          <w:color w:val="000000"/>
          <w:sz w:val="24"/>
          <w:szCs w:val="24"/>
          <w:lang w:eastAsia="hr-HR"/>
        </w:rPr>
        <w:t>ostora, kupnja vozila...);</w:t>
      </w:r>
    </w:p>
    <w:p w:rsidR="00FC3F35" w:rsidRPr="00576C1D" w:rsidRDefault="00FC3F35" w:rsidP="00FC3F35">
      <w:pPr>
        <w:widowControl w:val="0"/>
        <w:numPr>
          <w:ilvl w:val="0"/>
          <w:numId w:val="14"/>
        </w:numPr>
        <w:shd w:val="clear" w:color="auto" w:fill="FFFFFF"/>
        <w:tabs>
          <w:tab w:val="left" w:pos="1276"/>
        </w:tabs>
        <w:autoSpaceDE w:val="0"/>
        <w:autoSpaceDN w:val="0"/>
        <w:adjustRightInd w:val="0"/>
        <w:spacing w:before="120" w:after="100" w:afterAutospacing="1" w:line="240" w:lineRule="auto"/>
        <w:ind w:left="1363" w:hanging="370"/>
        <w:rPr>
          <w:rFonts w:ascii="Times New Roman" w:eastAsia="Times New Roman" w:hAnsi="Times New Roman" w:cs="Times New Roman"/>
          <w:color w:val="000000"/>
          <w:sz w:val="24"/>
          <w:szCs w:val="24"/>
          <w:lang w:eastAsia="hr-HR"/>
        </w:rPr>
        <w:sectPr w:rsidR="00FC3F35" w:rsidRPr="00576C1D" w:rsidSect="00FC3F35">
          <w:type w:val="continuous"/>
          <w:pgSz w:w="16834" w:h="11909" w:orient="landscape"/>
          <w:pgMar w:top="1207" w:right="674" w:bottom="360" w:left="540" w:header="720" w:footer="720" w:gutter="0"/>
          <w:cols w:space="60"/>
          <w:noEndnote/>
        </w:sectPr>
      </w:pPr>
      <w:r w:rsidRPr="00576C1D">
        <w:rPr>
          <w:rFonts w:ascii="Times New Roman" w:eastAsia="Times New Roman" w:hAnsi="Times New Roman" w:cs="Times New Roman"/>
          <w:color w:val="000000"/>
          <w:sz w:val="24"/>
          <w:szCs w:val="24"/>
          <w:lang w:eastAsia="hr-HR"/>
        </w:rPr>
        <w:t>Infrastrukturno poboljšanjeprihvatilišta za beskućnike i dnevnih centara za beskućnike (npr. preuređenje i dogradnja postojećih prihvatilišta, preuređenje prostora u svrhu pružanja izvaninstitucionalnih usluga, npr. dnevnih centara, te kupnja opreme);</w:t>
      </w: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71" o:spid="_x0000_s1160" style="position:absolute;z-index:251684352;visibility:visible;mso-position-horizontal-relative:margin" from="26.4pt,16.6pt" to="782.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72" o:spid="_x0000_s1159" style="position:absolute;z-index:251686400;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OsFgIAAC0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cH8jrB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873" o:spid="_x0000_s1158" style="position:absolute;z-index:251688448;visibility:visible;mso-position-horizontal-relative:margin" from="-5.75pt,-2.65pt" to="-5.75pt,4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874" o:spid="_x0000_s1157" style="position:absolute;z-index:251690496;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qpFQIAACwEAAAOAAAAZHJzL2Uyb0RvYy54bWysU8GO2jAQvVfqP1i+QxJI2R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CHh5qpFQIAACwEAAAOAAAAAAAAAAAAAAAAAC4CAABkcnMvZTJvRG9jLnhtbFBLAQItABQABgAI&#10;AAAAIQA5N2s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875" o:spid="_x0000_s1156" style="position:absolute;z-index:251691520;visibility:visible;mso-position-horizontal-relative:margin" from="750.25pt,-2.65pt" to="750.25pt,4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5" w:right="1189" w:bottom="360" w:left="1183" w:header="720" w:footer="720" w:gutter="0"/>
          <w:cols w:num="2" w:space="720" w:equalWidth="0">
            <w:col w:w="1936" w:space="411"/>
            <w:col w:w="12115"/>
          </w:cols>
          <w:noEndnote/>
        </w:sectPr>
      </w:pPr>
    </w:p>
    <w:p w:rsidR="00FC3F35" w:rsidRPr="00576C1D" w:rsidRDefault="00C244E3" w:rsidP="00FC3F35">
      <w:pPr>
        <w:widowControl w:val="0"/>
        <w:shd w:val="clear" w:color="auto" w:fill="FFFFFF"/>
        <w:autoSpaceDE w:val="0"/>
        <w:autoSpaceDN w:val="0"/>
        <w:adjustRightInd w:val="0"/>
        <w:spacing w:before="72" w:after="0" w:line="240" w:lineRule="auto"/>
        <w:ind w:left="136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76" o:spid="_x0000_s1155" style="position:absolute;left:0;text-align:left;z-index:251693568;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eWFgIAAC0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Ove aktivnost EFRR-a bit će popraćene aktivnostima ESF-a, usmjerenim na poboljšanje pristupa socijalnim uslugama u zajednici te razvoj i proširenje mreže usluga u zajednici kako bi se omogućila održivost procesa deinstitucionalizacije (npr. usluge osobne asistencije, centri za dnevni boravak, klubovi i mobilni timovi za osobe s invaliditetom, djecu i mlade s poremećajima u ponašanju ili bez odgovarajuće roditeljske skrbi, razvoj usluga podrške vezano za organizirano stanovanje, jačanje obiteljske reintegracije, razvoj dnevnih rehabilitacijskih programa za deinstitucionalizirane korisnike, razvoj metodologije i procesa transformacije i  deinstitucionalizacije, usluge savjetovanja i pomaganja obiteljima, pojedinačno i grupno savjetovanje s roditeljima i skrbnicima, savjetodavne usluge i pomaganje djeci i mladima nakon napuštanja institucionalne skrbi, unaprjeđenje kapaciteta vezano za nove vrste usluga...).</w:t>
      </w:r>
    </w:p>
    <w:p w:rsidR="00FC3F35" w:rsidRPr="00576C1D" w:rsidRDefault="00FC3F35" w:rsidP="00FC3F35">
      <w:pPr>
        <w:widowControl w:val="0"/>
        <w:shd w:val="clear" w:color="auto" w:fill="FFFFFF"/>
        <w:autoSpaceDE w:val="0"/>
        <w:autoSpaceDN w:val="0"/>
        <w:adjustRightInd w:val="0"/>
        <w:spacing w:before="278" w:after="0" w:line="274" w:lineRule="exact"/>
        <w:ind w:left="1368" w:right="461" w:hanging="33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rekonstrukcija i adaptacija postojeće infrastrukture, uz  izgradnju nove u iznimnim slučajevima i kupnja opreme u svrhu uspostave mreže Veteranskih centara, u skladu s mapiranjem potreba braniteljske i stradalničke populacije koja ćeomogućiti provedbu prilagođenih psihosocijalnih programa.</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xml:space="preserve">Treba napomenuti da se ova aktivnost temelji na mapiranju Republike Hrvatske koje je napravljeno u sklopu znanstvene studije izrađene 2014. godine. Metodologija identificiranja mogućih lokacija uključivala je opće mapiranje sukladno identificiranim potrebama ciljane populacije, a  temeljem podataka iz službenih evidencija koju vode tijela državne uprave. U mapiranje su uključeni i dodatni kriteriji odabira poput indeksa razvijenosti određene lokacije. Do 2020. godine predviđena je izgradnja/adaptacija ukupno četiri veteranska centra kao pilot projekata. Cjelokupni paket aktivnosti predstavlja </w:t>
      </w:r>
      <w:r w:rsidRPr="00576C1D">
        <w:rPr>
          <w:rFonts w:ascii="Times New Roman" w:eastAsia="Times New Roman" w:hAnsi="Times New Roman" w:cs="Times New Roman"/>
          <w:b/>
          <w:color w:val="000000"/>
          <w:sz w:val="24"/>
          <w:szCs w:val="24"/>
          <w:lang w:eastAsia="hr-HR"/>
        </w:rPr>
        <w:t>fazu testiranja ovog inovativnog modela</w:t>
      </w:r>
      <w:r w:rsidRPr="00576C1D">
        <w:rPr>
          <w:rFonts w:ascii="Times New Roman" w:eastAsia="Times New Roman" w:hAnsi="Times New Roman" w:cs="Times New Roman"/>
          <w:color w:val="000000"/>
          <w:sz w:val="24"/>
          <w:szCs w:val="24"/>
          <w:lang w:eastAsia="hr-HR"/>
        </w:rPr>
        <w:t xml:space="preserve"> na ograničenom broju lokacija (do četiri). Ovisno o uspješnosti pilot projekata i raspoloživosti sredstava, u kasnijoj bi se fazi moguće je razmotritidodatne projekte</w:t>
      </w:r>
      <w:r w:rsidRPr="00576C1D">
        <w:rPr>
          <w:rFonts w:ascii="Times New Roman" w:eastAsia="Times New Roman" w:hAnsi="Times New Roman" w:cs="Times New Roman"/>
          <w:color w:val="000000"/>
          <w:spacing w:val="-4"/>
          <w:sz w:val="24"/>
          <w:szCs w:val="24"/>
          <w:lang w:eastAsia="hr-HR"/>
        </w:rPr>
        <w:t>.</w:t>
      </w:r>
    </w:p>
    <w:p w:rsidR="00FC3F35" w:rsidRPr="00576C1D" w:rsidRDefault="00C244E3" w:rsidP="00FC3F35">
      <w:pPr>
        <w:widowControl w:val="0"/>
        <w:shd w:val="clear" w:color="auto" w:fill="FFFFFF"/>
        <w:autoSpaceDE w:val="0"/>
        <w:autoSpaceDN w:val="0"/>
        <w:adjustRightInd w:val="0"/>
        <w:spacing w:before="278" w:after="1690" w:line="274" w:lineRule="exact"/>
        <w:ind w:left="64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877" o:spid="_x0000_s1154" style="position:absolute;left:0;text-align:left;z-index:251560448;visibility:visible;mso-position-horizontal-relative:margin" from="25.9pt,140.15pt" to="782.4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i4Fg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Vezano za ESF tip intervencija u veteranskim centrima,  provodit će se preventivni psihosocijalni programi, poput radne terapije, sudjelovanja u kulturno-zabavnim i obrazovnim programima i sportske rekreacije. Veteranski centri pružat će savjetodavnu pomoć i podršku populaciji u potrebi u područjima poput zaštite prava branitelja i stradalnika rata, njihova zapošljavanja, uključivanja u zadružno poduzetništvo i djelovanje udruga branitelja, upravljanja novcem, upravljanja stresom itd., što će povećati društvenu uključenost ciljne populacijei aktivno sudjelovanje u životu zajednice.</w:t>
      </w:r>
    </w:p>
    <w:p w:rsidR="00FC3F35" w:rsidRPr="00576C1D" w:rsidRDefault="00FC3F35" w:rsidP="00FC3F35">
      <w:pPr>
        <w:widowControl w:val="0"/>
        <w:shd w:val="clear" w:color="auto" w:fill="FFFFFF"/>
        <w:autoSpaceDE w:val="0"/>
        <w:autoSpaceDN w:val="0"/>
        <w:adjustRightInd w:val="0"/>
        <w:spacing w:before="278" w:after="1690" w:line="274" w:lineRule="exact"/>
        <w:ind w:left="648"/>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187" w:line="240" w:lineRule="auto"/>
        <w:ind w:left="590"/>
        <w:rPr>
          <w:rFonts w:ascii="Times New Roman" w:eastAsia="Times New Roman" w:hAnsi="Times New Roman" w:cs="Times New Roman"/>
          <w:sz w:val="20"/>
          <w:szCs w:val="20"/>
          <w:lang w:eastAsia="hr-HR"/>
        </w:rPr>
        <w:sectPr w:rsidR="00FC3F35" w:rsidRPr="00576C1D">
          <w:pgSz w:w="16834" w:h="11909" w:orient="landscape"/>
          <w:pgMar w:top="1370" w:right="541" w:bottom="360" w:left="540" w:header="720" w:footer="720" w:gutter="0"/>
          <w:cols w:space="60"/>
          <w:noEndnote/>
        </w:sectPr>
      </w:pPr>
      <w:r w:rsidRPr="00576C1D">
        <w:rPr>
          <w:rFonts w:ascii="Times New Roman" w:eastAsia="Times New Roman" w:hAnsi="Times New Roman" w:cs="Times New Roman"/>
          <w:b/>
          <w:bCs/>
          <w:i/>
          <w:iCs/>
          <w:color w:val="000000"/>
          <w:spacing w:val="-1"/>
          <w:sz w:val="24"/>
          <w:szCs w:val="24"/>
          <w:lang w:eastAsia="hr-HR"/>
        </w:rPr>
        <w:lastRenderedPageBreak/>
        <w:t>2.A.6.2 Vodeća načela za odabir operacija</w:t>
      </w: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78" o:spid="_x0000_s1153" style="position:absolute;z-index:251694592;visibility:visible;mso-position-horizontal-relative:margin" from="-5.75pt,-3.85pt" to="750.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RLFgIAAC0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879" o:spid="_x0000_s1152" style="position:absolute;z-index:251695616;visibility:visible;mso-position-horizontal-relative:margin" from="-5.75pt,-2.4pt" to="-5.75pt,3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2vFQIAAC0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880" o:spid="_x0000_s1151" style="position:absolute;z-index:251696640;visibility:visible;mso-position-horizontal-relative:margin" from="110.9pt,-2.4pt" to="110.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881" o:spid="_x0000_s1150" style="position:absolute;z-index:251698688;visibility:visible;mso-position-horizontal-relative:margin" from="750.25pt,-2.4pt" to="750.25pt,3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370" w:right="1189" w:bottom="360" w:left="1183" w:header="720" w:footer="720" w:gutter="0"/>
          <w:cols w:num="2" w:space="720" w:equalWidth="0">
            <w:col w:w="2219" w:space="128"/>
            <w:col w:w="12115"/>
          </w:cols>
          <w:noEndnote/>
        </w:sectPr>
      </w:pPr>
    </w:p>
    <w:p w:rsidR="00FC3F35" w:rsidRPr="00576C1D" w:rsidRDefault="00C244E3" w:rsidP="00FC3F35">
      <w:pPr>
        <w:widowControl w:val="0"/>
        <w:shd w:val="clear" w:color="auto" w:fill="FFFFFF"/>
        <w:autoSpaceDE w:val="0"/>
        <w:autoSpaceDN w:val="0"/>
        <w:adjustRightInd w:val="0"/>
        <w:spacing w:before="187" w:after="0" w:line="240" w:lineRule="auto"/>
        <w:ind w:left="65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82" o:spid="_x0000_s1149" style="position:absolute;left:0;text-align:left;z-index:251699712;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9a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" o:allowincell="f" strokeweight=".25pt">
            <w10:wrap anchorx="margin"/>
          </v:line>
        </w:pict>
      </w:r>
      <w:r w:rsidR="00FC3F35" w:rsidRPr="00576C1D">
        <w:rPr>
          <w:rFonts w:ascii="Times New Roman" w:eastAsia="Times New Roman" w:hAnsi="Times New Roman" w:cs="Times New Roman"/>
          <w:color w:val="000000"/>
          <w:spacing w:val="3"/>
          <w:sz w:val="24"/>
          <w:szCs w:val="24"/>
          <w:u w:val="single"/>
          <w:lang w:eastAsia="hr-HR"/>
        </w:rPr>
        <w:t>SC 9.1.1:</w:t>
      </w:r>
    </w:p>
    <w:p w:rsidR="00FC3F35" w:rsidRPr="00576C1D" w:rsidRDefault="00FC3F35" w:rsidP="00FC3F35">
      <w:pPr>
        <w:widowControl w:val="0"/>
        <w:shd w:val="clear" w:color="auto" w:fill="FFFFFF"/>
        <w:autoSpaceDE w:val="0"/>
        <w:autoSpaceDN w:val="0"/>
        <w:adjustRightInd w:val="0"/>
        <w:spacing w:before="283"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Zajedničko opće načelo za sve operacije podržane ovim specifičnim ciljem je osiguravanje istog kvalitetnog pristupa primarnoj skrbi i hitnoj medicinskoj službi za sve građane diljem Hrvatske. Odabrane operacije moraju izravno podupirati postizanje predviđenog specifičnog cilja i izravno pridonositi institucionalnoj reformi kao što je opisano u Nacionalnoj strategiji razvoja zdravstva 2012. - 2020. Podršku će se pružiti na temelju ocjene individualnih prijedloga projekata  koje razvijaju potencijalni korisnici (pružatelji primarne zdravstvene skrbi, zavodi za hitnu medicinu, bolnice) u skladu sa smjernicama koje priprema Ministarstvo zdravlja. Svaki prijedlog projekta ocijenit će se na temelju kvalitete i sukladnosti s normama koje je utvrdilo Ministarstvo zdravlja (Mreža javne zdravstvene službe (NN 101/2012.), Mreža hitne medicine (NN, 71/2012.), Pravilnik o minimalnim uvjetima u pogledu prostora, radnika i medicinsko-tehničke opreme za obavljanje hitne zdravstvene djelatnosti (NN 42/2011.), Pravilnik o minimalnim uvjetima u pogledu prostora, radnika i medicinsko-tehničke opreme za obavljanje zdravstvene djelatnosti (NN 061/2011.)). Promicat će se integrirani projekti koji pokazuju poveznice s operacijama ESF-a (npr. izobrazba osoblja). U kriterijima odabira za potporu EFRR-a bolničkim odjelima za hitne slučajeve prednost će dobiti bolnice koje pružaju usluge stanovnicima socioekonomski depriviranih područja ili geografski izoliranih područja, ponajviše otoka. Medicinska oprema potrebna za funkcioniranje infrastrukture korisnika podržat će se samo kad je jasno povezana s kvalitetom ponuđenih usluga primarne skrbi. Detaljni kriteriji će definirati upravljačko tijelo i odobriti nadzorni odbor.</w:t>
      </w:r>
    </w:p>
    <w:p w:rsidR="00FC3F35" w:rsidRPr="00576C1D" w:rsidRDefault="00FC3F35" w:rsidP="00FC3F35">
      <w:pPr>
        <w:widowControl w:val="0"/>
        <w:shd w:val="clear" w:color="auto" w:fill="FFFFFF"/>
        <w:autoSpaceDE w:val="0"/>
        <w:autoSpaceDN w:val="0"/>
        <w:adjustRightInd w:val="0"/>
        <w:spacing w:before="274" w:after="0" w:line="240" w:lineRule="auto"/>
        <w:ind w:left="6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24"/>
          <w:szCs w:val="24"/>
          <w:u w:val="single"/>
          <w:lang w:eastAsia="hr-HR"/>
        </w:rPr>
        <w:t>SC 9.1.2</w:t>
      </w:r>
    </w:p>
    <w:p w:rsidR="00FC3F35" w:rsidRPr="00576C1D" w:rsidRDefault="00C244E3" w:rsidP="00FC3F35">
      <w:pPr>
        <w:widowControl w:val="0"/>
        <w:shd w:val="clear" w:color="auto" w:fill="FFFFFF"/>
        <w:autoSpaceDE w:val="0"/>
        <w:autoSpaceDN w:val="0"/>
        <w:adjustRightInd w:val="0"/>
        <w:spacing w:before="283" w:after="1061" w:line="274" w:lineRule="exact"/>
        <w:ind w:left="634"/>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pict>
          <v:line id="Line 1943" o:spid="_x0000_s1148" style="position:absolute;left:0;text-align:left;z-index:251769344;visibility:visible;mso-position-horizontal-relative:margin" from="26.4pt,126.5pt" to="782.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QcFQ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Odabrane operacije moraju izravno podupirati postizanje predviđenog specifičnog cilja i izravno pridonositi institucionalnoj reformi kao što je opisano u Nacionalnoj strategiji razvoja zdravstva 2012. - 2020. i Nacionalnom planu za razvoj kliničkih bolničkih centara, kliničkih bolnica, klinika i općih bolnica u Republici Hrvatskoj za razdoblje 2014. - 2016. (Nacionalni plan). Podršku će se pružiti na temelju ocjene individualnih prijedloga projekata  koje razvijaju potencijalni korisnici (bolnice) u skladu sa smjernicama koje priprema Ministarstvo zdravlja. Svaki prijedlog projekta ocijenit će se na temelju kvalitete i sukladnosti s normama koje je utvrdilo Ministarstvo zdravlja (Nacionalni plan za razvoj kliničkih bolničkih centara, kliničkih bolnica, klinika i općih bolnica u Republici Hrvatskoj za razdoblje 2014. - 2016., Pravilnik o minimalnim uvjetima u pogledu prostora, radnika i medicinsko-tehničke opreme za obavljanje zdravstvene djelatnosti (NN 061/2011.))</w:t>
      </w:r>
      <w:r w:rsidR="00FC3F35" w:rsidRPr="00576C1D">
        <w:rPr>
          <w:rFonts w:ascii="Times New Roman" w:eastAsia="Times New Roman" w:hAnsi="Times New Roman" w:cs="Times New Roman"/>
          <w:i/>
          <w:iCs/>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83" w:after="1061" w:line="274" w:lineRule="exact"/>
        <w:ind w:left="634"/>
        <w:rPr>
          <w:rFonts w:ascii="Times New Roman" w:eastAsia="Times New Roman" w:hAnsi="Times New Roman" w:cs="Times New Roman"/>
          <w:sz w:val="20"/>
          <w:szCs w:val="20"/>
          <w:lang w:eastAsia="hr-HR"/>
        </w:rPr>
        <w:sectPr w:rsidR="00FC3F35" w:rsidRPr="00576C1D">
          <w:type w:val="continuous"/>
          <w:pgSz w:w="16834" w:h="11909" w:orient="landscape"/>
          <w:pgMar w:top="1370"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370"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83" o:spid="_x0000_s1147" style="position:absolute;z-index:251700736;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CpUtgu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884" o:spid="_x0000_s1146" style="position:absolute;z-index:251702784;visibility:visible;mso-position-horizontal-relative:margin" from="-5.75pt,-2.65pt" to="-5.7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dYFAIAAC0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" o:allowincell="f" strokeweight=".25pt">
            <w10:wrap anchorx="margin"/>
          </v:line>
        </w:pict>
      </w:r>
      <w:r>
        <w:rPr>
          <w:rFonts w:ascii="Times New Roman" w:eastAsia="Times New Roman" w:hAnsi="Times New Roman" w:cs="Times New Roman"/>
          <w:noProof/>
          <w:sz w:val="20"/>
          <w:szCs w:val="20"/>
          <w:lang w:eastAsia="hr-HR"/>
        </w:rPr>
        <w:pict>
          <v:line id="Line 1885" o:spid="_x0000_s1145" style="position:absolute;z-index:251703808;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QVFQIAACw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886" o:spid="_x0000_s1144" style="position:absolute;z-index:251704832;visibility:visible;mso-position-horizontal-relative:margin" from="750.25pt,-2.65pt" to="750.2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lNFAIAAC0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7" w:right="1189" w:bottom="360" w:left="1183" w:header="720" w:footer="720" w:gutter="0"/>
          <w:cols w:num="2" w:space="720" w:equalWidth="0">
            <w:col w:w="2219" w:space="128"/>
            <w:col w:w="12115"/>
          </w:cols>
          <w:noEndnote/>
        </w:sectPr>
      </w:pPr>
    </w:p>
    <w:p w:rsidR="00FC3F35" w:rsidRPr="00576C1D" w:rsidRDefault="00C244E3" w:rsidP="00FC3F35">
      <w:pPr>
        <w:widowControl w:val="0"/>
        <w:shd w:val="clear" w:color="auto" w:fill="FFFFFF"/>
        <w:autoSpaceDE w:val="0"/>
        <w:autoSpaceDN w:val="0"/>
        <w:adjustRightInd w:val="0"/>
        <w:spacing w:before="72" w:after="0" w:line="240" w:lineRule="auto"/>
        <w:ind w:left="6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87" o:spid="_x0000_s1143" style="position:absolute;left:0;text-align:left;z-index:251705856;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1cFgIAAC0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Prioritet će imati prijedlozi projekata koji:</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before="182" w:after="0" w:line="394"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povećavaju dostupnost četiriju ranjivih skupina specijaliziranoj zdravstvenoj skrbi,</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after="0" w:line="394"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povećavaju kvalitetu liječenja za četiri ugrožene skupine,</w:t>
      </w:r>
    </w:p>
    <w:p w:rsidR="00FC3F35" w:rsidRPr="00576C1D" w:rsidRDefault="00FC3F35" w:rsidP="00FC3F35">
      <w:pPr>
        <w:widowControl w:val="0"/>
        <w:numPr>
          <w:ilvl w:val="0"/>
          <w:numId w:val="14"/>
        </w:numPr>
        <w:shd w:val="clear" w:color="auto" w:fill="FFFFFF"/>
        <w:tabs>
          <w:tab w:val="left" w:pos="1363"/>
        </w:tabs>
        <w:autoSpaceDE w:val="0"/>
        <w:autoSpaceDN w:val="0"/>
        <w:adjustRightInd w:val="0"/>
        <w:spacing w:after="0" w:line="394" w:lineRule="exact"/>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na integriran način rješavaju probleme zdravstvene skrbi za 4 ugrožene skupine.</w:t>
      </w:r>
    </w:p>
    <w:p w:rsidR="00FC3F35" w:rsidRPr="00576C1D" w:rsidRDefault="00FC3F35" w:rsidP="00FC3F35">
      <w:pPr>
        <w:widowControl w:val="0"/>
        <w:shd w:val="clear" w:color="auto" w:fill="FFFFFF"/>
        <w:autoSpaceDE w:val="0"/>
        <w:autoSpaceDN w:val="0"/>
        <w:adjustRightInd w:val="0"/>
        <w:spacing w:before="254" w:after="0" w:line="274" w:lineRule="exact"/>
        <w:ind w:left="643" w:right="264"/>
        <w:jc w:val="both"/>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Vezano uz aktivnosti usmjerene na pacijente psihijatrijskog odjela, prednost će dobiti bolnice koje pokrivaju socioekonomski deprivirana područja, kao što je identificirano razvojnim indeksom. Detaljne kriterije definira upravljačko tijelo i odobrava nadzorni odbor operativnog programa</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4" w:after="0" w:line="240" w:lineRule="auto"/>
        <w:ind w:left="65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4"/>
          <w:szCs w:val="24"/>
          <w:u w:val="single"/>
          <w:lang w:eastAsia="hr-HR"/>
        </w:rPr>
        <w:t>SC 9.1.3</w:t>
      </w:r>
    </w:p>
    <w:p w:rsidR="00FC3F35" w:rsidRPr="00576C1D" w:rsidRDefault="00FC3F35" w:rsidP="00FC3F35">
      <w:pPr>
        <w:widowControl w:val="0"/>
        <w:shd w:val="clear" w:color="auto" w:fill="FFFFFF"/>
        <w:autoSpaceDE w:val="0"/>
        <w:autoSpaceDN w:val="0"/>
        <w:adjustRightInd w:val="0"/>
        <w:spacing w:before="283" w:after="0" w:line="240" w:lineRule="auto"/>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Operacije koje se unutar ovog specifičnog cilja financiraju iz EFRR-a moraju:</w:t>
      </w:r>
    </w:p>
    <w:p w:rsidR="00FC3F35" w:rsidRPr="00576C1D" w:rsidRDefault="00FC3F35" w:rsidP="00FC3F35">
      <w:pPr>
        <w:widowControl w:val="0"/>
        <w:numPr>
          <w:ilvl w:val="0"/>
          <w:numId w:val="16"/>
        </w:numPr>
        <w:shd w:val="clear" w:color="auto" w:fill="FFFFFF"/>
        <w:tabs>
          <w:tab w:val="left" w:pos="782"/>
        </w:tabs>
        <w:autoSpaceDE w:val="0"/>
        <w:autoSpaceDN w:val="0"/>
        <w:adjustRightInd w:val="0"/>
        <w:spacing w:before="278" w:after="0" w:line="274" w:lineRule="exact"/>
        <w:ind w:left="63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biti u skladu s ciljevima Plana deinstitucionalizacije i transformacije domova socijalne skrbi i drugih pravnih osoba koje obavljaju djelatnost socijalne skrbi u Republici Hrvatskoj 2011. - 2016. (2018.), te plana koji će biti usvojen za razdoblje do 2020. godine</w:t>
      </w:r>
    </w:p>
    <w:p w:rsidR="00FC3F35" w:rsidRPr="00576C1D" w:rsidRDefault="00FC3F35" w:rsidP="00FC3F35">
      <w:pPr>
        <w:widowControl w:val="0"/>
        <w:numPr>
          <w:ilvl w:val="0"/>
          <w:numId w:val="16"/>
        </w:numPr>
        <w:shd w:val="clear" w:color="auto" w:fill="FFFFFF"/>
        <w:tabs>
          <w:tab w:val="left" w:pos="782"/>
        </w:tabs>
        <w:autoSpaceDE w:val="0"/>
        <w:autoSpaceDN w:val="0"/>
        <w:adjustRightInd w:val="0"/>
        <w:spacing w:before="274" w:after="0" w:line="278" w:lineRule="exact"/>
        <w:ind w:left="63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biti u skladu s Operativnim planovima transformacije i deinstitucionalizacije domova socijalne skrbi i drugih pravnih osoba koje obavljaju djelatnost socijalne skrbi u Republici Hrvatskoj</w:t>
      </w:r>
    </w:p>
    <w:p w:rsidR="00FC3F35" w:rsidRPr="00576C1D" w:rsidRDefault="00FC3F35" w:rsidP="00FC3F35">
      <w:pPr>
        <w:widowControl w:val="0"/>
        <w:numPr>
          <w:ilvl w:val="0"/>
          <w:numId w:val="16"/>
        </w:numPr>
        <w:shd w:val="clear" w:color="auto" w:fill="FFFFFF"/>
        <w:tabs>
          <w:tab w:val="left" w:pos="782"/>
        </w:tabs>
        <w:autoSpaceDE w:val="0"/>
        <w:autoSpaceDN w:val="0"/>
        <w:adjustRightInd w:val="0"/>
        <w:spacing w:before="274" w:after="0" w:line="240" w:lineRule="auto"/>
        <w:ind w:left="63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odnositi se na 31 prioritetnu instituciju u skladu s operativnim planom za razdoblje 2014. - 2016.</w:t>
      </w:r>
    </w:p>
    <w:p w:rsidR="00FC3F35" w:rsidRPr="00576C1D" w:rsidRDefault="00FC3F35" w:rsidP="00FC3F35">
      <w:pPr>
        <w:widowControl w:val="0"/>
        <w:numPr>
          <w:ilvl w:val="0"/>
          <w:numId w:val="16"/>
        </w:numPr>
        <w:shd w:val="clear" w:color="auto" w:fill="FFFFFF"/>
        <w:tabs>
          <w:tab w:val="left" w:pos="782"/>
        </w:tabs>
        <w:autoSpaceDE w:val="0"/>
        <w:autoSpaceDN w:val="0"/>
        <w:adjustRightInd w:val="0"/>
        <w:spacing w:before="278" w:after="0" w:line="240" w:lineRule="auto"/>
        <w:ind w:left="63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biti u skladu s novim operativnim planom koji će biti usvojen za razdoblje 2017. - 2020.</w:t>
      </w:r>
    </w:p>
    <w:p w:rsidR="00FC3F35" w:rsidRPr="00576C1D" w:rsidRDefault="00FC3F35" w:rsidP="00FC3F35">
      <w:pPr>
        <w:widowControl w:val="0"/>
        <w:numPr>
          <w:ilvl w:val="0"/>
          <w:numId w:val="16"/>
        </w:numPr>
        <w:shd w:val="clear" w:color="auto" w:fill="FFFFFF"/>
        <w:tabs>
          <w:tab w:val="left" w:pos="782"/>
        </w:tabs>
        <w:autoSpaceDE w:val="0"/>
        <w:autoSpaceDN w:val="0"/>
        <w:adjustRightInd w:val="0"/>
        <w:spacing w:before="274" w:after="0" w:line="278" w:lineRule="exact"/>
        <w:ind w:left="638" w:right="9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pridonositi procesu deinstitucionalizacije razvojem i proširenjem mreže socijalnih usluga u zajednici za sve ranjive skupine</w:t>
      </w:r>
    </w:p>
    <w:p w:rsidR="00FC3F35" w:rsidRPr="00576C1D" w:rsidRDefault="00C244E3" w:rsidP="00FC3F35">
      <w:pPr>
        <w:widowControl w:val="0"/>
        <w:numPr>
          <w:ilvl w:val="0"/>
          <w:numId w:val="16"/>
        </w:numPr>
        <w:shd w:val="clear" w:color="auto" w:fill="FFFFFF"/>
        <w:tabs>
          <w:tab w:val="left" w:pos="782"/>
        </w:tabs>
        <w:autoSpaceDE w:val="0"/>
        <w:autoSpaceDN w:val="0"/>
        <w:adjustRightInd w:val="0"/>
        <w:spacing w:before="269" w:after="878" w:line="240" w:lineRule="auto"/>
        <w:ind w:left="638"/>
        <w:rPr>
          <w:rFonts w:ascii="Times New Roman" w:eastAsia="Times New Roman" w:hAnsi="Times New Roman" w:cs="Times New Roman"/>
          <w:color w:val="000000"/>
          <w:sz w:val="24"/>
          <w:szCs w:val="24"/>
          <w:lang w:eastAsia="hr-HR"/>
        </w:rPr>
      </w:pPr>
      <w:r>
        <w:rPr>
          <w:rFonts w:ascii="Times New Roman" w:eastAsia="Times New Roman" w:hAnsi="Times New Roman" w:cs="Times New Roman"/>
          <w:noProof/>
          <w:sz w:val="20"/>
          <w:szCs w:val="20"/>
          <w:lang w:eastAsia="hr-HR"/>
        </w:rPr>
        <w:pict>
          <v:line id="Line 1888" o:spid="_x0000_s1142" style="position:absolute;left:0;text-align:left;z-index:251707904;visibility:visible;mso-position-horizontal-relative:margin" from="26.4pt,58.15pt" to="782.9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29FgIAAC0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pridonositi sprečavanju institucionalizacije</w:t>
      </w:r>
    </w:p>
    <w:p w:rsidR="00FC3F35" w:rsidRPr="00576C1D" w:rsidRDefault="00FC3F35" w:rsidP="00FC3F35">
      <w:pPr>
        <w:widowControl w:val="0"/>
        <w:numPr>
          <w:ilvl w:val="0"/>
          <w:numId w:val="16"/>
        </w:numPr>
        <w:shd w:val="clear" w:color="auto" w:fill="FFFFFF"/>
        <w:tabs>
          <w:tab w:val="left" w:pos="782"/>
        </w:tabs>
        <w:autoSpaceDE w:val="0"/>
        <w:autoSpaceDN w:val="0"/>
        <w:adjustRightInd w:val="0"/>
        <w:spacing w:before="269" w:after="878" w:line="240" w:lineRule="auto"/>
        <w:ind w:left="638"/>
        <w:rPr>
          <w:rFonts w:ascii="Times New Roman" w:eastAsia="Times New Roman" w:hAnsi="Times New Roman" w:cs="Times New Roman"/>
          <w:color w:val="000000"/>
          <w:sz w:val="24"/>
          <w:szCs w:val="24"/>
          <w:lang w:eastAsia="hr-HR"/>
        </w:rPr>
        <w:sectPr w:rsidR="00FC3F35" w:rsidRPr="00576C1D" w:rsidSect="00FC3F35">
          <w:type w:val="continuous"/>
          <w:pgSz w:w="16834" w:h="11909" w:orient="landscape"/>
          <w:pgMar w:top="1207" w:right="816"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89" o:spid="_x0000_s1141" style="position:absolute;z-index:25170892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0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DdZh+0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890" o:spid="_x0000_s1140" style="position:absolute;z-index:251709952;visibility:visible;mso-position-horizontal-relative:margin" from="-5.75pt,-2.65pt" to="-5.7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891" o:spid="_x0000_s1139" style="position:absolute;z-index:251710976;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892" o:spid="_x0000_s1138" style="position:absolute;z-index:251713024;visibility:visible;mso-position-horizontal-relative:margin" from="750.25pt,-2.65pt" to="750.25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1OFg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pgSz w:w="16834" w:h="11909" w:orient="landscape"/>
          <w:pgMar w:top="1205" w:right="1189" w:bottom="360" w:left="1183" w:header="720" w:footer="720" w:gutter="0"/>
          <w:cols w:num="2" w:space="720" w:equalWidth="0">
            <w:col w:w="2078" w:space="269"/>
            <w:col w:w="12115"/>
          </w:cols>
          <w:noEndnote/>
        </w:sectPr>
      </w:pPr>
    </w:p>
    <w:p w:rsidR="00FC3F35" w:rsidRPr="00576C1D" w:rsidRDefault="00C244E3" w:rsidP="00FC3F35">
      <w:pPr>
        <w:widowControl w:val="0"/>
        <w:shd w:val="clear" w:color="auto" w:fill="FFFFFF"/>
        <w:autoSpaceDE w:val="0"/>
        <w:autoSpaceDN w:val="0"/>
        <w:adjustRightInd w:val="0"/>
        <w:spacing w:before="72" w:after="0" w:line="240" w:lineRule="auto"/>
        <w:ind w:left="64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93" o:spid="_x0000_s1137" style="position:absolute;left:0;text-align:left;z-index:251714048;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SqFwIAAC0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" o:allowincell="f" strokeweight=".7pt">
            <w10:wrap anchorx="margin"/>
          </v:line>
        </w:pict>
      </w:r>
      <w:r w:rsidR="00FC3F35" w:rsidRPr="00576C1D">
        <w:rPr>
          <w:rFonts w:ascii="Times New Roman" w:eastAsia="Times New Roman" w:hAnsi="Times New Roman" w:cs="Times New Roman"/>
          <w:color w:val="000000"/>
          <w:sz w:val="24"/>
          <w:szCs w:val="24"/>
          <w:lang w:eastAsia="hr-HR"/>
        </w:rPr>
        <w:t>- pokazati jasnu usmjerenost na socijalnu isključenost i borbu protiv siromaštva,</w:t>
      </w:r>
    </w:p>
    <w:p w:rsidR="00FC3F35" w:rsidRPr="00576C1D" w:rsidRDefault="00FC3F35" w:rsidP="00FC3F35">
      <w:pPr>
        <w:widowControl w:val="0"/>
        <w:shd w:val="clear" w:color="auto" w:fill="FFFFFF"/>
        <w:autoSpaceDE w:val="0"/>
        <w:autoSpaceDN w:val="0"/>
        <w:adjustRightInd w:val="0"/>
        <w:spacing w:before="278" w:after="0" w:line="274" w:lineRule="exact"/>
        <w:ind w:left="638" w:right="4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pokazati jasnu vezu s operacijama koje se sufinanciraju kroz ESF kao što je predviđeno u okviru specifičnog cilja 9.7.2 Operativnog programa Učinkoviti ljudski resursi.</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Prijedlozi projekata koji će se provoditi u regijama najmanjeg razvojnog indeksa horizontalno će se prioritetizirati dodatnim bodovanjem u prvoj fazi financiranja tijekom razvoja mapiranja siromaštva (predviđeno u okviru SC-a 9.2.1). Detaljne kriterije definira upravljačko tijelo i odobrava nadzorni odbor operativnog programa.</w:t>
      </w:r>
    </w:p>
    <w:p w:rsidR="00FC3F35" w:rsidRPr="00576C1D" w:rsidRDefault="00C244E3" w:rsidP="00FC3F35">
      <w:pPr>
        <w:widowControl w:val="0"/>
        <w:shd w:val="clear" w:color="auto" w:fill="FFFFFF"/>
        <w:autoSpaceDE w:val="0"/>
        <w:autoSpaceDN w:val="0"/>
        <w:adjustRightInd w:val="0"/>
        <w:spacing w:before="1565" w:after="182" w:line="240" w:lineRule="auto"/>
        <w:ind w:left="533"/>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r>
        <w:rPr>
          <w:rFonts w:ascii="Times New Roman" w:eastAsia="Times New Roman" w:hAnsi="Times New Roman" w:cs="Times New Roman"/>
          <w:noProof/>
          <w:sz w:val="20"/>
          <w:szCs w:val="20"/>
          <w:lang w:eastAsia="hr-HR"/>
        </w:rPr>
        <w:pict>
          <v:line id="Line 1894" o:spid="_x0000_s1136" style="position:absolute;left:0;text-align:left;z-index:251716096;visibility:visible" from="25.9pt,51.6pt" to="782.8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TV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" o:allowincell="f" strokeweight=".25pt"/>
        </w:pict>
      </w:r>
      <w:r w:rsidR="00FC3F35" w:rsidRPr="00576C1D">
        <w:rPr>
          <w:rFonts w:ascii="Times New Roman" w:eastAsia="Times New Roman" w:hAnsi="Times New Roman" w:cs="Times New Roman"/>
          <w:b/>
          <w:bCs/>
          <w:i/>
          <w:iCs/>
          <w:color w:val="000000"/>
          <w:spacing w:val="-1"/>
          <w:sz w:val="24"/>
          <w:szCs w:val="24"/>
          <w:lang w:eastAsia="hr-HR"/>
        </w:rPr>
        <w:t xml:space="preserve">2.A.6.3 Planirano korištenje financijskih instrumenata </w:t>
      </w:r>
      <w:r w:rsidR="00FC3F35" w:rsidRPr="00576C1D">
        <w:rPr>
          <w:rFonts w:ascii="Times New Roman" w:eastAsia="Times New Roman" w:hAnsi="Times New Roman" w:cs="Times New Roman"/>
          <w:bCs/>
          <w:i/>
          <w:iCs/>
          <w:color w:val="000000"/>
          <w:spacing w:val="-1"/>
          <w:sz w:val="24"/>
          <w:szCs w:val="24"/>
          <w:lang w:eastAsia="hr-HR"/>
        </w:rPr>
        <w:t>(po potrebi)</w:t>
      </w: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95" o:spid="_x0000_s1135" style="position:absolute;z-index:251717120;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N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BgAy/N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896" o:spid="_x0000_s1134" style="position:absolute;z-index:251718144;visibility:visible;mso-position-horizontal-relative:margin" from="-5.75pt,-2.65pt" to="-5.7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F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" o:allowincell="f" strokeweight=".25pt">
            <w10:wrap anchorx="margin"/>
          </v:line>
        </w:pict>
      </w:r>
      <w:r>
        <w:rPr>
          <w:rFonts w:ascii="Times New Roman" w:eastAsia="Times New Roman" w:hAnsi="Times New Roman" w:cs="Times New Roman"/>
          <w:noProof/>
          <w:sz w:val="20"/>
          <w:szCs w:val="20"/>
          <w:lang w:eastAsia="hr-HR"/>
        </w:rPr>
        <w:pict>
          <v:line id="Line 1897" o:spid="_x0000_s1133" style="position:absolute;z-index:251719168;visibility:visible;mso-position-horizontal-relative:margin" from="110.9pt,-2.65pt" to="11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ErFgIAACwEAAAOAAAAZHJzL2Uyb0RvYy54bWysU8GO2jAQvVfqP1i+QxLIsi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898" o:spid="_x0000_s1132" style="position:absolute;z-index:251721216;visibility:visible;mso-position-horizontal-relative:margin" from="750.25pt,-2.65pt" to="750.2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meFAIAACwEAAAOAAAAZHJzL2Uyb0RvYy54bWysU8GO2jAQvVfqP1i+QxIWa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06" w:lineRule="exact"/>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205" w:right="1189" w:bottom="360" w:left="1183" w:header="720" w:footer="720" w:gutter="0"/>
          <w:cols w:num="2" w:space="720" w:equalWidth="0">
            <w:col w:w="2219" w:space="128"/>
            <w:col w:w="12115"/>
          </w:cols>
          <w:noEndnote/>
        </w:sectPr>
      </w:pPr>
    </w:p>
    <w:p w:rsidR="00FC3F35" w:rsidRPr="00576C1D" w:rsidRDefault="00C244E3" w:rsidP="00FC3F35">
      <w:pPr>
        <w:widowControl w:val="0"/>
        <w:shd w:val="clear" w:color="auto" w:fill="FFFFFF"/>
        <w:autoSpaceDE w:val="0"/>
        <w:autoSpaceDN w:val="0"/>
        <w:adjustRightInd w:val="0"/>
        <w:spacing w:before="192" w:after="0" w:line="240" w:lineRule="auto"/>
        <w:ind w:left="634"/>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899" o:spid="_x0000_s1131" style="position:absolute;left:0;text-align:left;z-index:251722240;visibility:visible;mso-position-horizontal-relative:margin" from="26.4pt,2.9pt" to="782.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XX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" o:allowincell="f" strokeweight=".25pt">
            <w10:wrap anchorx="margin"/>
          </v:line>
        </w:pict>
      </w:r>
      <w:r w:rsidR="00FC3F35" w:rsidRPr="00576C1D">
        <w:rPr>
          <w:rFonts w:ascii="Times New Roman" w:eastAsia="Times New Roman" w:hAnsi="Times New Roman" w:cs="Times New Roman"/>
          <w:color w:val="000000"/>
          <w:spacing w:val="-2"/>
          <w:sz w:val="24"/>
          <w:szCs w:val="24"/>
          <w:lang w:eastAsia="hr-HR"/>
        </w:rPr>
        <w:t>Nije predviđeno</w:t>
      </w:r>
    </w:p>
    <w:p w:rsidR="00FC3F35" w:rsidRPr="00576C1D" w:rsidRDefault="00C244E3" w:rsidP="00FC3F35">
      <w:pPr>
        <w:widowControl w:val="0"/>
        <w:shd w:val="clear" w:color="auto" w:fill="FFFFFF"/>
        <w:autoSpaceDE w:val="0"/>
        <w:autoSpaceDN w:val="0"/>
        <w:adjustRightInd w:val="0"/>
        <w:spacing w:before="1008" w:after="178" w:line="240" w:lineRule="auto"/>
        <w:ind w:left="53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900" o:spid="_x0000_s1130" style="position:absolute;left:0;text-align:left;z-index:251724288;visibility:visible" from="25.9pt,24pt" to="782.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W9FQIAAC0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" o:allowincell="f" strokeweight=".25pt"/>
        </w:pict>
      </w:r>
      <w:r w:rsidR="00FC3F35" w:rsidRPr="00576C1D">
        <w:rPr>
          <w:rFonts w:ascii="Times New Roman" w:eastAsia="Times New Roman" w:hAnsi="Times New Roman" w:cs="Times New Roman"/>
          <w:b/>
          <w:bCs/>
          <w:i/>
          <w:iCs/>
          <w:color w:val="000000"/>
          <w:sz w:val="24"/>
          <w:szCs w:val="24"/>
          <w:lang w:eastAsia="hr-HR"/>
        </w:rPr>
        <w:t xml:space="preserve">2.A.6.Planirano korištenje velikih projekata </w:t>
      </w:r>
      <w:r w:rsidR="00FC3F35" w:rsidRPr="00576C1D">
        <w:rPr>
          <w:rFonts w:ascii="Times New Roman" w:eastAsia="Times New Roman" w:hAnsi="Times New Roman" w:cs="Times New Roman"/>
          <w:bCs/>
          <w:i/>
          <w:iCs/>
          <w:color w:val="000000"/>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1008" w:after="178" w:line="240" w:lineRule="auto"/>
        <w:ind w:left="533"/>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before="5"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01" o:spid="_x0000_s1129" style="position:absolute;z-index:251726336;visibility:visible;mso-position-horizontal-relative:margin" from="-6.25pt,-3.1pt" to="750.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6lFgIAAC0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902" o:spid="_x0000_s1128" style="position:absolute;z-index:251728384;visibility:visible;mso-position-horizontal-relative:margin" from="-5.75pt,-2.15pt" to="-5.7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TFA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" o:allowincell="f" strokeweight=".25pt">
            <w10:wrap anchorx="margin"/>
          </v:line>
        </w:pict>
      </w:r>
      <w:r>
        <w:rPr>
          <w:rFonts w:ascii="Times New Roman" w:eastAsia="Times New Roman" w:hAnsi="Times New Roman" w:cs="Times New Roman"/>
          <w:noProof/>
          <w:sz w:val="20"/>
          <w:szCs w:val="20"/>
          <w:lang w:eastAsia="hr-HR"/>
        </w:rPr>
        <w:pict>
          <v:line id="Line 1903" o:spid="_x0000_s1127" style="position:absolute;z-index:251729408;visibility:visible;mso-position-horizontal-relative:margin" from="110.9pt,-2.15pt" to="110.9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10FQIAACw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904" o:spid="_x0000_s1126" style="position:absolute;z-index:251731456;visibility:visible;mso-position-horizontal-relative:margin" from="750.25pt,-2.15pt" to="750.2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CN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11"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9a -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p w:rsidR="00FC3F35" w:rsidRPr="00576C1D" w:rsidRDefault="00FC3F35" w:rsidP="00FC3F35">
      <w:pPr>
        <w:widowControl w:val="0"/>
        <w:shd w:val="clear" w:color="auto" w:fill="FFFFFF"/>
        <w:autoSpaceDE w:val="0"/>
        <w:autoSpaceDN w:val="0"/>
        <w:adjustRightInd w:val="0"/>
        <w:spacing w:after="0" w:line="211"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1189" w:bottom="360" w:left="1183" w:header="720" w:footer="720" w:gutter="0"/>
          <w:cols w:num="2" w:space="720" w:equalWidth="0">
            <w:col w:w="1497" w:space="850"/>
            <w:col w:w="12115"/>
          </w:cols>
          <w:noEndnote/>
        </w:sectPr>
      </w:pPr>
    </w:p>
    <w:p w:rsidR="00FC3F35" w:rsidRPr="00576C1D" w:rsidRDefault="00C244E3" w:rsidP="00FC3F35">
      <w:pPr>
        <w:widowControl w:val="0"/>
        <w:shd w:val="clear" w:color="auto" w:fill="FFFFFF"/>
        <w:autoSpaceDE w:val="0"/>
        <w:autoSpaceDN w:val="0"/>
        <w:adjustRightInd w:val="0"/>
        <w:spacing w:before="192" w:after="1114" w:line="240" w:lineRule="auto"/>
        <w:ind w:left="634"/>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05" o:spid="_x0000_s1125" style="position:absolute;left:0;text-align:left;z-index:251733504;visibility:visible;mso-position-horizontal-relative:margin" from="26.4pt,2.4pt" to="782.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qf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" o:allowincell="f" strokeweight=".7pt">
            <w10:wrap anchorx="margin"/>
          </v:line>
        </w:pict>
      </w:r>
      <w:r w:rsidR="00FC3F35" w:rsidRPr="00576C1D">
        <w:rPr>
          <w:rFonts w:ascii="Times New Roman" w:eastAsia="Times New Roman" w:hAnsi="Times New Roman" w:cs="Times New Roman"/>
          <w:color w:val="000000"/>
          <w:spacing w:val="-2"/>
          <w:sz w:val="24"/>
          <w:szCs w:val="24"/>
          <w:lang w:eastAsia="hr-HR"/>
        </w:rPr>
        <w:t>Nije predviđeno</w:t>
      </w:r>
    </w:p>
    <w:p w:rsidR="00FC3F35" w:rsidRPr="00576C1D" w:rsidRDefault="00FC3F35" w:rsidP="00FC3F35">
      <w:pPr>
        <w:widowControl w:val="0"/>
        <w:shd w:val="clear" w:color="auto" w:fill="FFFFFF"/>
        <w:autoSpaceDE w:val="0"/>
        <w:autoSpaceDN w:val="0"/>
        <w:adjustRightInd w:val="0"/>
        <w:spacing w:before="192" w:after="1114" w:line="240" w:lineRule="auto"/>
        <w:ind w:left="634"/>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06" o:spid="_x0000_s1124" style="position:absolute;z-index:251734528;visibility:visible;mso-position-horizontal-relative:margin" from="26.4pt,-32.15pt" to="78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S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lastRenderedPageBreak/>
        <w:t>2.A.6.5 Pokazatelji neposrednih rezultata po investicijskom prioritetu i, po potrebi, po kategoriji regije</w:t>
      </w:r>
    </w:p>
    <w:p w:rsidR="00FC3F35" w:rsidRPr="00576C1D" w:rsidRDefault="00FC3F35" w:rsidP="00FC3F35">
      <w:pPr>
        <w:widowControl w:val="0"/>
        <w:shd w:val="clear" w:color="auto" w:fill="FFFFFF"/>
        <w:autoSpaceDE w:val="0"/>
        <w:autoSpaceDN w:val="0"/>
        <w:adjustRightInd w:val="0"/>
        <w:spacing w:before="514" w:after="0" w:line="278"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pokazatelji neposrednih rezultata i pokazatelji neposrednih rezultata specifični za program </w:t>
      </w:r>
      <w:r w:rsidRPr="00576C1D">
        <w:rPr>
          <w:rFonts w:ascii="Times New Roman" w:eastAsia="Times New Roman" w:hAnsi="Times New Roman" w:cs="Times New Roman"/>
          <w:bCs/>
          <w:color w:val="000000"/>
          <w:spacing w:val="-1"/>
          <w:sz w:val="24"/>
          <w:szCs w:val="24"/>
          <w:lang w:eastAsia="hr-HR"/>
        </w:rPr>
        <w:t>(po investicijskom prioritetu, podijeljeni na kategorije regije za ESF i, po potrebi, za EFRR</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624"/>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9"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9a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w:t>
            </w:r>
          </w:p>
        </w:tc>
      </w:tr>
      <w:tr w:rsidR="00FC3F35" w:rsidRPr="00576C1D" w:rsidTr="00FC3F35">
        <w:trPr>
          <w:trHeight w:hRule="exact" w:val="432"/>
        </w:trPr>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80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3"/>
                <w:sz w:val="16"/>
                <w:szCs w:val="16"/>
                <w:lang w:eastAsia="hr-HR"/>
              </w:rPr>
              <w:t>9all</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Pružatelji zdravstvenih usluga koji primaju potporu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Br.</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470,00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27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Ministarstvo zdravlja, 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797"/>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9a21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Pružatelji zdravstvenih usluga koji primaju potporu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Br.</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30,00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32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Ministarstvo zdravlja</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135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9a31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4"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izgrađenih/rekonstruiranih i opremljenih infrastrukturnih jedinica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Br.</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9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1.700,00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rPr>
          <w:trHeight w:hRule="exact" w:val="81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9a32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3"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uspostavljenih Veteranskih centara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Br.</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ISU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shd w:val="clear" w:color="auto" w:fill="FFFFFF"/>
        <w:autoSpaceDE w:val="0"/>
        <w:autoSpaceDN w:val="0"/>
        <w:adjustRightInd w:val="0"/>
        <w:spacing w:before="518"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p w:rsidR="00FC3F35" w:rsidRPr="00576C1D" w:rsidRDefault="00C244E3" w:rsidP="00FC3F35">
      <w:pPr>
        <w:widowControl w:val="0"/>
        <w:shd w:val="clear" w:color="auto" w:fill="FFFFFF"/>
        <w:tabs>
          <w:tab w:val="left" w:pos="3346"/>
        </w:tabs>
        <w:autoSpaceDE w:val="0"/>
        <w:autoSpaceDN w:val="0"/>
        <w:adjustRightInd w:val="0"/>
        <w:spacing w:before="178" w:after="859" w:line="240" w:lineRule="auto"/>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123" style="position:absolute;left:0;text-align:left;z-index:251625472;visibility:visible;mso-position-horizontal-relative:margin" from="160.25pt,5.3pt" to="160.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" o:allowincell="f" strokeweight=".7pt">
            <w10:wrap anchorx="margin"/>
          </v:line>
        </w:pict>
      </w:r>
      <w:r>
        <w:rPr>
          <w:rFonts w:ascii="Times New Roman" w:eastAsia="Times New Roman" w:hAnsi="Times New Roman" w:cs="Times New Roman"/>
          <w:noProof/>
          <w:sz w:val="20"/>
          <w:szCs w:val="20"/>
          <w:lang w:eastAsia="hr-HR"/>
        </w:rPr>
        <w:pict>
          <v:line id="_x0000_s1122" style="position:absolute;left:0;text-align:left;z-index:251774976;visibility:visible;mso-position-horizontal-relative:margin" from="576.5pt,5.15pt" to="576.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" o:allowincell="f" strokeweight=".7pt">
            <w10:wrap anchorx="margin"/>
          </v:line>
        </w:pict>
      </w:r>
      <w:r>
        <w:rPr>
          <w:rFonts w:ascii="Times New Roman" w:eastAsia="Times New Roman" w:hAnsi="Times New Roman" w:cs="Times New Roman"/>
          <w:noProof/>
          <w:sz w:val="20"/>
          <w:szCs w:val="20"/>
          <w:lang w:eastAsia="hr-HR"/>
        </w:rPr>
        <w:pict>
          <v:line id="_x0000_s1121" style="position:absolute;left:0;text-align:left;z-index:251772928;visibility:visible;mso-position-horizontal-relative:margin" from="25.5pt,5.15pt" to="25.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" o:allowincell="f" strokeweight=".7pt">
            <w10:wrap anchorx="margin"/>
          </v:line>
        </w:pict>
      </w:r>
      <w:r>
        <w:rPr>
          <w:rFonts w:ascii="Times New Roman" w:eastAsia="Times New Roman" w:hAnsi="Times New Roman" w:cs="Times New Roman"/>
          <w:noProof/>
          <w:sz w:val="20"/>
          <w:szCs w:val="20"/>
          <w:lang w:eastAsia="hr-HR"/>
        </w:rPr>
        <w:pict>
          <v:line id="Line 1907" o:spid="_x0000_s1120" style="position:absolute;left:0;text-align:left;z-index:251562496;visibility:visible" from="25.9pt,5.3pt" to="782.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2b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" o:allowincell="f" strokeweight=".25pt"/>
        </w:pict>
      </w:r>
      <w:r w:rsidR="00FC3F35" w:rsidRPr="00576C1D">
        <w:rPr>
          <w:rFonts w:ascii="Times New Roman" w:eastAsia="Times New Roman" w:hAnsi="Times New Roman" w:cs="Times New Roman"/>
          <w:color w:val="000000"/>
          <w:spacing w:val="-1"/>
          <w:w w:val="106"/>
          <w:sz w:val="18"/>
          <w:szCs w:val="18"/>
          <w:lang w:eastAsia="hr-HR"/>
        </w:rPr>
        <w:t>Oznaka investicijskog prioriteta</w:t>
      </w:r>
      <w:r w:rsidR="00FC3F35" w:rsidRPr="00576C1D">
        <w:rPr>
          <w:rFonts w:ascii="Times New Roman" w:eastAsia="Times New Roman" w:hAnsi="Times New Roman" w:cs="Times New Roman"/>
          <w:color w:val="000000"/>
          <w:sz w:val="18"/>
          <w:szCs w:val="18"/>
          <w:lang w:eastAsia="hr-HR"/>
        </w:rPr>
        <w:tab/>
      </w:r>
      <w:r w:rsidR="00FC3F35" w:rsidRPr="00576C1D">
        <w:rPr>
          <w:rFonts w:ascii="Times New Roman" w:eastAsia="Times New Roman" w:hAnsi="Times New Roman" w:cs="Times New Roman"/>
          <w:color w:val="000000"/>
          <w:spacing w:val="-15"/>
          <w:w w:val="106"/>
          <w:sz w:val="18"/>
          <w:szCs w:val="18"/>
          <w:lang w:eastAsia="hr-HR"/>
        </w:rPr>
        <w:t>9b</w:t>
      </w:r>
    </w:p>
    <w:p w:rsidR="00FC3F35" w:rsidRPr="00576C1D" w:rsidRDefault="00FC3F35" w:rsidP="00FC3F35">
      <w:pPr>
        <w:widowControl w:val="0"/>
        <w:shd w:val="clear" w:color="auto" w:fill="FFFFFF"/>
        <w:tabs>
          <w:tab w:val="left" w:pos="3346"/>
        </w:tabs>
        <w:autoSpaceDE w:val="0"/>
        <w:autoSpaceDN w:val="0"/>
        <w:adjustRightInd w:val="0"/>
        <w:spacing w:before="178" w:after="859" w:line="240" w:lineRule="auto"/>
        <w:ind w:left="643"/>
        <w:rPr>
          <w:rFonts w:ascii="Times New Roman" w:eastAsia="Times New Roman" w:hAnsi="Times New Roman" w:cs="Times New Roman"/>
          <w:sz w:val="20"/>
          <w:szCs w:val="20"/>
          <w:lang w:eastAsia="hr-HR"/>
        </w:rPr>
        <w:sectPr w:rsidR="00FC3F35" w:rsidRPr="00576C1D">
          <w:pgSz w:w="16834" w:h="11909" w:orient="landscape"/>
          <w:pgMar w:top="1370"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08" o:spid="_x0000_s1119" style="position:absolute;z-index:251566592;visibility:visible;mso-position-horizontal-relative:margin" from="26.4pt,-40.3pt" to="782.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RrFgIAAC0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370"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12" o:spid="_x0000_s1118" style="position:absolute;z-index:251547648;visibility:visible;mso-position-horizontal-relative:margin" from="134.25pt,-2.8pt" to="134.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S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" o:allowincell="f" strokeweight=".7pt">
            <w10:wrap anchorx="margin"/>
          </v:line>
        </w:pict>
      </w:r>
      <w:r>
        <w:rPr>
          <w:rFonts w:ascii="Times New Roman" w:eastAsia="Times New Roman" w:hAnsi="Times New Roman" w:cs="Times New Roman"/>
          <w:noProof/>
          <w:sz w:val="20"/>
          <w:szCs w:val="20"/>
          <w:lang w:eastAsia="hr-HR"/>
        </w:rPr>
        <w:pict>
          <v:line id="Line 1909" o:spid="_x0000_s1117" style="position:absolute;z-index:25153740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Wo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ABcCWoFQIAAC0EAAAOAAAAAAAAAAAAAAAAAC4CAABkcnMvZTJvRG9jLnhtbFBLAQItABQABgAI&#10;AAAAIQASjlvR3wAAAAoBAAAPAAAAAAAAAAAAAAAAAG8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Oznaka investicijskog prioriteta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b/>
          <w:bCs/>
          <w:color w:val="000000"/>
          <w:sz w:val="18"/>
          <w:szCs w:val="18"/>
          <w:lang w:eastAsia="hr-HR"/>
        </w:rPr>
        <w:lastRenderedPageBreak/>
        <w:t>9b</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pgSz w:w="16834" w:h="11909" w:orient="landscape"/>
          <w:pgMar w:top="1205" w:right="12229" w:bottom="360" w:left="1183" w:header="720" w:footer="720" w:gutter="0"/>
          <w:cols w:num="2" w:sep="1" w:space="720" w:equalWidth="0">
            <w:col w:w="2645" w:space="57"/>
            <w:col w:w="720"/>
          </w:cols>
          <w:noEndnote/>
        </w:sectPr>
      </w:pPr>
    </w:p>
    <w:p w:rsidR="00FC3F35" w:rsidRPr="00576C1D" w:rsidRDefault="00FC3F35" w:rsidP="00FC3F35">
      <w:pPr>
        <w:widowControl w:val="0"/>
        <w:autoSpaceDE w:val="0"/>
        <w:autoSpaceDN w:val="0"/>
        <w:adjustRightInd w:val="0"/>
        <w:spacing w:before="134"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205" w:right="4674" w:bottom="360" w:left="118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10" o:spid="_x0000_s1116" style="position:absolute;z-index:251720704;visibility:visible;mso-position-horizontal-relative:margin" from="-6.5pt,-4.1pt" to="750.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C6Fw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" o:allowincell="f" strokeweight=".7pt">
            <w10:wrap anchorx="margin"/>
          </v:line>
        </w:pict>
      </w:r>
      <w:r>
        <w:rPr>
          <w:rFonts w:ascii="Times New Roman" w:eastAsia="Times New Roman" w:hAnsi="Times New Roman" w:cs="Times New Roman"/>
          <w:noProof/>
          <w:sz w:val="20"/>
          <w:szCs w:val="20"/>
          <w:lang w:eastAsia="hr-HR"/>
        </w:rPr>
        <w:pict>
          <v:line id="Line 1911" o:spid="_x0000_s1115" style="position:absolute;z-index:251721728;visibility:visible;mso-position-horizontal-relative:margin" from="-6pt,-19.9pt" to="-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PFQ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Naziv investicijskog prioriteta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18"/>
          <w:szCs w:val="18"/>
          <w:lang w:eastAsia="hr-HR"/>
        </w:rPr>
        <w:sectPr w:rsidR="00FC3F35" w:rsidRPr="00576C1D" w:rsidSect="00FC3F35">
          <w:type w:val="continuous"/>
          <w:pgSz w:w="16834" w:h="11909" w:orient="landscape"/>
          <w:pgMar w:top="1205" w:right="1241" w:bottom="360" w:left="1188" w:header="720" w:footer="720" w:gutter="0"/>
          <w:cols w:num="2" w:space="720" w:equalWidth="0">
            <w:col w:w="2640" w:space="47"/>
            <w:col w:w="11718"/>
          </w:cols>
          <w:noEndnote/>
        </w:sectPr>
      </w:pPr>
      <w:r w:rsidRPr="00576C1D">
        <w:rPr>
          <w:rFonts w:ascii="Times New Roman" w:eastAsia="Times New Roman" w:hAnsi="Times New Roman" w:cs="Times New Roman"/>
          <w:sz w:val="20"/>
          <w:szCs w:val="20"/>
          <w:lang w:eastAsia="hr-HR"/>
        </w:rPr>
        <w:br w:type="column"/>
      </w:r>
      <w:r w:rsidR="005167AE" w:rsidRPr="00576C1D">
        <w:rPr>
          <w:rFonts w:ascii="Times New Roman" w:eastAsia="Times New Roman" w:hAnsi="Times New Roman" w:cs="Times New Roman"/>
          <w:sz w:val="18"/>
          <w:szCs w:val="18"/>
          <w:lang w:eastAsia="hr-HR"/>
        </w:rPr>
        <w:lastRenderedPageBreak/>
        <w:t>Pružanje podrške fizičkoj, gospodarskoj i socijalnoj obnovi ugroženih zajednica u urbanim i ruralnim područjima</w:t>
      </w:r>
    </w:p>
    <w:p w:rsidR="00FC3F35" w:rsidRPr="00576C1D" w:rsidRDefault="00C244E3" w:rsidP="00FC3F35">
      <w:pPr>
        <w:widowControl w:val="0"/>
        <w:shd w:val="clear" w:color="auto" w:fill="FFFFFF"/>
        <w:autoSpaceDE w:val="0"/>
        <w:autoSpaceDN w:val="0"/>
        <w:adjustRightInd w:val="0"/>
        <w:spacing w:before="566" w:after="178" w:line="240" w:lineRule="auto"/>
        <w:ind w:left="5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_x0000_s1114" style="position:absolute;left:0;text-align:left;z-index:251776000;visibility:visible;mso-position-horizontal-relative:margin" from="781.5pt,-30.7pt" to="78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ZR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913" o:spid="_x0000_s1113" style="position:absolute;left:0;text-align:left;z-index:251737600;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t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" o:allowincell="f" strokeweight=".7pt">
            <w10:wrap anchorx="margin"/>
          </v:line>
        </w:pict>
      </w:r>
      <w:r w:rsidR="00FC3F35"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 rezultati</w:t>
      </w:r>
    </w:p>
    <w:p w:rsidR="00FC3F35" w:rsidRPr="00576C1D" w:rsidRDefault="00FC3F35" w:rsidP="00FC3F35">
      <w:pPr>
        <w:widowControl w:val="0"/>
        <w:shd w:val="clear" w:color="auto" w:fill="FFFFFF"/>
        <w:autoSpaceDE w:val="0"/>
        <w:autoSpaceDN w:val="0"/>
        <w:adjustRightInd w:val="0"/>
        <w:spacing w:before="566" w:after="178" w:line="240" w:lineRule="auto"/>
        <w:ind w:left="538"/>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14" o:spid="_x0000_s1112" style="position:absolute;z-index:251738624;visibility:visible;mso-position-horizontal-relative:margin" from="-6.25pt,-3.35pt" to="750.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2S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z w:val="18"/>
          <w:szCs w:val="18"/>
          <w:lang w:eastAsia="hr-HR"/>
        </w:rPr>
        <w:t>Oznaka investicijskog prioriteta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b/>
          <w:bCs/>
          <w:color w:val="000000"/>
          <w:sz w:val="18"/>
          <w:szCs w:val="18"/>
          <w:lang w:eastAsia="hr-HR"/>
        </w:rPr>
        <w:lastRenderedPageBreak/>
        <w:t>1</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205" w:right="12220" w:bottom="360" w:left="1183" w:header="720" w:footer="720" w:gutter="0"/>
          <w:cols w:num="2" w:sep="1" w:space="720" w:equalWidth="0">
            <w:col w:w="2503" w:space="208"/>
            <w:col w:w="720"/>
          </w:cols>
          <w:noEndnote/>
        </w:sectPr>
      </w:pPr>
    </w:p>
    <w:p w:rsidR="00FC3F35" w:rsidRPr="00576C1D" w:rsidRDefault="00FC3F35" w:rsidP="00FC3F35">
      <w:pPr>
        <w:widowControl w:val="0"/>
        <w:autoSpaceDE w:val="0"/>
        <w:autoSpaceDN w:val="0"/>
        <w:adjustRightInd w:val="0"/>
        <w:spacing w:before="130"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205" w:right="2783" w:bottom="360" w:left="118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15" o:spid="_x0000_s1111" style="position:absolute;z-index:251740672;visibility:visible;mso-position-horizontal-relative:margin" from="-6pt,-3.6pt" to="7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l8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916" o:spid="_x0000_s1110" style="position:absolute;z-index:251741696;visibility:visible;mso-position-horizontal-relative:margin" from="-6pt,-19.45pt" to="-6pt,3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8lFQIAAC0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917" o:spid="_x0000_s1109" style="position:absolute;z-index:251742720;visibility:visible;mso-position-horizontal-relative:margin" from="128.4pt,-19.45pt" to="128.4pt,3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LaFgIAAC0EAAAOAAAAZHJzL2Uyb0RvYy54bWysU8GO2jAQvVfqP1i+QxI2y4a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" o:allowincell="f" strokeweight=".7pt">
            <w10:wrap anchorx="margin"/>
          </v:line>
        </w:pict>
      </w:r>
      <w:r w:rsidR="00FC3F35" w:rsidRPr="00576C1D">
        <w:rPr>
          <w:rFonts w:ascii="Times New Roman" w:eastAsia="Times New Roman" w:hAnsi="Times New Roman" w:cs="Times New Roman"/>
          <w:b/>
          <w:bCs/>
          <w:color w:val="000000"/>
          <w:sz w:val="18"/>
          <w:szCs w:val="18"/>
          <w:lang w:eastAsia="hr-HR"/>
        </w:rPr>
        <w:t>Naziv investicijskog prioriteta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AngsanaUPC" w:hAnsi="Times New Roman" w:cs="Times New Roman"/>
          <w:bCs/>
          <w:sz w:val="18"/>
          <w:szCs w:val="20"/>
          <w:lang w:eastAsia="lt-LT"/>
        </w:rPr>
        <w:lastRenderedPageBreak/>
        <w:t>Održiva fizička, socijalna i gospodarska regeneracija pet depriviranih pilot područja s ciljem smanjenja socijalnih nejednakosti, isključenosti i siromaštva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205" w:right="1241" w:bottom="360" w:left="1188" w:header="720" w:footer="720" w:gutter="0"/>
          <w:cols w:num="2" w:space="720" w:equalWidth="0">
            <w:col w:w="2640" w:space="57"/>
            <w:col w:w="11708"/>
          </w:cols>
          <w:noEndnote/>
        </w:sectPr>
      </w:pPr>
    </w:p>
    <w:p w:rsidR="00FC3F35" w:rsidRPr="00576C1D" w:rsidRDefault="00FC3F35" w:rsidP="00FC3F35">
      <w:pPr>
        <w:widowControl w:val="0"/>
        <w:autoSpaceDE w:val="0"/>
        <w:autoSpaceDN w:val="0"/>
        <w:adjustRightInd w:val="0"/>
        <w:spacing w:before="125"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205" w:right="920" w:bottom="360" w:left="117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06" w:lineRule="exact"/>
        <w:ind w:left="10"/>
        <w:rPr>
          <w:rFonts w:ascii="Times New Roman" w:eastAsia="Times New Roman" w:hAnsi="Times New Roman" w:cs="Times New Roman"/>
          <w:b/>
          <w:sz w:val="18"/>
          <w:szCs w:val="18"/>
          <w:lang w:eastAsia="hr-HR"/>
        </w:rPr>
      </w:pPr>
      <w:r>
        <w:rPr>
          <w:rFonts w:ascii="Times New Roman" w:eastAsia="Times New Roman" w:hAnsi="Times New Roman" w:cs="Times New Roman"/>
          <w:noProof/>
          <w:sz w:val="20"/>
          <w:szCs w:val="20"/>
          <w:lang w:eastAsia="hr-HR"/>
        </w:rPr>
        <w:lastRenderedPageBreak/>
        <w:pict>
          <v:line id="Line 1918" o:spid="_x0000_s1108" style="position:absolute;left:0;text-align:left;z-index:251743744;visibility:visible;mso-position-horizontal-relative:margin" from="-5.5pt,-3.6pt" to="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eI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919" o:spid="_x0000_s1107" style="position:absolute;left:0;text-align:left;z-index:251746816;visibility:visible;mso-position-horizontal-relative:margin" from="750.5pt,-36.25pt" to="750.5pt,3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EFQIAAC0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" o:allowincell="f" strokeweight=".25pt">
            <w10:wrap anchorx="margin"/>
          </v:line>
        </w:pict>
      </w:r>
      <w:r w:rsidR="00FC3F35" w:rsidRPr="00576C1D">
        <w:rPr>
          <w:rFonts w:ascii="Times New Roman" w:eastAsia="Times New Roman" w:hAnsi="Times New Roman" w:cs="Times New Roman"/>
          <w:b/>
          <w:sz w:val="18"/>
          <w:szCs w:val="18"/>
          <w:lang w:eastAsia="hr-HR"/>
        </w:rPr>
        <w:t>Rezultati koje države članice žele postići uz potporu Unije</w:t>
      </w:r>
    </w:p>
    <w:p w:rsidR="00FC3F35" w:rsidRPr="00576C1D" w:rsidRDefault="00FC3F35" w:rsidP="00F37F5D">
      <w:pPr>
        <w:widowControl w:val="0"/>
        <w:shd w:val="clear" w:color="auto" w:fill="FFFFFF"/>
        <w:autoSpaceDE w:val="0"/>
        <w:autoSpaceDN w:val="0"/>
        <w:adjustRightInd w:val="0"/>
        <w:spacing w:after="0" w:line="274" w:lineRule="exact"/>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24"/>
          <w:szCs w:val="24"/>
          <w:lang w:eastAsia="hr-HR"/>
        </w:rPr>
        <w:lastRenderedPageBreak/>
        <w:t>Geografska koncentracija fizičke degradacije, socijalne isključenosti i siromaštva u Hrvatskoj osobito je vidljiva u nizu malih gradova pogođenih ratom u područjima s najmanjim BDP-om po stanovniku. To je rezultat nedavnog razornog domovinskog rata i raznih socioekonomskih faktora, u nekim slučajevima i problema s manjinama. Iako Hrvatska ima dvadeset godina iskustva u obnavljanju razorenih gradova, pokušaji regeneracije imali su slab efekt budući da nisu provedeni na integriran način.</w:t>
      </w:r>
    </w:p>
    <w:p w:rsidR="00FC3F35" w:rsidRPr="00576C1D" w:rsidRDefault="00FC3F35" w:rsidP="00F37F5D">
      <w:pPr>
        <w:widowControl w:val="0"/>
        <w:shd w:val="clear" w:color="auto" w:fill="FFFFFF"/>
        <w:autoSpaceDE w:val="0"/>
        <w:autoSpaceDN w:val="0"/>
        <w:adjustRightInd w:val="0"/>
        <w:spacing w:after="0" w:line="274"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Usvajanjem pristupa s pilot projektima, Hrvatska prepoznaju ključnu važnost uključivanja učenja u središnje, regionalne i lokalne institucije te ocjenjivanja uspjeha i neuspjeha kako bi se pridonijelo kasnijim odlukama o nastavku i mogućem širenju sustava. Hrvatska se obvezala razviti tražene nacionalne strateške alate i mehanizme prije početka provođenja složenog programa integrirane regeneracije. Iako se mnogo može naučiti iz aktivnosti u drugim državama EU-a, u procesu poput ovog ključno je učiti na vlastitim djelima.</w:t>
      </w:r>
    </w:p>
    <w:p w:rsidR="00F37F5D" w:rsidRDefault="00FC3F35" w:rsidP="00F37F5D">
      <w:pPr>
        <w:widowControl w:val="0"/>
        <w:shd w:val="clear" w:color="auto" w:fill="FFFFFF"/>
        <w:autoSpaceDE w:val="0"/>
        <w:autoSpaceDN w:val="0"/>
        <w:adjustRightInd w:val="0"/>
        <w:spacing w:after="0" w:line="274" w:lineRule="exact"/>
        <w:ind w:left="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z w:val="24"/>
          <w:szCs w:val="24"/>
          <w:lang w:eastAsia="hr-HR"/>
        </w:rPr>
        <w:t>Kako bi se pomoglo u socioekonomskoj regeneraciji i rješavanju deprivacije područja na koja su najviše utjecali siromaštvo i socijalna isključenost te manjak gospodarskih mogućnosti, probni skup aktivnosti obavit će se unutar ovog specifičnog cilja u odabranim malim gradovima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37F5D">
      <w:pPr>
        <w:widowControl w:val="0"/>
        <w:shd w:val="clear" w:color="auto" w:fill="FFFFFF"/>
        <w:autoSpaceDE w:val="0"/>
        <w:autoSpaceDN w:val="0"/>
        <w:adjustRightInd w:val="0"/>
        <w:spacing w:before="278" w:after="0" w:line="274" w:lineRule="exact"/>
        <w:ind w:left="5" w:firstLine="3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w:t>
      </w:r>
      <w:r w:rsidRPr="00576C1D">
        <w:rPr>
          <w:rFonts w:ascii="Times New Roman" w:eastAsia="Times New Roman" w:hAnsi="Times New Roman" w:cs="Times New Roman"/>
          <w:color w:val="000000"/>
          <w:sz w:val="24"/>
          <w:szCs w:val="24"/>
          <w:lang w:eastAsia="hr-HR"/>
        </w:rPr>
        <w:tab/>
      </w:r>
      <w:r w:rsidRPr="00576C1D">
        <w:rPr>
          <w:rFonts w:ascii="Times New Roman" w:eastAsia="Times New Roman" w:hAnsi="Times New Roman" w:cs="Times New Roman"/>
          <w:color w:val="000000"/>
          <w:spacing w:val="-1"/>
          <w:sz w:val="24"/>
          <w:szCs w:val="24"/>
          <w:lang w:eastAsia="hr-HR"/>
        </w:rPr>
        <w:t>aktivnosti kojima se omogućava bolja usmjerenost intervencija, što povećava kapacitet nadležnih tijela uključenih u proces i podržava se priprema pet lokalnih planova za regenerativne intervencije</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tabs>
          <w:tab w:val="left" w:pos="787"/>
        </w:tabs>
        <w:autoSpaceDE w:val="0"/>
        <w:autoSpaceDN w:val="0"/>
        <w:adjustRightInd w:val="0"/>
        <w:spacing w:before="120"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w:t>
      </w:r>
      <w:r w:rsidRPr="00576C1D">
        <w:rPr>
          <w:rFonts w:ascii="Times New Roman" w:eastAsia="Times New Roman" w:hAnsi="Times New Roman" w:cs="Times New Roman"/>
          <w:color w:val="000000"/>
          <w:sz w:val="24"/>
          <w:szCs w:val="24"/>
          <w:lang w:eastAsia="hr-HR"/>
        </w:rPr>
        <w:tab/>
      </w:r>
      <w:r w:rsidRPr="00576C1D">
        <w:rPr>
          <w:rFonts w:ascii="Times New Roman" w:eastAsia="Times New Roman" w:hAnsi="Times New Roman" w:cs="Times New Roman"/>
          <w:color w:val="000000"/>
          <w:spacing w:val="-1"/>
          <w:sz w:val="24"/>
          <w:szCs w:val="24"/>
          <w:lang w:eastAsia="hr-HR"/>
        </w:rPr>
        <w:t>aktivnosti kojima se izravno podupire ostvarenje pet probnih lokalnih planova za intervencije s mogućim širenjem sustava u kasnijoj fazi.</w:t>
      </w:r>
    </w:p>
    <w:p w:rsidR="00FC3F35" w:rsidRPr="00576C1D" w:rsidRDefault="00FC3F35" w:rsidP="00FC3F35">
      <w:pPr>
        <w:widowControl w:val="0"/>
        <w:shd w:val="clear" w:color="auto" w:fill="FFFFFF"/>
        <w:autoSpaceDE w:val="0"/>
        <w:autoSpaceDN w:val="0"/>
        <w:adjustRightInd w:val="0"/>
        <w:spacing w:before="274" w:after="0" w:line="278"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xml:space="preserve">Integrirani planovi intervencije će se pripremiti i provesti u pet probnih malih gradova s između 10 i 35 tisuća stanovnika u ratom pogođenim područjima, ranije odabranim na temelju indeksa višestruke deprivacije korištenjem socioekonomskih </w:t>
      </w:r>
    </w:p>
    <w:p w:rsidR="00FC3F35" w:rsidRPr="00576C1D" w:rsidRDefault="00FC3F35" w:rsidP="00FC3F35">
      <w:pPr>
        <w:widowControl w:val="0"/>
        <w:shd w:val="clear" w:color="auto" w:fill="FFFFFF"/>
        <w:autoSpaceDE w:val="0"/>
        <w:autoSpaceDN w:val="0"/>
        <w:adjustRightInd w:val="0"/>
        <w:spacing w:before="274" w:after="0" w:line="278"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920" w:bottom="360" w:left="1178" w:header="720" w:footer="720" w:gutter="0"/>
          <w:cols w:num="2" w:space="720" w:equalWidth="0">
            <w:col w:w="2404" w:space="293"/>
            <w:col w:w="12038"/>
          </w:cols>
          <w:noEndnote/>
        </w:sectPr>
      </w:pPr>
    </w:p>
    <w:p w:rsidR="00FC3F35" w:rsidRPr="00576C1D" w:rsidRDefault="00C244E3" w:rsidP="00FC3F35">
      <w:pPr>
        <w:widowControl w:val="0"/>
        <w:autoSpaceDE w:val="0"/>
        <w:autoSpaceDN w:val="0"/>
        <w:adjustRightInd w:val="0"/>
        <w:spacing w:before="562"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Line 1920" o:spid="_x0000_s1106" style="position:absolute;z-index:251723776;visibility:visible;mso-position-horizontal-relative:margin" from="26.4pt,20.35pt" to="782.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274" w:after="0" w:line="278"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25"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r w:rsidRPr="00576C1D">
        <w:rPr>
          <w:rFonts w:ascii="Times New Roman" w:eastAsia="Times New Roman" w:hAnsi="Times New Roman" w:cs="Times New Roman"/>
          <w:sz w:val="20"/>
          <w:szCs w:val="20"/>
          <w:lang w:eastAsia="hr-HR"/>
        </w:rPr>
        <w:br w:type="column"/>
      </w:r>
    </w:p>
    <w:p w:rsidR="00FC3F35" w:rsidRPr="00576C1D" w:rsidRDefault="00C244E3" w:rsidP="00FC3F35">
      <w:pPr>
        <w:widowControl w:val="0"/>
        <w:shd w:val="clear" w:color="auto" w:fill="FFFFFF"/>
        <w:autoSpaceDE w:val="0"/>
        <w:autoSpaceDN w:val="0"/>
        <w:adjustRightInd w:val="0"/>
        <w:spacing w:after="0" w:line="274" w:lineRule="exact"/>
        <w:ind w:left="3336"/>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21" o:spid="_x0000_s1105" style="position:absolute;left:0;text-align:left;z-index:251749888;visibility:visible;mso-position-horizontal-relative:margin" from="25.9pt,-.95pt" to="78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RVFgIAAC0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" o:allowincell="f" strokeweight=".25pt">
            <w10:wrap anchorx="margin"/>
          </v:line>
        </w:pict>
      </w:r>
      <w:r w:rsidR="00FC3F35" w:rsidRPr="00576C1D">
        <w:rPr>
          <w:rFonts w:ascii="Times New Roman" w:eastAsia="Times New Roman" w:hAnsi="Times New Roman" w:cs="Times New Roman"/>
          <w:color w:val="000000"/>
          <w:spacing w:val="-1"/>
          <w:sz w:val="24"/>
          <w:szCs w:val="24"/>
          <w:lang w:eastAsia="hr-HR"/>
        </w:rPr>
        <w:t xml:space="preserve"> podataka dostupnihna razini općine vezanih uz nezaposlenost, demografiju, razinu obrazovanja, udjela stanovništva na socijalnoj pomoći, a jedan grad udovoljava i kriteriju značajnosti romske manjine. Specifični fokus planova intervencija trebaju biti ranjive skupine a posebnu se pozornost treba posvetiti osiguravanju društvene i prostorne raznovrsnosti osoba</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69" w:after="0" w:line="278" w:lineRule="exact"/>
        <w:ind w:left="3341" w:right="235"/>
        <w:jc w:val="both"/>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Pod uvjetom da pripremna faza bude uspješno dovršena, što uključuje pripremu i evaluaciju planova intervencija za 5 probnih područja, kasnija provedba planova intervencija imat će konkretne ciljeve, općenito vezane za utjecaj odabranih projekata na siromaštvo, koji će se provoditi uz neobvezujuće aktivnosti ESF-a kao što je identificirano u planovima intervencija</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69" w:after="0" w:line="240" w:lineRule="auto"/>
        <w:ind w:left="3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Dva su glavna očekivana rezultata korištenja EFRR-a (komplementarno korištenju ESF-a) unutar ovog specifičnog cilja:</w:t>
      </w:r>
    </w:p>
    <w:p w:rsidR="00FC3F35" w:rsidRPr="00576C1D" w:rsidRDefault="00FC3F35" w:rsidP="00FC3F35">
      <w:pPr>
        <w:widowControl w:val="0"/>
        <w:numPr>
          <w:ilvl w:val="0"/>
          <w:numId w:val="2"/>
        </w:numPr>
        <w:shd w:val="clear" w:color="auto" w:fill="FFFFFF"/>
        <w:tabs>
          <w:tab w:val="left" w:pos="4056"/>
        </w:tabs>
        <w:autoSpaceDE w:val="0"/>
        <w:autoSpaceDN w:val="0"/>
        <w:adjustRightInd w:val="0"/>
        <w:spacing w:before="283" w:after="0" w:line="274" w:lineRule="exact"/>
        <w:ind w:left="4056"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poboljšanje socioekonomskih i životnih uvjeta u 5 probnih malih gradova što će daljnje smanjiti daljnji gubitak stanovništva. Skupovi intervencija rezultirat će regeneracijom oslabljenih područja i doprinijeti smanjenju nejednakosti, socijalne isključenosti i siromaštva, i</w:t>
      </w:r>
    </w:p>
    <w:p w:rsidR="00FC3F35" w:rsidRPr="00576C1D" w:rsidRDefault="00FC3F35" w:rsidP="00FC3F35">
      <w:pPr>
        <w:widowControl w:val="0"/>
        <w:numPr>
          <w:ilvl w:val="0"/>
          <w:numId w:val="2"/>
        </w:numPr>
        <w:shd w:val="clear" w:color="auto" w:fill="FFFFFF"/>
        <w:tabs>
          <w:tab w:val="left" w:pos="4056"/>
        </w:tabs>
        <w:autoSpaceDE w:val="0"/>
        <w:autoSpaceDN w:val="0"/>
        <w:adjustRightInd w:val="0"/>
        <w:spacing w:before="120" w:after="0" w:line="274" w:lineRule="exact"/>
        <w:ind w:left="4056"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projektiranje i ispitivanje novog modela pristupa temeljenog na području. Cilj pristupa je regeneracija depriviranih područja rješavanjem geografski koncentriranih problema  socioekonomske depriviranosti</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4" w:after="4042" w:line="278" w:lineRule="exact"/>
        <w:ind w:left="3341" w:right="283"/>
        <w:jc w:val="both"/>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Kasnije se model regeneracije može primijeniti u drugim depriviranim malim i srednje velikim gradovima s 10 do 50 tisuća stanovnika koje će se identificirati na temelju mapiranja siromaštva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274" w:after="4042" w:line="278" w:lineRule="exact"/>
        <w:ind w:left="3341" w:right="283"/>
        <w:jc w:val="both"/>
        <w:rPr>
          <w:rFonts w:ascii="Times New Roman" w:eastAsia="Times New Roman" w:hAnsi="Times New Roman" w:cs="Times New Roman"/>
          <w:sz w:val="20"/>
          <w:szCs w:val="20"/>
          <w:lang w:eastAsia="hr-HR"/>
        </w:rPr>
        <w:sectPr w:rsidR="00FC3F35" w:rsidRPr="00576C1D">
          <w:pgSz w:w="16834" w:h="11909" w:orient="landscape"/>
          <w:pgMar w:top="1181"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22" o:spid="_x0000_s1104" style="position:absolute;z-index:251751936;visibility:visible;mso-position-horizontal-relative:margin" from="26.4pt,-178.55pt" to="782.9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BFgIAAC0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81"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lastRenderedPageBreak/>
        <w:t xml:space="preserve">Tablica 3: Specifični programu pokazatelji rezultata, po specifičnom cilju </w:t>
      </w:r>
      <w:r w:rsidRPr="00576C1D">
        <w:rPr>
          <w:rFonts w:ascii="Times New Roman" w:eastAsia="Times New Roman" w:hAnsi="Times New Roman" w:cs="Times New Roman"/>
          <w:bCs/>
          <w:color w:val="000000"/>
          <w:spacing w:val="-1"/>
          <w:sz w:val="24"/>
          <w:szCs w:val="24"/>
          <w:lang w:eastAsia="hr-HR"/>
        </w:rPr>
        <w:t>(za EFRR i 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277"/>
      </w:tblGrid>
      <w:tr w:rsidR="00FC3F35" w:rsidRPr="00576C1D" w:rsidTr="00FC3F35">
        <w:trPr>
          <w:trHeight w:hRule="exact" w:val="461"/>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Specifični cilj</w:t>
            </w:r>
          </w:p>
        </w:tc>
        <w:tc>
          <w:tcPr>
            <w:tcW w:w="11588"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8"/>
                <w:szCs w:val="18"/>
                <w:lang w:eastAsia="hr-HR"/>
              </w:rPr>
              <w:t>1 - Održiva fizička, socijalna i gospodarska regeneracija pet depriviranih pilot područja s ciljem smanjenja socijalnih nejednakosti, isključenosti i siromaštva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Pokazatelj</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Početna vrijednost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Početna godina</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Ciljna vrijednost (2023.)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Učestalost izvješćivanja</w:t>
            </w:r>
          </w:p>
        </w:tc>
      </w:tr>
      <w:tr w:rsidR="00FC3F35" w:rsidRPr="00576C1D" w:rsidTr="00FC3F35">
        <w:trPr>
          <w:trHeight w:hRule="exact" w:val="883"/>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9bll</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Smanjenje gubitka stanovništva u 5 pilot područja s programom društvene, gospodarske i teritorijalne regeneracije</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indeks vitalnosti</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70,70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2012.</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72,50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67"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Izvješća o projektu, ISU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6"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36" w:right="541" w:bottom="360" w:left="540" w:header="720" w:footer="720" w:gutter="0"/>
          <w:cols w:num="3" w:space="720" w:equalWidth="0">
            <w:col w:w="720" w:space="6922"/>
            <w:col w:w="720" w:space="6672"/>
            <w:col w:w="720"/>
          </w:cols>
          <w:noEndnote/>
        </w:sect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2.A.6 Aktivnosti koje će se podržati u okviru prioriteta ulaganja </w:t>
      </w:r>
      <w:r w:rsidRPr="00576C1D">
        <w:rPr>
          <w:rFonts w:ascii="Times New Roman" w:eastAsia="Times New Roman" w:hAnsi="Times New Roman" w:cs="Times New Roman"/>
          <w:bCs/>
          <w:color w:val="000000"/>
          <w:sz w:val="24"/>
          <w:szCs w:val="24"/>
          <w:lang w:eastAsia="hr-HR"/>
        </w:rPr>
        <w:t>(po prioritetu ulaganja)</w:t>
      </w:r>
    </w:p>
    <w:p w:rsidR="00FC3F35" w:rsidRPr="00576C1D" w:rsidRDefault="00C244E3"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pict>
          <v:line id="Line 1945" o:spid="_x0000_s1103" style="position:absolute;left:0;text-align:left;z-index:251772416;visibility:visible;mso-position-horizontal-relative:margin" from="782.9pt,55.65pt" to="782.9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3mcFQIAAC0EAAAOAAAAZHJzL2Uyb0RvYy54bWysU8GO2jAQvVfqP1i+QxI2Sy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" o:allowincell="f" strokeweight=".25pt">
            <w10:wrap anchorx="margin"/>
          </v:line>
        </w:pict>
      </w:r>
      <w:r w:rsidR="00FC3F35" w:rsidRPr="00576C1D">
        <w:rPr>
          <w:rFonts w:ascii="Times New Roman" w:eastAsia="Times New Roman" w:hAnsi="Times New Roman" w:cs="Times New Roman"/>
          <w:i/>
          <w:iCs/>
          <w:color w:val="000000"/>
          <w:sz w:val="24"/>
          <w:szCs w:val="24"/>
          <w:lang w:eastAsia="hr-HR"/>
        </w:rPr>
        <w:t>2. A. 6.1 Opis vrste i primjera aktivnosti koje će biti podržane i njihov očekivani doprinos specifičnim ciljevima uključujući, po potrebi, prepoznavanje glavnih ciljnih skupina, određenih ciljnih područja i vrsta korisnika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FC3F35" w:rsidRPr="00576C1D">
          <w:pgSz w:w="16834" w:h="11909" w:orient="landscape"/>
          <w:pgMar w:top="1433"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23" o:spid="_x0000_s1102" style="position:absolute;z-index:251753984;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H+FQIAAC0EAAAOAAAAZHJzL2Uyb0RvYy54bWysU02P2jAQvVfqf7B8h3zAUo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CKQ0H+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924" o:spid="_x0000_s1101" style="position:absolute;z-index:251755008;visibility:visible;mso-position-horizontal-relative:margin" from="-5.75pt,-2.65pt" to="-5.75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7lFQIAAC0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925" o:spid="_x0000_s1100" style="position:absolute;z-index:251756032;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9b - Pružanje podrške fizičkoj, gospodarskoj i socijalnoj obnovi ugroženih zajednica u urbanim i ruralnim područjima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433" w:right="4703" w:bottom="360" w:left="1183" w:header="720" w:footer="720" w:gutter="0"/>
          <w:cols w:num="2" w:space="720" w:equalWidth="0">
            <w:col w:w="2219" w:space="128"/>
            <w:col w:w="8601"/>
          </w:cols>
          <w:noEndnote/>
        </w:sectPr>
      </w:pPr>
    </w:p>
    <w:p w:rsidR="00FC3F35" w:rsidRPr="00576C1D" w:rsidRDefault="00C244E3" w:rsidP="00FC3F35">
      <w:pPr>
        <w:widowControl w:val="0"/>
        <w:shd w:val="clear" w:color="auto" w:fill="FFFFFF"/>
        <w:autoSpaceDE w:val="0"/>
        <w:autoSpaceDN w:val="0"/>
        <w:adjustRightInd w:val="0"/>
        <w:spacing w:before="192" w:after="0" w:line="240" w:lineRule="auto"/>
        <w:ind w:left="6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26" o:spid="_x0000_s1099" style="position:absolute;left:0;text-align:left;z-index:251758080;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VhFg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" o:allowincell="f" strokeweight=".25pt">
            <w10:wrap anchorx="margin"/>
          </v:line>
        </w:pict>
      </w:r>
      <w:r w:rsidR="00FC3F35" w:rsidRPr="00576C1D">
        <w:rPr>
          <w:rFonts w:ascii="Times New Roman" w:eastAsia="Times New Roman" w:hAnsi="Times New Roman" w:cs="Times New Roman"/>
          <w:color w:val="000000"/>
          <w:spacing w:val="-1"/>
          <w:sz w:val="24"/>
          <w:szCs w:val="24"/>
          <w:u w:val="single"/>
          <w:lang w:eastAsia="hr-HR"/>
        </w:rPr>
        <w:t>Unutar 9.2.1 mogu se podržati sljedeće aktivnosti:</w:t>
      </w:r>
    </w:p>
    <w:p w:rsidR="00FC3F35" w:rsidRPr="00576C1D" w:rsidRDefault="00FC3F35" w:rsidP="00FC3F35">
      <w:pPr>
        <w:widowControl w:val="0"/>
        <w:shd w:val="clear" w:color="auto" w:fill="FFFFFF"/>
        <w:autoSpaceDE w:val="0"/>
        <w:autoSpaceDN w:val="0"/>
        <w:adjustRightInd w:val="0"/>
        <w:spacing w:before="278"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Unutar ovog specifičnog cilja planirane su dvije vrste aktivnosti:</w:t>
      </w:r>
    </w:p>
    <w:p w:rsidR="00FC3F35" w:rsidRPr="00576C1D" w:rsidRDefault="00FC3F35" w:rsidP="00FC3F35">
      <w:pPr>
        <w:widowControl w:val="0"/>
        <w:shd w:val="clear" w:color="auto" w:fill="FFFFFF"/>
        <w:autoSpaceDE w:val="0"/>
        <w:autoSpaceDN w:val="0"/>
        <w:adjustRightInd w:val="0"/>
        <w:spacing w:before="274"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1. Pripremne aktivnosti kojima se omogućava bolja usmjerenost intervencija, uključivanje ključnih lokalnih dionika u pripremu planova intervencija za 5 pilot područja, povećanje kapaciteta lokalnih i nacionalnih tijela te dionika uključenih u proces, stvaranje jasnog strateškog pristupa za regeneraciju te potpora pripreme planova integracije</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58" w:after="0" w:line="552" w:lineRule="exact"/>
        <w:ind w:left="638" w:right="5741" w:firstLine="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xml:space="preserve">Priprema mapiranja siromaštva i razvoj indeksa višestruke deprivacije. </w:t>
      </w:r>
      <w:r w:rsidRPr="00576C1D">
        <w:rPr>
          <w:rFonts w:ascii="Times New Roman" w:eastAsia="Times New Roman" w:hAnsi="Times New Roman" w:cs="Times New Roman"/>
          <w:color w:val="000000"/>
          <w:spacing w:val="-1"/>
          <w:sz w:val="24"/>
          <w:szCs w:val="24"/>
          <w:lang w:eastAsia="hr-HR"/>
        </w:rPr>
        <w:br/>
      </w:r>
      <w:r w:rsidRPr="00576C1D">
        <w:rPr>
          <w:rFonts w:ascii="Times New Roman" w:eastAsia="Times New Roman" w:hAnsi="Times New Roman" w:cs="Times New Roman"/>
          <w:color w:val="000000"/>
          <w:sz w:val="24"/>
          <w:szCs w:val="24"/>
          <w:lang w:eastAsia="hr-HR"/>
        </w:rPr>
        <w:t>Korisnik ove radnje će biti MRRFEU.</w:t>
      </w:r>
    </w:p>
    <w:p w:rsidR="00FC3F35" w:rsidRPr="00576C1D" w:rsidRDefault="00FC3F35" w:rsidP="00FC3F35">
      <w:pPr>
        <w:widowControl w:val="0"/>
        <w:shd w:val="clear" w:color="auto" w:fill="FFFFFF"/>
        <w:autoSpaceDE w:val="0"/>
        <w:autoSpaceDN w:val="0"/>
        <w:adjustRightInd w:val="0"/>
        <w:spacing w:before="226" w:after="0" w:line="278"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Mapiranje siromaštva obavit će se usporedno s pilot projektima kako bi se precizno odredilo geografska područja najviše pogođena siromaštvom i deprivacijom, kako bismo, u svrhu za mogućeg budućeg širenja sustava, uvidjeli temeljne uzročnike siromaštva u odnosu na njegovu prostornu distribuciju</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69" w:after="0" w:line="278" w:lineRule="exact"/>
        <w:ind w:left="638" w:firstLine="6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Izgradnja kapaciteta tijela javne vlasti, OCD-ova i drugih dionika kako bi se nosili sa složenim, integriranim problemima regeneracije, vezano uz područje, te tehnička pomoć tijelima lokalne vlasti tijekom faze provedbe (osobito za provedbu postupaka javne nabave)</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Korisnik ove radnje će biti MRRFEU, a ciljna skupina su: tijela lokalne vlasti, NVO-ovi, OCD-ovi, privatna poduzeća iz odabranih gradova.</w:t>
      </w:r>
    </w:p>
    <w:p w:rsidR="00FC3F35" w:rsidRPr="00576C1D" w:rsidRDefault="00C244E3" w:rsidP="00FC3F35">
      <w:pPr>
        <w:widowControl w:val="0"/>
        <w:shd w:val="clear" w:color="auto" w:fill="FFFFFF"/>
        <w:tabs>
          <w:tab w:val="left" w:leader="underscore" w:pos="15619"/>
        </w:tabs>
        <w:autoSpaceDE w:val="0"/>
        <w:autoSpaceDN w:val="0"/>
        <w:adjustRightInd w:val="0"/>
        <w:spacing w:before="278" w:after="941" w:line="240" w:lineRule="auto"/>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944" o:spid="_x0000_s1098" style="position:absolute;left:0;text-align:left;z-index:251770368;visibility:visible;mso-position-horizontal-relative:margin" from="25.9pt,29.35pt" to="782.4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MjFQ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" o:allowincell="f" strokeweight=".25pt">
            <w10:wrap anchorx="margin"/>
          </v:line>
        </w:pict>
      </w:r>
      <w:r w:rsidR="00FC3F35" w:rsidRPr="00576C1D">
        <w:rPr>
          <w:rFonts w:ascii="Times New Roman" w:eastAsia="Times New Roman" w:hAnsi="Times New Roman" w:cs="Times New Roman"/>
          <w:color w:val="000000"/>
          <w:spacing w:val="-1"/>
          <w:sz w:val="24"/>
          <w:szCs w:val="24"/>
          <w:lang w:eastAsia="hr-HR"/>
        </w:rPr>
        <w:t>Važan element modela je također aktivacija lokalnih vlasti i partnera kako bi se intervencija ESIF-a bolje usmjerile, kao što je objašnjeno u planovima</w:t>
      </w:r>
    </w:p>
    <w:p w:rsidR="00FC3F35" w:rsidRPr="00576C1D" w:rsidRDefault="00FC3F35" w:rsidP="00FC3F35">
      <w:pPr>
        <w:widowControl w:val="0"/>
        <w:shd w:val="clear" w:color="auto" w:fill="FFFFFF"/>
        <w:tabs>
          <w:tab w:val="left" w:leader="underscore" w:pos="15619"/>
        </w:tabs>
        <w:autoSpaceDE w:val="0"/>
        <w:autoSpaceDN w:val="0"/>
        <w:adjustRightInd w:val="0"/>
        <w:spacing w:before="278" w:after="941" w:line="240" w:lineRule="auto"/>
        <w:ind w:left="643"/>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28" o:spid="_x0000_s1097" style="position:absolute;flip:x;z-index:251579904;visibility:visible;mso-position-horizontal-relative:margin" from="-7.55pt,-2.6pt" to="-6.2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" o:allowincell="f" strokeweight=".25pt">
            <w10:wrap anchorx="margin"/>
          </v:line>
        </w:pict>
      </w:r>
      <w:r>
        <w:rPr>
          <w:rFonts w:ascii="Times New Roman" w:eastAsia="Times New Roman" w:hAnsi="Times New Roman" w:cs="Times New Roman"/>
          <w:noProof/>
          <w:sz w:val="20"/>
          <w:szCs w:val="20"/>
          <w:lang w:eastAsia="hr-HR"/>
        </w:rPr>
        <w:pict>
          <v:line id="Line 1927" o:spid="_x0000_s1096" style="position:absolute;z-index:251578880;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t5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hdRbeR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929" o:spid="_x0000_s1095" style="position:absolute;z-index:251760128;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9b - Pružanje podrške fizičkoj, gospodarskoj i socijalnoj obnovi ugroženih zajednica u urbanim i ruralnim područjima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pgSz w:w="16834" w:h="11909" w:orient="landscape"/>
          <w:pgMar w:top="1207" w:right="4703" w:bottom="360" w:left="1183" w:header="720" w:footer="720" w:gutter="0"/>
          <w:cols w:num="2" w:space="720" w:equalWidth="0">
            <w:col w:w="1936" w:space="411"/>
            <w:col w:w="8601"/>
          </w:cols>
          <w:noEndnote/>
        </w:sectPr>
      </w:pPr>
    </w:p>
    <w:p w:rsidR="00FC3F35" w:rsidRPr="00576C1D" w:rsidRDefault="00C244E3" w:rsidP="00FC3F35">
      <w:pPr>
        <w:widowControl w:val="0"/>
        <w:shd w:val="clear" w:color="auto" w:fill="FFFFFF"/>
        <w:autoSpaceDE w:val="0"/>
        <w:autoSpaceDN w:val="0"/>
        <w:adjustRightInd w:val="0"/>
        <w:spacing w:before="72" w:after="0" w:line="240" w:lineRule="auto"/>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lastRenderedPageBreak/>
        <w:pict>
          <v:line id="Line 1947" o:spid="_x0000_s1094" style="position:absolute;left:0;text-align:left;z-index:251595264;visibility:visible;mso-position-horizontal-relative:margin" from="782.65pt,-13.65pt" to="783.6pt,4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ZhGQIAADE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" o:allowincell="f" strokeweight=".25pt">
            <w10:wrap anchorx="margin"/>
          </v:line>
        </w:pict>
      </w:r>
      <w:r>
        <w:rPr>
          <w:rFonts w:ascii="Times New Roman" w:eastAsia="Times New Roman" w:hAnsi="Times New Roman" w:cs="Times New Roman"/>
          <w:noProof/>
          <w:sz w:val="20"/>
          <w:szCs w:val="20"/>
          <w:lang w:eastAsia="hr-HR"/>
        </w:rPr>
        <w:pict>
          <v:line id="Line 1930" o:spid="_x0000_s1093" style="position:absolute;left:0;text-align:left;z-index:251761152;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a0FwIAAC0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" o:allowincell="f" strokeweight=".25pt">
            <w10:wrap anchorx="margin"/>
          </v:line>
        </w:pict>
      </w:r>
      <w:r w:rsidR="00FC3F35" w:rsidRPr="00576C1D">
        <w:rPr>
          <w:rFonts w:ascii="Times New Roman" w:eastAsia="Times New Roman" w:hAnsi="Times New Roman" w:cs="Times New Roman"/>
          <w:color w:val="000000"/>
          <w:spacing w:val="-1"/>
          <w:sz w:val="24"/>
          <w:szCs w:val="24"/>
          <w:lang w:eastAsia="hr-HR"/>
        </w:rPr>
        <w:t>intervencije kojima se opisuju potrebe određenog područja</w:t>
      </w:r>
      <w:r w:rsidR="00FC3F35"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Priprema područnih lokalnih planova ulaganja za regeneraciju 5 depriviranih malih gradova. Pilot gradove će MRRFEU ranije odabrati u skladu sa sljedećim kriterijima: veličina (maleni gradovi s 10 do 35 tisuća stanovnika), područja pogođena ratom, malim indeksom višestruke deprivacije (izvedeno iz raspoloživih podataka o društvenom statusu, demografskim kriterijima, obrazovanju, problemima romske manjine, potencijalnima razvoja lokalnih samouprava)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Korisnici ove aktivnosti u prvoj će fazi biti pet lokalnih općina malih gradova u pilot područjima, i drugi dionici koji će sudjelovati u pripremi planova intervencija.</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Priprema planova intervencija na temelju dokaza dovest će do stvaranja prenosivog modela kako bi se postigla fizička, društvena i gospodarska regeneracija depriviranih zajednica u urbanim i ruralnim područjima Hrvatske. Ovisno o evaluaciji učinkovitosti i efikasnosti provedbe planova intervencije te raspoloživosti sredstava, moći će se pripremiti planove intervencija za depriviranija područja odabrana na temelju rezultata mapiranja siromaštva</w:t>
      </w:r>
      <w:r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830"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2. Provedba pet probnih planova intervencija:</w:t>
      </w:r>
    </w:p>
    <w:p w:rsidR="00FC3F35" w:rsidRPr="00576C1D" w:rsidRDefault="00FC3F35" w:rsidP="00FC3F35">
      <w:pPr>
        <w:widowControl w:val="0"/>
        <w:shd w:val="clear" w:color="auto" w:fill="FFFFFF"/>
        <w:autoSpaceDE w:val="0"/>
        <w:autoSpaceDN w:val="0"/>
        <w:adjustRightInd w:val="0"/>
        <w:spacing w:before="278"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Lokalni planovi intervencija koje pripremaju tijela lokalne vlasti trebaju biti usmjereni na socioekonomsku i fizičku regeneraciju zadanog područja i uključivati razne integrirane mjere koje pridonose postizanju zadanih ciljeva, a financiraju ih EFRR i ESF. Planove intervencija ocjenjuje i odobrava Ministarstvo regionalnoga razvoja i fondova Europske unije. Potporu će se pružiti u obliku bespovratnih sredstava za 5 pilot projekata u predodabranim pilot područjima kojima se ostvaruju ciljevi ciljanih depriviranih područja određenih planovima ulaganja. Fondovima EFRR-a stvorit će se infrastruktura zajednice i gospodarska infrastruktura, nužne za osiguranje održivosti. ESF će se koristiti na integriran način kako bi se sufinanciralo pružanje društvenih, obrazovnih, gospodarskih usluga i usluga vezanih za zapošljavanje, potrebnih za učinkovito ostvarenje ciljeva planova intervencija</w:t>
      </w:r>
      <w:r w:rsidRPr="00576C1D">
        <w:rPr>
          <w:rFonts w:ascii="Times New Roman" w:eastAsia="Times New Roman" w:hAnsi="Times New Roman" w:cs="Times New Roman"/>
          <w:color w:val="000000"/>
          <w:sz w:val="24"/>
          <w:szCs w:val="24"/>
          <w:lang w:eastAsia="hr-HR"/>
        </w:rPr>
        <w:t>.</w:t>
      </w:r>
    </w:p>
    <w:p w:rsidR="00FC3F35" w:rsidRPr="00576C1D" w:rsidRDefault="00C244E3" w:rsidP="00FC3F35">
      <w:pPr>
        <w:widowControl w:val="0"/>
        <w:shd w:val="clear" w:color="auto" w:fill="FFFFFF"/>
        <w:tabs>
          <w:tab w:val="left" w:leader="underscore" w:pos="15600"/>
        </w:tabs>
        <w:autoSpaceDE w:val="0"/>
        <w:autoSpaceDN w:val="0"/>
        <w:adjustRightInd w:val="0"/>
        <w:spacing w:before="278" w:after="778" w:line="274" w:lineRule="exact"/>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color w:val="000000"/>
          <w:sz w:val="24"/>
          <w:szCs w:val="24"/>
          <w:lang w:eastAsia="hr-HR"/>
        </w:rPr>
        <w:pict>
          <v:line id="Line 1946" o:spid="_x0000_s1092" style="position:absolute;left:0;text-align:left;z-index:251773440;visibility:visible;mso-position-horizontal-relative:margin" from="26.4pt,75.9pt" to="783.3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ol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Korisnici ove aktivnosti su tijela lokalne vlasti pilot područja, te općinske i državne ustanove, nevladine organizacije, pružatelji društvenih i zdravstvenih usluga, neprofitna gospodarska i razvojna udruženja i udruženja lokalnih samouprava, mala poduzetništva u pilot područjima. Glavne ciljne skupine su stanovnici 5 malih gradova pilot područja, s naglaskom na osobama niskog društvenog statusa u opasnosti socijalne isključenosti, poput povratnika i izbjeglica,</w:t>
      </w:r>
    </w:p>
    <w:p w:rsidR="00FC3F35" w:rsidRPr="00576C1D" w:rsidRDefault="00FC3F35" w:rsidP="00FC3F35">
      <w:pPr>
        <w:widowControl w:val="0"/>
        <w:shd w:val="clear" w:color="auto" w:fill="FFFFFF"/>
        <w:tabs>
          <w:tab w:val="left" w:leader="underscore" w:pos="15600"/>
        </w:tabs>
        <w:autoSpaceDE w:val="0"/>
        <w:autoSpaceDN w:val="0"/>
        <w:adjustRightInd w:val="0"/>
        <w:spacing w:before="278" w:after="778" w:line="274" w:lineRule="exact"/>
        <w:ind w:left="643"/>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before="144"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32" o:spid="_x0000_s1091" style="position:absolute;z-index:251592192;visibility:visible;mso-position-horizontal-relative:margin" from="-5.75pt,-3.35pt" to="-5.75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cZFgIAAC0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" o:allowincell="f" strokeweight=".25pt">
            <w10:wrap anchorx="margin"/>
          </v:line>
        </w:pict>
      </w:r>
      <w:r>
        <w:rPr>
          <w:rFonts w:ascii="Times New Roman" w:eastAsia="Times New Roman" w:hAnsi="Times New Roman" w:cs="Times New Roman"/>
          <w:noProof/>
          <w:sz w:val="20"/>
          <w:szCs w:val="20"/>
          <w:lang w:eastAsia="hr-HR"/>
        </w:rPr>
        <w:pict>
          <v:line id="Line 1931" o:spid="_x0000_s1090" style="position:absolute;z-index:25158604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isFgIAAC0EAAAOAAAAZHJzL2Uyb0RvYy54bWysU8uu2jAQ3VfqP1jeQxLIpR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JTSIrBYCAAAt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933" o:spid="_x0000_s1089" style="position:absolute;z-index:251593216;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psEwIAACwEAAAOAAAAZHJzL2Uyb0RvYy54bWysU8GO2jAQvVfqP1i+QxKg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9b - Pružanje podrške fizičkoj, gospodarskoj i socijalnoj obnovi ugroženih zajednica u urbanim i ruralnim područjima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pgSz w:w="16834" w:h="11909" w:orient="landscape"/>
          <w:pgMar w:top="1205" w:right="4703" w:bottom="360" w:left="1183" w:header="720" w:footer="720" w:gutter="0"/>
          <w:cols w:num="2" w:space="720" w:equalWidth="0">
            <w:col w:w="2219" w:space="128"/>
            <w:col w:w="8601"/>
          </w:cols>
          <w:noEndnote/>
        </w:sectPr>
      </w:pPr>
    </w:p>
    <w:p w:rsidR="00FC3F35" w:rsidRPr="00576C1D" w:rsidRDefault="00C244E3" w:rsidP="00FC3F35">
      <w:pPr>
        <w:widowControl w:val="0"/>
        <w:shd w:val="clear" w:color="auto" w:fill="FFFFFF"/>
        <w:autoSpaceDE w:val="0"/>
        <w:autoSpaceDN w:val="0"/>
        <w:adjustRightInd w:val="0"/>
        <w:spacing w:before="72" w:after="0" w:line="240" w:lineRule="auto"/>
        <w:ind w:left="64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_x0000_s1088" style="position:absolute;left:0;text-align:left;z-index:251650560;visibility:visible;mso-position-horizontal-relative:margin" from="782.9pt,-14.4pt" to="782.9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cPFAIAACw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934" o:spid="_x0000_s1087" style="position:absolute;left:0;text-align:left;z-index:251594240;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Ah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 xml:space="preserve"> branitelja i stradalnika Domovinskog rata i romske populacije</w:t>
      </w:r>
      <w:r w:rsidR="00FC3F35" w:rsidRPr="00576C1D">
        <w:rPr>
          <w:rFonts w:ascii="Times New Roman" w:eastAsia="Times New Roman" w:hAnsi="Times New Roman" w:cs="Times New Roman"/>
          <w:color w:val="000000"/>
          <w:spacing w:val="-1"/>
          <w:sz w:val="24"/>
          <w:szCs w:val="24"/>
          <w:lang w:eastAsia="hr-HR"/>
        </w:rPr>
        <w:t>.</w:t>
      </w:r>
    </w:p>
    <w:p w:rsidR="00FC3F35" w:rsidRPr="00576C1D" w:rsidRDefault="00FC3F35" w:rsidP="00FC3F35">
      <w:pPr>
        <w:widowControl w:val="0"/>
        <w:shd w:val="clear" w:color="auto" w:fill="FFFFFF"/>
        <w:autoSpaceDE w:val="0"/>
        <w:autoSpaceDN w:val="0"/>
        <w:adjustRightInd w:val="0"/>
        <w:spacing w:before="835" w:after="0" w:line="274" w:lineRule="exact"/>
        <w:ind w:left="648" w:right="4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EFRR i ESF će podržati ostvarenje pet integriranih planova intervencija koje pripremaju tijela lokalne vlasti a ocjenjuje MRRFEU sa svrhom rješavanja temeljnih uzročnika siromaštva i socijalne isključenosti</w:t>
      </w:r>
      <w:r w:rsidRPr="00576C1D">
        <w:rPr>
          <w:rFonts w:ascii="Times New Roman" w:eastAsia="Times New Roman" w:hAnsi="Times New Roman" w:cs="Times New Roman"/>
          <w:color w:val="000000"/>
          <w:sz w:val="24"/>
          <w:szCs w:val="24"/>
          <w:lang w:eastAsia="hr-HR"/>
        </w:rPr>
        <w:t>.</w:t>
      </w:r>
    </w:p>
    <w:p w:rsidR="00FC3F35" w:rsidRPr="00576C1D" w:rsidRDefault="00FC3F35" w:rsidP="00FC3F35">
      <w:pPr>
        <w:widowControl w:val="0"/>
        <w:shd w:val="clear" w:color="auto" w:fill="FFFFFF"/>
        <w:autoSpaceDE w:val="0"/>
        <w:autoSpaceDN w:val="0"/>
        <w:adjustRightInd w:val="0"/>
        <w:spacing w:before="835"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Planovi intervencija mogu uključivati razne aktivnosti obnove u depriviranim područjima, ovisno o specifičnim potrebama identificiranima u određenom području. Indikativni popis uključuje</w:t>
      </w:r>
      <w:r w:rsidRPr="00576C1D">
        <w:rPr>
          <w:rFonts w:ascii="Times New Roman" w:eastAsia="Times New Roman" w:hAnsi="Times New Roman" w:cs="Times New Roman"/>
          <w:color w:val="000000"/>
          <w:spacing w:val="-2"/>
          <w:sz w:val="24"/>
          <w:szCs w:val="24"/>
          <w:lang w:eastAsia="hr-HR"/>
        </w:rPr>
        <w:t>:</w:t>
      </w: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Ulaganja u objekte javne namjene, uključujući ulaganja u javne prostore i objekte kao što su javne zelene površine, pješačke staze, otvoreni kanali za odvodnju, tržnice, parkirališta, javne zgrade i objekti koji se koriste za obrazovne, kulturne i rekreacijske svrhe s ciljem uspostave, poboljšanja ili proširenja osnovnih usluga (izgradnja/obnova)</w:t>
      </w:r>
    </w:p>
    <w:p w:rsidR="00FC3F35" w:rsidRPr="00576C1D" w:rsidRDefault="00FC3F35" w:rsidP="00FC3F35">
      <w:pPr>
        <w:widowControl w:val="0"/>
        <w:shd w:val="clear" w:color="auto" w:fill="FFFFFF"/>
        <w:autoSpaceDE w:val="0"/>
        <w:autoSpaceDN w:val="0"/>
        <w:adjustRightInd w:val="0"/>
        <w:spacing w:before="283" w:after="0" w:line="240" w:lineRule="auto"/>
        <w:ind w:left="12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Ulaganja u izgradnju/obnovu svih vrsta malih osnovnih komunalnih usluga (kao što su plin, električna energija, voda, sanitarija);</w:t>
      </w:r>
    </w:p>
    <w:p w:rsidR="00FC3F35" w:rsidRPr="00576C1D" w:rsidRDefault="00FC3F35" w:rsidP="00FC3F35">
      <w:pPr>
        <w:widowControl w:val="0"/>
        <w:shd w:val="clear" w:color="auto" w:fill="FFFFFF"/>
        <w:autoSpaceDE w:val="0"/>
        <w:autoSpaceDN w:val="0"/>
        <w:adjustRightInd w:val="0"/>
        <w:spacing w:before="278" w:after="0" w:line="274" w:lineRule="exact"/>
        <w:ind w:left="638" w:firstLine="6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Izgradnja/obnova nerazvrstanih općinskih cesta (za koje je odgovorna lokalna samouprava) uključujući pločnike, postaje javnog prijevoza i uličnu rasvjetu;</w:t>
      </w:r>
    </w:p>
    <w:p w:rsidR="00FC3F35" w:rsidRPr="00576C1D" w:rsidRDefault="00FC3F35" w:rsidP="00FC3F35">
      <w:pPr>
        <w:widowControl w:val="0"/>
        <w:shd w:val="clear" w:color="auto" w:fill="FFFFFF"/>
        <w:autoSpaceDE w:val="0"/>
        <w:autoSpaceDN w:val="0"/>
        <w:adjustRightInd w:val="0"/>
        <w:spacing w:before="264" w:after="0" w:line="283" w:lineRule="exact"/>
        <w:ind w:left="648" w:firstLine="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Izgradnja/obnova postojećeg stambenog fonda u funkciji socijalnog stanovanja kao i prenamjena zgrada za socijalno stanovanje i druge svrhe (uključujući poslovne);</w:t>
      </w:r>
    </w:p>
    <w:p w:rsidR="00FC3F35" w:rsidRPr="00576C1D" w:rsidRDefault="00FC3F35" w:rsidP="00FC3F35">
      <w:pPr>
        <w:widowControl w:val="0"/>
        <w:shd w:val="clear" w:color="auto" w:fill="FFFFFF"/>
        <w:autoSpaceDE w:val="0"/>
        <w:autoSpaceDN w:val="0"/>
        <w:adjustRightInd w:val="0"/>
        <w:spacing w:before="269" w:after="0" w:line="278" w:lineRule="exact"/>
        <w:ind w:left="648" w:firstLine="6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Razvoj i provedba socijalnih programa stambenog zbrinjavanja u suradnji s lokalnom i regionalnom upravom, uključujući izgradnju stanova koju subvencionira država radi predviđene namjene socijalnog stanovanja;</w:t>
      </w:r>
    </w:p>
    <w:p w:rsidR="00FC3F35" w:rsidRPr="00576C1D" w:rsidRDefault="00C244E3" w:rsidP="00FC3F35">
      <w:pPr>
        <w:widowControl w:val="0"/>
        <w:shd w:val="clear" w:color="auto" w:fill="FFFFFF"/>
        <w:autoSpaceDE w:val="0"/>
        <w:autoSpaceDN w:val="0"/>
        <w:adjustRightInd w:val="0"/>
        <w:spacing w:before="278" w:after="1042" w:line="240" w:lineRule="auto"/>
        <w:ind w:left="1267"/>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086" style="position:absolute;left:0;text-align:left;z-index:251667968;visibility:visible;mso-position-horizontal-relative:margin" from="26.4pt,55.55pt" to="782.9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gxFg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U koordinaciji s aktivnostima predviđenima pod Specifičnim ciljem 9.1.1 Ulaganje u infrastrukturu i opremu primarne zdravstvene skrbi;</w:t>
      </w:r>
    </w:p>
    <w:p w:rsidR="00FC3F35" w:rsidRPr="00576C1D" w:rsidRDefault="00FC3F35" w:rsidP="00FC3F35">
      <w:pPr>
        <w:widowControl w:val="0"/>
        <w:shd w:val="clear" w:color="auto" w:fill="FFFFFF"/>
        <w:autoSpaceDE w:val="0"/>
        <w:autoSpaceDN w:val="0"/>
        <w:adjustRightInd w:val="0"/>
        <w:spacing w:before="278" w:after="1042" w:line="240" w:lineRule="auto"/>
        <w:ind w:left="1267"/>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5"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63" o:spid="_x0000_s1085" style="position:absolute;z-index:251601408;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6+aFQIAAC0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A806+aFQIAAC0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964" o:spid="_x0000_s1084" style="position:absolute;z-index:251608576;visibility:visible;mso-position-horizontal-relative:margin" from="-5.75pt,-2.65pt" to="-5.75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1EFQ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965" o:spid="_x0000_s1083" style="position:absolute;z-index:251619840;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uEwIAACwEAAAOAAAAZHJzL2Uyb0RvYy54bWysU8GO2yAQvVfqPyDuie3U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 xml:space="preserve">9b - Pružanje podrške fizičkoj, gospodarskoj i </w:t>
      </w:r>
      <w:r w:rsidRPr="00576C1D">
        <w:rPr>
          <w:rFonts w:ascii="Times New Roman" w:eastAsia="Times New Roman" w:hAnsi="Times New Roman" w:cs="Times New Roman"/>
          <w:color w:val="000000"/>
          <w:spacing w:val="-3"/>
          <w:sz w:val="18"/>
          <w:szCs w:val="18"/>
          <w:lang w:eastAsia="hr-HR"/>
        </w:rPr>
        <w:t xml:space="preserve">socijalnoj </w:t>
      </w:r>
      <w:r w:rsidRPr="00576C1D">
        <w:rPr>
          <w:rFonts w:ascii="Times New Roman" w:eastAsia="Times New Roman" w:hAnsi="Times New Roman" w:cs="Times New Roman"/>
          <w:color w:val="000000"/>
          <w:spacing w:val="-1"/>
          <w:sz w:val="18"/>
          <w:szCs w:val="18"/>
          <w:lang w:eastAsia="hr-HR"/>
        </w:rPr>
        <w:t>obnovi ugroženih zajednica u urbanim i ruralnim područjima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pgSz w:w="16834" w:h="11909" w:orient="landscape"/>
          <w:pgMar w:top="1207" w:right="4703" w:bottom="360" w:left="1183" w:header="720" w:footer="720" w:gutter="0"/>
          <w:cols w:num="2" w:space="720" w:equalWidth="0">
            <w:col w:w="1936" w:space="411"/>
            <w:col w:w="8601"/>
          </w:cols>
          <w:noEndnote/>
        </w:sectPr>
      </w:pPr>
    </w:p>
    <w:p w:rsidR="00FC3F35" w:rsidRPr="00576C1D" w:rsidRDefault="00C244E3" w:rsidP="00FC3F35">
      <w:pPr>
        <w:widowControl w:val="0"/>
        <w:shd w:val="clear" w:color="auto" w:fill="FFFFFF"/>
        <w:autoSpaceDE w:val="0"/>
        <w:autoSpaceDN w:val="0"/>
        <w:adjustRightInd w:val="0"/>
        <w:spacing w:before="72" w:after="0" w:line="240" w:lineRule="auto"/>
        <w:ind w:left="1267"/>
        <w:rPr>
          <w:rFonts w:ascii="Times New Roman" w:eastAsia="Times New Roman" w:hAnsi="Times New Roman" w:cs="Times New Roman"/>
          <w:sz w:val="24"/>
          <w:szCs w:val="24"/>
          <w:lang w:eastAsia="hr-HR"/>
        </w:rPr>
      </w:pPr>
      <w:r>
        <w:rPr>
          <w:rFonts w:ascii="Times New Roman" w:eastAsia="Times New Roman" w:hAnsi="Times New Roman" w:cs="Times New Roman"/>
          <w:noProof/>
          <w:sz w:val="20"/>
          <w:szCs w:val="20"/>
          <w:lang w:eastAsia="hr-HR"/>
        </w:rPr>
        <w:lastRenderedPageBreak/>
        <w:pict>
          <v:line id="_x0000_s1082" style="position:absolute;left:0;text-align:left;z-index:251692544;visibility:visible;mso-position-horizontal-relative:margin" from="783.1pt,-13.9pt" to="783.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" o:allowincell="f" strokeweight=".7pt">
            <w10:wrap anchorx="margin"/>
          </v:line>
        </w:pict>
      </w:r>
      <w:r>
        <w:rPr>
          <w:rFonts w:ascii="Times New Roman" w:eastAsia="Times New Roman" w:hAnsi="Times New Roman" w:cs="Times New Roman"/>
          <w:noProof/>
          <w:sz w:val="20"/>
          <w:szCs w:val="20"/>
          <w:lang w:eastAsia="hr-HR"/>
        </w:rPr>
        <w:pict>
          <v:line id="_x0000_s1081" style="position:absolute;left:0;text-align:left;z-index:251677184;visibility:visible;mso-position-horizontal-relative:margin" from="783.6pt,1.7pt" to="783.6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x4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966" o:spid="_x0000_s1080" style="position:absolute;left:0;text-align:left;z-index:251622912;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dXFQIAAC0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" o:allowincell="f" strokeweight=".25pt">
            <w10:wrap anchorx="margin"/>
          </v:line>
        </w:pict>
      </w:r>
      <w:r w:rsidR="00FC3F35" w:rsidRPr="00576C1D">
        <w:rPr>
          <w:rFonts w:ascii="Times New Roman" w:eastAsia="Times New Roman" w:hAnsi="Times New Roman" w:cs="Times New Roman"/>
          <w:sz w:val="24"/>
          <w:szCs w:val="24"/>
          <w:lang w:eastAsia="hr-HR"/>
        </w:rPr>
        <w:t>Ulaganja u temeljnu socijalnu infrastrukturu vezano uz širenje mreže usluga u zajednici (posebno vezano uz skrb za starije);</w:t>
      </w:r>
    </w:p>
    <w:p w:rsidR="00FC3F35" w:rsidRPr="00576C1D" w:rsidRDefault="00FC3F35" w:rsidP="00FC3F35">
      <w:pPr>
        <w:widowControl w:val="0"/>
        <w:shd w:val="clear" w:color="auto" w:fill="FFFFFF"/>
        <w:autoSpaceDE w:val="0"/>
        <w:autoSpaceDN w:val="0"/>
        <w:adjustRightInd w:val="0"/>
        <w:spacing w:before="278" w:after="0" w:line="274" w:lineRule="exact"/>
        <w:ind w:left="638" w:firstLine="6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Druge aktivnosti koje su potrebne za složeni razvoj infrastrukture manjih gradova i seoskih područja (uključujući rušenje zgrada i građevina koje neučinkovito koriste resurse i štete okolišu);</w:t>
      </w:r>
    </w:p>
    <w:p w:rsidR="00FC3F35" w:rsidRPr="00576C1D" w:rsidRDefault="00FC3F35" w:rsidP="00FC3F35">
      <w:pPr>
        <w:widowControl w:val="0"/>
        <w:shd w:val="clear" w:color="auto" w:fill="FFFFFF"/>
        <w:autoSpaceDE w:val="0"/>
        <w:autoSpaceDN w:val="0"/>
        <w:adjustRightInd w:val="0"/>
        <w:spacing w:before="278" w:after="0" w:line="274" w:lineRule="exact"/>
        <w:ind w:left="648" w:firstLine="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Izgradnja ili renovacija objekata poslovne podrške, osobito povezanih s podrškom ESF-a za samozapošljavanje, mikropoduzeća i aktivnosti socijalnog poduzetništva;</w:t>
      </w:r>
    </w:p>
    <w:p w:rsidR="00FC3F35" w:rsidRPr="00576C1D" w:rsidRDefault="00FC3F35" w:rsidP="00FC3F35">
      <w:pPr>
        <w:widowControl w:val="0"/>
        <w:shd w:val="clear" w:color="auto" w:fill="FFFFFF"/>
        <w:autoSpaceDE w:val="0"/>
        <w:autoSpaceDN w:val="0"/>
        <w:adjustRightInd w:val="0"/>
        <w:spacing w:before="278" w:after="0" w:line="274" w:lineRule="exact"/>
        <w:ind w:left="638" w:firstLine="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Izravna podrška stvaranju novih poduzeća, opstanku i rastu postojećih MSP-ova i institucija poslovne podrške, posebice prilagođena za ispunjavanje potreba i potencijala u smislu gospodarskog razvoja odabranih područja, uključujući viši intenzitet podrške po projektu u kombinaciji s trenutnom tehničkom pomoći, podrškom i mentorstvom u svim stadijima razvoja poslovanja.</w:t>
      </w:r>
    </w:p>
    <w:p w:rsidR="00FC3F35" w:rsidRPr="00576C1D" w:rsidRDefault="00FC3F35" w:rsidP="00FC3F35">
      <w:pPr>
        <w:widowControl w:val="0"/>
        <w:shd w:val="clear" w:color="auto" w:fill="FFFFFF"/>
        <w:autoSpaceDE w:val="0"/>
        <w:autoSpaceDN w:val="0"/>
        <w:adjustRightInd w:val="0"/>
        <w:spacing w:before="830" w:after="0" w:line="278" w:lineRule="exact"/>
        <w:ind w:left="653"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Ove aktivnosti EFRR-a bit će provedene na komplementaran i integriran način sa sljedećim aktivnostima ESF-a, koje su predviđene pod specifičnim ciljem 9.4.2 Operativnog programa Učinkoviti ljudski resursi, kao što su:</w:t>
      </w:r>
    </w:p>
    <w:p w:rsidR="00FC3F35" w:rsidRPr="00576C1D" w:rsidRDefault="00FC3F35" w:rsidP="00FC3F35">
      <w:pPr>
        <w:widowControl w:val="0"/>
        <w:shd w:val="clear" w:color="auto" w:fill="FFFFFF"/>
        <w:autoSpaceDE w:val="0"/>
        <w:autoSpaceDN w:val="0"/>
        <w:adjustRightInd w:val="0"/>
        <w:spacing w:before="48" w:after="0" w:line="557" w:lineRule="exact"/>
        <w:ind w:left="12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4"/>
          <w:szCs w:val="24"/>
          <w:lang w:eastAsia="hr-HR"/>
        </w:rPr>
        <w:t>Potpora za samozapošljavanje;</w:t>
      </w:r>
    </w:p>
    <w:p w:rsidR="00FC3F35" w:rsidRPr="00576C1D" w:rsidRDefault="00FC3F35" w:rsidP="00FC3F35">
      <w:pPr>
        <w:widowControl w:val="0"/>
        <w:shd w:val="clear" w:color="auto" w:fill="FFFFFF"/>
        <w:autoSpaceDE w:val="0"/>
        <w:autoSpaceDN w:val="0"/>
        <w:adjustRightInd w:val="0"/>
        <w:spacing w:after="0" w:line="557" w:lineRule="exact"/>
        <w:ind w:left="12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Potpora za razvoj socijalnog poduzetništva ;</w:t>
      </w:r>
    </w:p>
    <w:p w:rsidR="00FC3F35" w:rsidRPr="00576C1D" w:rsidRDefault="00FC3F35" w:rsidP="00FC3F35">
      <w:pPr>
        <w:widowControl w:val="0"/>
        <w:shd w:val="clear" w:color="auto" w:fill="FFFFFF"/>
        <w:autoSpaceDE w:val="0"/>
        <w:autoSpaceDN w:val="0"/>
        <w:adjustRightInd w:val="0"/>
        <w:spacing w:after="0" w:line="557" w:lineRule="exact"/>
        <w:ind w:left="12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Širenje mreže zdravstvenih i socijalnih usluga u zajednici;</w:t>
      </w:r>
    </w:p>
    <w:p w:rsidR="00FC3F35" w:rsidRPr="00576C1D" w:rsidRDefault="00FC3F35" w:rsidP="00FC3F35">
      <w:pPr>
        <w:widowControl w:val="0"/>
        <w:shd w:val="clear" w:color="auto" w:fill="FFFFFF"/>
        <w:autoSpaceDE w:val="0"/>
        <w:autoSpaceDN w:val="0"/>
        <w:adjustRightInd w:val="0"/>
        <w:spacing w:after="0" w:line="557" w:lineRule="exact"/>
        <w:ind w:left="12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Programi izobrazbe s ciljem zapošljavanja i razvoja vještina prilagođeni potrebama ranjivih skupina;</w:t>
      </w:r>
    </w:p>
    <w:p w:rsidR="00FC3F35" w:rsidRPr="00576C1D" w:rsidRDefault="00FC3F35" w:rsidP="00FC3F35">
      <w:pPr>
        <w:widowControl w:val="0"/>
        <w:shd w:val="clear" w:color="auto" w:fill="FFFFFF"/>
        <w:autoSpaceDE w:val="0"/>
        <w:autoSpaceDN w:val="0"/>
        <w:adjustRightInd w:val="0"/>
        <w:spacing w:before="221" w:after="0" w:line="274" w:lineRule="exact"/>
        <w:ind w:left="643" w:right="442" w:firstLine="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Aktivnosti usmjerene na poticanje zapošljavanja mladih i olakšavanje njihovog prelaska iz obrazovnog sustava na tržište rada, uključujući promicanje i aktivnosti dopiranja usmjerene na mlade općenito;</w:t>
      </w:r>
    </w:p>
    <w:p w:rsidR="00FC3F35" w:rsidRPr="00576C1D" w:rsidRDefault="00C244E3" w:rsidP="00FC3F35">
      <w:pPr>
        <w:widowControl w:val="0"/>
        <w:shd w:val="clear" w:color="auto" w:fill="FFFFFF"/>
        <w:autoSpaceDE w:val="0"/>
        <w:autoSpaceDN w:val="0"/>
        <w:adjustRightInd w:val="0"/>
        <w:spacing w:before="278" w:after="763" w:line="240" w:lineRule="auto"/>
        <w:ind w:left="1267"/>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079" style="position:absolute;left:0;text-align:left;z-index:251687424;visibility:visible;mso-position-horizontal-relative:margin" from="26.05pt,27.3pt" to="782.5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XxFwIAAC0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" o:allowincell="f" strokeweight=".25pt">
            <w10:wrap anchorx="margin"/>
          </v:line>
        </w:pict>
      </w:r>
      <w:r w:rsidR="00FC3F35" w:rsidRPr="00576C1D">
        <w:rPr>
          <w:rFonts w:ascii="Times New Roman" w:eastAsia="Times New Roman" w:hAnsi="Times New Roman" w:cs="Times New Roman"/>
          <w:color w:val="000000"/>
          <w:sz w:val="24"/>
          <w:szCs w:val="24"/>
          <w:lang w:eastAsia="hr-HR"/>
        </w:rPr>
        <w:t xml:space="preserve">Aktivnosti za pospješivanje prvog zapošljavanja za stjecanje radnog iskustva, posebno u područjima socijalne skrbi, obrazovanja i upravljanja </w:t>
      </w:r>
    </w:p>
    <w:p w:rsidR="00FC3F35" w:rsidRPr="00576C1D" w:rsidRDefault="00FC3F35" w:rsidP="00FC3F35">
      <w:pPr>
        <w:widowControl w:val="0"/>
        <w:shd w:val="clear" w:color="auto" w:fill="FFFFFF"/>
        <w:autoSpaceDE w:val="0"/>
        <w:autoSpaceDN w:val="0"/>
        <w:adjustRightInd w:val="0"/>
        <w:spacing w:before="278" w:after="763" w:line="240" w:lineRule="auto"/>
        <w:ind w:left="1267"/>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0"/>
          <w:szCs w:val="20"/>
          <w:lang w:eastAsia="hr-HR"/>
        </w:rPr>
        <w:lastRenderedPageBreak/>
        <w:pict>
          <v:line id="Line 1968" o:spid="_x0000_s1078" style="position:absolute;z-index:251787776;visibility:visible;mso-position-horizontal-relative:margin" from="-6pt,-3.6pt" to="750.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969" o:spid="_x0000_s1077" style="position:absolute;z-index:251788800;visibility:visible;mso-position-horizontal-relative:margin" from="-5.5pt,-2.65pt" to="-5.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1970" o:spid="_x0000_s1076" style="position:absolute;z-index:251790848;visibility:visible;mso-position-horizontal-relative:margin" from="750.5pt,-2.65pt" to="750.5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9xFQIAAC0EAAAOAAAAZHJzL2Uyb0RvYy54bWysU8GO2jAQvVfqP1i+QxI2sB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" o:allowincell="f" strokeweight=".25pt">
            <w10:wrap anchorx="margin"/>
          </v:line>
        </w:pict>
      </w:r>
    </w:p>
    <w:p w:rsidR="00FC3F35" w:rsidRPr="00576C1D" w:rsidRDefault="00FC3F35" w:rsidP="00FC3F35">
      <w:pPr>
        <w:framePr w:h="211" w:hRule="exact" w:hSpace="38" w:wrap="auto" w:vAnchor="text" w:hAnchor="text" w:x="6" w:y="-37"/>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p w:rsidR="00FC3F35" w:rsidRPr="00576C1D" w:rsidRDefault="00FC3F35" w:rsidP="00FC3F35">
      <w:pPr>
        <w:widowControl w:val="0"/>
        <w:shd w:val="clear" w:color="auto" w:fill="FFFFFF"/>
        <w:autoSpaceDE w:val="0"/>
        <w:autoSpaceDN w:val="0"/>
        <w:adjustRightInd w:val="0"/>
        <w:spacing w:after="0" w:line="240" w:lineRule="auto"/>
        <w:ind w:left="235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 xml:space="preserve">9b - Pružanje podrške fizičkoj, gospodarskoj i </w:t>
      </w:r>
      <w:r w:rsidRPr="00576C1D">
        <w:rPr>
          <w:rFonts w:ascii="Times New Roman" w:eastAsia="Times New Roman" w:hAnsi="Times New Roman" w:cs="Times New Roman"/>
          <w:color w:val="000000"/>
          <w:spacing w:val="-3"/>
          <w:sz w:val="18"/>
          <w:szCs w:val="18"/>
          <w:lang w:eastAsia="hr-HR"/>
        </w:rPr>
        <w:t xml:space="preserve">socijalnoj </w:t>
      </w:r>
      <w:r w:rsidRPr="00576C1D">
        <w:rPr>
          <w:rFonts w:ascii="Times New Roman" w:eastAsia="Times New Roman" w:hAnsi="Times New Roman" w:cs="Times New Roman"/>
          <w:color w:val="000000"/>
          <w:spacing w:val="-1"/>
          <w:sz w:val="18"/>
          <w:szCs w:val="18"/>
          <w:lang w:eastAsia="hr-HR"/>
        </w:rPr>
        <w:t>obnovi ugroženih zajednica u urbanim i ruralnim područjima</w:t>
      </w:r>
    </w:p>
    <w:p w:rsidR="00FC3F35" w:rsidRPr="00576C1D" w:rsidRDefault="00C244E3" w:rsidP="00FC3F35">
      <w:pPr>
        <w:widowControl w:val="0"/>
        <w:shd w:val="clear" w:color="auto" w:fill="FFFFFF"/>
        <w:autoSpaceDE w:val="0"/>
        <w:autoSpaceDN w:val="0"/>
        <w:adjustRightInd w:val="0"/>
        <w:spacing w:after="0" w:line="552" w:lineRule="exact"/>
        <w:ind w:left="629" w:right="3051" w:hanging="619"/>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1971" o:spid="_x0000_s1075" style="position:absolute;left:0;text-align:left;z-index:251624960;visibility:visible" from="-5.5pt,10.1pt" to="75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2J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" o:allowincell="f" strokeweight=".25pt"/>
        </w:pict>
      </w:r>
      <w:r w:rsidR="00FC3F35" w:rsidRPr="00576C1D">
        <w:rPr>
          <w:rFonts w:ascii="Times New Roman" w:eastAsia="Times New Roman" w:hAnsi="Times New Roman" w:cs="Times New Roman"/>
          <w:color w:val="000000"/>
          <w:sz w:val="24"/>
          <w:szCs w:val="24"/>
          <w:lang w:eastAsia="hr-HR"/>
        </w:rPr>
        <w:t xml:space="preserve"> projektima, s naglaskom na pomoć i podršku u zajednici, s ciljem promicanja zapošljavanja i zapošljivosti mladih;Ulaganje u centre za mlade, informacijske centre i klubove mladih;</w:t>
      </w:r>
    </w:p>
    <w:p w:rsidR="00FC3F35" w:rsidRPr="00576C1D" w:rsidRDefault="00FC3F35" w:rsidP="00FC3F35">
      <w:pPr>
        <w:widowControl w:val="0"/>
        <w:shd w:val="clear" w:color="auto" w:fill="FFFFFF"/>
        <w:autoSpaceDE w:val="0"/>
        <w:autoSpaceDN w:val="0"/>
        <w:adjustRightInd w:val="0"/>
        <w:spacing w:after="0" w:line="552" w:lineRule="exact"/>
        <w:ind w:left="624" w:right="1766"/>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Promicanje tržišta rada i socijalne integracije ranjivih skupina, te borba protiv svakog oblika diskriminacije;  </w:t>
      </w:r>
    </w:p>
    <w:p w:rsidR="00FC3F35" w:rsidRPr="00576C1D" w:rsidRDefault="00FC3F35" w:rsidP="00FC3F35">
      <w:pPr>
        <w:widowControl w:val="0"/>
        <w:shd w:val="clear" w:color="auto" w:fill="FFFFFF"/>
        <w:autoSpaceDE w:val="0"/>
        <w:autoSpaceDN w:val="0"/>
        <w:adjustRightInd w:val="0"/>
        <w:spacing w:after="0" w:line="552" w:lineRule="exact"/>
        <w:ind w:left="624" w:right="176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Pružanje podrške obrazovnim ustanovama koje razvijaju i isporučuju sve vrste i stupnjeve programa;</w:t>
      </w:r>
    </w:p>
    <w:p w:rsidR="00FC3F35" w:rsidRPr="00576C1D" w:rsidRDefault="00FC3F35" w:rsidP="00FC3F35">
      <w:pPr>
        <w:widowControl w:val="0"/>
        <w:shd w:val="clear" w:color="auto" w:fill="FFFFFF"/>
        <w:autoSpaceDE w:val="0"/>
        <w:autoSpaceDN w:val="0"/>
        <w:adjustRightInd w:val="0"/>
        <w:spacing w:before="221" w:after="0" w:line="278" w:lineRule="exact"/>
        <w:ind w:left="725" w:right="442" w:hanging="32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   Razvoj i provedba novih verificiranih programa u područjima od strateške važnosti za Hrvatsku, razvoj i provedba prioritetnih programa formalnog i neformalnog učenja.</w:t>
      </w:r>
    </w:p>
    <w:p w:rsidR="00FC3F35" w:rsidRPr="00576C1D" w:rsidRDefault="00FC3F35" w:rsidP="00FC3F35">
      <w:pPr>
        <w:widowControl w:val="0"/>
        <w:shd w:val="clear" w:color="auto" w:fill="FFFFFF"/>
        <w:autoSpaceDE w:val="0"/>
        <w:autoSpaceDN w:val="0"/>
        <w:adjustRightInd w:val="0"/>
        <w:spacing w:before="278"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Tijekom provedbe pilot projekata bit će ispitan model obnove i razvijat će se kapacitet. To će dovesti do stvaranja prenosivog modela za postizanje fizičke, socijalne i ekonomske obnove ugroženih urbanih i ruralnih područja Republike Hrvatske. Važan element modela također je i aktivacija tijela lokalne vlasti i partnera kako bi se bolje ciljale intervencije ESIF-a.</w:t>
      </w:r>
    </w:p>
    <w:p w:rsidR="00FC3F35" w:rsidRPr="00576C1D" w:rsidRDefault="00FC3F35" w:rsidP="00FC3F35">
      <w:pPr>
        <w:widowControl w:val="0"/>
        <w:shd w:val="clear" w:color="auto" w:fill="FFFFFF"/>
        <w:autoSpaceDE w:val="0"/>
        <w:autoSpaceDN w:val="0"/>
        <w:adjustRightInd w:val="0"/>
        <w:spacing w:before="274" w:after="0" w:line="274" w:lineRule="exact"/>
        <w:ind w:left="5"/>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z w:val="24"/>
          <w:szCs w:val="24"/>
          <w:lang w:eastAsia="hr-HR"/>
        </w:rPr>
        <w:t>Kasnije je moguće daljnje širenje modela obnove, ovisno o raspoloživim sredstvima i pozitivnoj vanjskoj evaluaciji rezultata provedbe pilot projekata.</w:t>
      </w:r>
      <w:r w:rsidRPr="00576C1D">
        <w:rPr>
          <w:rFonts w:ascii="Times New Roman" w:eastAsia="Times New Roman" w:hAnsi="Times New Roman" w:cs="Times New Roman"/>
          <w:color w:val="000000"/>
          <w:spacing w:val="-1"/>
          <w:sz w:val="24"/>
          <w:szCs w:val="24"/>
          <w:lang w:eastAsia="hr-HR"/>
        </w:rPr>
        <w:t xml:space="preserve"> Širenje modela obnove smije biti implementirano u druge ugrožene male i srednje gradove s 10.000 do 50.000 stanovnika koji će se identificirati na temelju mapiranja siromaštva. Potencijalno širenje uključuje pripremu planova intervencija za najmanje 5 novih degradiranih malih i srednjih gradova.</w:t>
      </w:r>
    </w:p>
    <w:p w:rsidR="00FC3F35" w:rsidRPr="00576C1D" w:rsidRDefault="00C244E3" w:rsidP="00FC3F35">
      <w:pPr>
        <w:widowControl w:val="0"/>
        <w:shd w:val="clear" w:color="auto" w:fill="FFFFFF"/>
        <w:autoSpaceDE w:val="0"/>
        <w:autoSpaceDN w:val="0"/>
        <w:adjustRightInd w:val="0"/>
        <w:spacing w:before="278" w:after="1882" w:line="274"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074" style="position:absolute;z-index:251697664;visibility:visible" from="-5.1pt,115.4pt" to="751.4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" o:allowincell="f" strokeweight=".25pt"/>
        </w:pict>
      </w:r>
      <w:r w:rsidR="00FC3F35" w:rsidRPr="00576C1D">
        <w:rPr>
          <w:rFonts w:ascii="Times New Roman" w:eastAsia="Times New Roman" w:hAnsi="Times New Roman" w:cs="Times New Roman"/>
          <w:color w:val="000000"/>
          <w:spacing w:val="-1"/>
          <w:sz w:val="24"/>
          <w:szCs w:val="24"/>
          <w:lang w:eastAsia="hr-HR"/>
        </w:rPr>
        <w:t>Tijekom procesa razvoja i provedbe programa fizičke, društvene i gospodarske obnove, načela nediskriminacije bila su i bit će uzeta u obzir, uključujući nedopuštanje nove segregacije na područjima intervencije. Jednake mogućnosti i nediskriminacijska načela primjenjivat će se s posebnim fokusom na manjine i ostale ugrožene skupine - posebno srpske povratnike i izbjeglice te Rome, hrvatske branitelje iz Domovinskog rata i članove njihovih obitelji kao i stradalnike Domovinskog rata kao ugrožene skupine s visokom koncentracijom na područjima planirane intervencije. Ovo uključuje pozitivne akcijske mjere i aktivnosti s ciljem podržavanja određenih ugroženih skupina.</w:t>
      </w:r>
    </w:p>
    <w:p w:rsidR="00FC3F35" w:rsidRPr="00576C1D" w:rsidRDefault="00FC3F35" w:rsidP="00FC3F35">
      <w:pPr>
        <w:widowControl w:val="0"/>
        <w:shd w:val="clear" w:color="auto" w:fill="FFFFFF"/>
        <w:autoSpaceDE w:val="0"/>
        <w:autoSpaceDN w:val="0"/>
        <w:adjustRightInd w:val="0"/>
        <w:spacing w:before="278" w:after="1882" w:line="274" w:lineRule="exact"/>
        <w:rPr>
          <w:rFonts w:ascii="Times New Roman" w:eastAsia="Times New Roman" w:hAnsi="Times New Roman" w:cs="Times New Roman"/>
          <w:sz w:val="20"/>
          <w:szCs w:val="20"/>
          <w:lang w:eastAsia="hr-HR"/>
        </w:rPr>
        <w:sectPr w:rsidR="00FC3F35" w:rsidRPr="00576C1D">
          <w:pgSz w:w="16834" w:h="11909" w:orient="landscape"/>
          <w:pgMar w:top="1207" w:right="839" w:bottom="360" w:left="1178"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_x0000_s1073" style="position:absolute;left:0;text-align:left;z-index:251701760;visibility:visible;mso-position-horizontal-relative:margin" from="782.9pt,18.55pt" to="782.9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c7FgIAAC0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" o:allowincell="f" strokeweight=".25pt">
            <w10:wrap anchorx="margin"/>
          </v:line>
        </w:pict>
      </w:r>
      <w:r w:rsidR="00FC3F35" w:rsidRPr="00576C1D">
        <w:rPr>
          <w:rFonts w:ascii="Times New Roman" w:eastAsia="Times New Roman" w:hAnsi="Times New Roman" w:cs="Times New Roman"/>
          <w:i/>
          <w:iCs/>
          <w:color w:val="000000"/>
          <w:spacing w:val="1"/>
          <w:sz w:val="24"/>
          <w:szCs w:val="24"/>
          <w:lang w:eastAsia="hr-HR"/>
        </w:rPr>
        <w:t>2.A.6.2 Vodeća načela za odabir operacija</w:t>
      </w:r>
    </w:p>
    <w:p w:rsidR="00FC3F35" w:rsidRPr="00576C1D" w:rsidRDefault="00FC3F35" w:rsidP="00FC3F35">
      <w:pPr>
        <w:widowControl w:val="0"/>
        <w:shd w:val="clear" w:color="auto" w:fill="FFFFFF"/>
        <w:autoSpaceDE w:val="0"/>
        <w:autoSpaceDN w:val="0"/>
        <w:adjustRightInd w:val="0"/>
        <w:spacing w:after="182" w:line="240" w:lineRule="auto"/>
        <w:ind w:left="590"/>
        <w:rPr>
          <w:rFonts w:ascii="Times New Roman" w:eastAsia="Times New Roman" w:hAnsi="Times New Roman" w:cs="Times New Roman"/>
          <w:sz w:val="20"/>
          <w:szCs w:val="20"/>
          <w:lang w:eastAsia="hr-HR"/>
        </w:rPr>
        <w:sectPr w:rsidR="00FC3F35" w:rsidRPr="00576C1D">
          <w:pgSz w:w="16834" w:h="11909" w:orient="landscape"/>
          <w:pgMar w:top="1171"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72" o:spid="_x0000_s1072" style="position:absolute;z-index:251629056;visibility:visible;mso-position-horizontal-relative:margin" from="-5.75pt,-3.6pt" to="750.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pV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" o:allowincell="f" strokeweight=".7pt">
            <w10:wrap anchorx="margin"/>
          </v:line>
        </w:pict>
      </w:r>
      <w:r>
        <w:rPr>
          <w:rFonts w:ascii="Times New Roman" w:eastAsia="Times New Roman" w:hAnsi="Times New Roman" w:cs="Times New Roman"/>
          <w:noProof/>
          <w:sz w:val="20"/>
          <w:szCs w:val="20"/>
          <w:lang w:eastAsia="hr-HR"/>
        </w:rPr>
        <w:pict>
          <v:line id="Line 1973" o:spid="_x0000_s1071" style="position:absolute;z-index:251631104;visibility:visible;mso-position-horizontal-relative:margin" from="-5.75pt,-2.15pt" to="-5.75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4jFgIAAC0EAAAOAAAAZHJzL2Uyb0RvYy54bWysU8GO2jAQvVfqP1i+QxLIsh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1974" o:spid="_x0000_s1070" style="position:absolute;z-index:251634176;visibility:visible;mso-position-horizontal-relative:margin" from="110.9pt,-2.15pt" to="110.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 xml:space="preserve"> Investicijski prioritet</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 xml:space="preserve">9b - Pružanje podrške fizičkoj, gospodarskoj i </w:t>
      </w:r>
      <w:r w:rsidRPr="00576C1D">
        <w:rPr>
          <w:rFonts w:ascii="Times New Roman" w:eastAsia="Times New Roman" w:hAnsi="Times New Roman" w:cs="Times New Roman"/>
          <w:color w:val="000000"/>
          <w:spacing w:val="-3"/>
          <w:sz w:val="18"/>
          <w:szCs w:val="18"/>
          <w:lang w:eastAsia="hr-HR"/>
        </w:rPr>
        <w:t xml:space="preserve">socijalnoj </w:t>
      </w:r>
      <w:r w:rsidRPr="00576C1D">
        <w:rPr>
          <w:rFonts w:ascii="Times New Roman" w:eastAsia="Times New Roman" w:hAnsi="Times New Roman" w:cs="Times New Roman"/>
          <w:color w:val="000000"/>
          <w:spacing w:val="-1"/>
          <w:sz w:val="18"/>
          <w:szCs w:val="18"/>
          <w:lang w:eastAsia="hr-HR"/>
        </w:rPr>
        <w:t>obnovi ugroženih zajednica u urbanim i ruralnim područjima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71" w:right="4703" w:bottom="360" w:left="1183" w:header="720" w:footer="720" w:gutter="0"/>
          <w:cols w:num="2" w:space="720" w:equalWidth="0">
            <w:col w:w="1794" w:space="553"/>
            <w:col w:w="8601"/>
          </w:cols>
          <w:noEndnote/>
        </w:sectPr>
      </w:pPr>
    </w:p>
    <w:p w:rsidR="00FC3F35" w:rsidRPr="00576C1D" w:rsidRDefault="00C244E3" w:rsidP="00FC3F35">
      <w:pPr>
        <w:widowControl w:val="0"/>
        <w:shd w:val="clear" w:color="auto" w:fill="FFFFFF"/>
        <w:autoSpaceDE w:val="0"/>
        <w:autoSpaceDN w:val="0"/>
        <w:adjustRightInd w:val="0"/>
        <w:spacing w:before="187" w:after="0" w:line="278" w:lineRule="exact"/>
        <w:ind w:left="648" w:right="883"/>
        <w:rPr>
          <w:rFonts w:ascii="Times New Roman" w:eastAsia="Times New Roman" w:hAnsi="Times New Roman" w:cs="Times New Roman"/>
          <w:sz w:val="24"/>
          <w:szCs w:val="24"/>
          <w:lang w:eastAsia="hr-HR"/>
        </w:rPr>
      </w:pPr>
      <w:r>
        <w:rPr>
          <w:rFonts w:ascii="Times New Roman" w:eastAsia="Times New Roman" w:hAnsi="Times New Roman" w:cs="Times New Roman"/>
          <w:noProof/>
          <w:sz w:val="20"/>
          <w:szCs w:val="20"/>
          <w:lang w:eastAsia="hr-HR"/>
        </w:rPr>
        <w:lastRenderedPageBreak/>
        <w:pict>
          <v:line id="Line 1975" o:spid="_x0000_s1069" style="position:absolute;left:0;text-align:left;z-index:251637248;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zV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" o:allowincell="f" strokeweight=".7pt">
            <w10:wrap anchorx="margin"/>
          </v:line>
        </w:pict>
      </w:r>
      <w:r w:rsidR="00FC3F35" w:rsidRPr="00576C1D">
        <w:rPr>
          <w:rFonts w:ascii="Times New Roman" w:eastAsia="Times New Roman" w:hAnsi="Times New Roman" w:cs="Times New Roman"/>
          <w:sz w:val="24"/>
          <w:szCs w:val="24"/>
          <w:lang w:eastAsia="hr-HR"/>
        </w:rPr>
        <w:t>Zajedničko opće načelo za sve operacije podržane u pet probnih malih gradova je doprinos socioekonomskoj regeneraciji dotičnih gradova. Operacije odabrane u planovima intervencija bit će ocijenjene od strane vanjskih evaluatora (ex-ante evaluacija).</w:t>
      </w:r>
    </w:p>
    <w:p w:rsidR="00FC3F35" w:rsidRPr="00576C1D" w:rsidRDefault="00FC3F35" w:rsidP="00FC3F35">
      <w:pPr>
        <w:widowControl w:val="0"/>
        <w:shd w:val="clear" w:color="auto" w:fill="FFFFFF"/>
        <w:autoSpaceDE w:val="0"/>
        <w:autoSpaceDN w:val="0"/>
        <w:adjustRightInd w:val="0"/>
        <w:spacing w:before="58" w:after="0" w:line="552" w:lineRule="exact"/>
        <w:ind w:left="1267" w:right="2853" w:hanging="624"/>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Operacije financirane od strane EFRR-a prema ovim specifičnim ciljevima bit će odabrane na temelju sljedećih kriterija: </w:t>
      </w:r>
    </w:p>
    <w:p w:rsidR="00FC3F35" w:rsidRPr="00576C1D" w:rsidRDefault="00FC3F35" w:rsidP="00FC3F35">
      <w:pPr>
        <w:widowControl w:val="0"/>
        <w:shd w:val="clear" w:color="auto" w:fill="FFFFFF"/>
        <w:autoSpaceDE w:val="0"/>
        <w:autoSpaceDN w:val="0"/>
        <w:adjustRightInd w:val="0"/>
        <w:spacing w:before="58" w:after="0" w:line="240" w:lineRule="auto"/>
        <w:ind w:left="1265" w:right="442" w:hanging="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ab/>
      </w:r>
      <w:r w:rsidRPr="00576C1D">
        <w:rPr>
          <w:rFonts w:ascii="Times New Roman" w:eastAsia="Times New Roman" w:hAnsi="Times New Roman" w:cs="Times New Roman"/>
          <w:color w:val="000000"/>
          <w:spacing w:val="1"/>
          <w:sz w:val="24"/>
          <w:szCs w:val="24"/>
          <w:lang w:eastAsia="hr-HR"/>
        </w:rPr>
        <w:t>usklađenost s odobrenim planovima intervencija, podrška socioekonomskoj aktivaciji stanovnika, doprinos smanjenju socijalne isključenosti i borba protiv siromaštva, poboljšanje kvalitete degradirane fizičke infrastrukture u ciljanim područjima, koordinacija i sinergija s projektima koji su provedeni u pet probnih gradova prema drugim specifičnim ciljevima, pokazivanje jasne veze s operacijama koje su sufinancirane prema ESF-u koji je zamišljen na temelju specifičnog cilja 9.4.2 Operativnog programa Učinkovitih ljudskih resursa.</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Prioritet će imati projekti koji se bave problemima ugroženih skupina, posebno izbjeglica, prognanika, povratnika, hrvatskih branitelja i stradalnika Domovinskog rata i romske manjine. Poticat će se sudjelovanje OCD-ova i ostalih nejavnih nadležnih tijela u pripremi i realizacija projekata.</w:t>
      </w:r>
    </w:p>
    <w:p w:rsidR="00FC3F35" w:rsidRPr="00576C1D" w:rsidRDefault="00FC3F35" w:rsidP="00FC3F35">
      <w:pPr>
        <w:widowControl w:val="0"/>
        <w:shd w:val="clear" w:color="auto" w:fill="FFFFFF"/>
        <w:autoSpaceDE w:val="0"/>
        <w:autoSpaceDN w:val="0"/>
        <w:adjustRightInd w:val="0"/>
        <w:spacing w:before="278" w:after="0" w:line="274" w:lineRule="exact"/>
        <w:ind w:left="643"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Poslove koji spadaju u pripremu planova ulaganja te njihovu evaluaciju i aktivnosti izgradnje kapaciteta, kao i pripremu mapiranja siromaštva ugovorit će Ministarstvo regionalnog razvoja i fondova EU-a kao upravljačkog tijela kroz otvoreni postupak javne nabave.</w:t>
      </w:r>
    </w:p>
    <w:p w:rsidR="00FC3F35" w:rsidRPr="00576C1D" w:rsidRDefault="00FC3F35" w:rsidP="00FC3F35">
      <w:pPr>
        <w:widowControl w:val="0"/>
        <w:shd w:val="clear" w:color="auto" w:fill="FFFFFF"/>
        <w:autoSpaceDE w:val="0"/>
        <w:autoSpaceDN w:val="0"/>
        <w:adjustRightInd w:val="0"/>
        <w:spacing w:before="278" w:after="1080" w:line="240" w:lineRule="auto"/>
        <w:ind w:left="6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Detaljni kriteriji definirat će upravljačko tijelo i odobriti Odbor za praćenje operativnog programa.</w:t>
      </w:r>
    </w:p>
    <w:p w:rsidR="00FC3F35" w:rsidRPr="00576C1D" w:rsidRDefault="00FC3F35" w:rsidP="00FC3F35">
      <w:pPr>
        <w:widowControl w:val="0"/>
        <w:shd w:val="clear" w:color="auto" w:fill="FFFFFF"/>
        <w:autoSpaceDE w:val="0"/>
        <w:autoSpaceDN w:val="0"/>
        <w:adjustRightInd w:val="0"/>
        <w:spacing w:before="278" w:after="1080" w:line="240" w:lineRule="auto"/>
        <w:ind w:left="638"/>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_x0000_s1068" style="position:absolute;z-index:251706880;visibility:visible;mso-position-horizontal-relative:margin" from="26.65pt,104.65pt" to="783.1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zHFgIAAC0EAAAOAAAAZHJzL2Uyb0RvYy54bWysU8GO2jAQvVfqP1i+QxIKLIk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1"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1"/>
          <w:sz w:val="24"/>
          <w:szCs w:val="24"/>
          <w:lang w:eastAsia="hr-HR"/>
        </w:rPr>
        <w:lastRenderedPageBreak/>
        <w:t xml:space="preserve">2.A.6.3 Planirano korištenje financijskih instrumenata </w:t>
      </w:r>
      <w:r w:rsidRPr="00576C1D">
        <w:rPr>
          <w:rFonts w:ascii="Times New Roman" w:eastAsia="Times New Roman" w:hAnsi="Times New Roman" w:cs="Times New Roman"/>
          <w:bCs/>
          <w:iCs/>
          <w:color w:val="000000"/>
          <w:spacing w:val="-1"/>
          <w:sz w:val="24"/>
          <w:szCs w:val="24"/>
          <w:lang w:eastAsia="hr-HR"/>
        </w:rPr>
        <w:t>(po potrebi)</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352"/>
        <w:gridCol w:w="3460"/>
        <w:gridCol w:w="851"/>
        <w:gridCol w:w="2126"/>
        <w:gridCol w:w="6351"/>
      </w:tblGrid>
      <w:tr w:rsidR="00FC3F35" w:rsidRPr="00576C1D" w:rsidTr="00FC3F35">
        <w:trPr>
          <w:trHeight w:hRule="exact" w:val="53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12788"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 xml:space="preserve">9b - Pružanje podrške fizičkoj, gospodarskoj i </w:t>
            </w:r>
            <w:r w:rsidRPr="00576C1D">
              <w:rPr>
                <w:rFonts w:ascii="Times New Roman" w:eastAsia="Times New Roman" w:hAnsi="Times New Roman" w:cs="Times New Roman"/>
                <w:color w:val="000000"/>
                <w:spacing w:val="-3"/>
                <w:sz w:val="18"/>
                <w:szCs w:val="18"/>
                <w:lang w:eastAsia="hr-HR"/>
              </w:rPr>
              <w:t xml:space="preserve">socijalnoj </w:t>
            </w:r>
            <w:r w:rsidRPr="00576C1D">
              <w:rPr>
                <w:rFonts w:ascii="Times New Roman" w:eastAsia="Times New Roman" w:hAnsi="Times New Roman" w:cs="Times New Roman"/>
                <w:color w:val="000000"/>
                <w:spacing w:val="-1"/>
                <w:sz w:val="18"/>
                <w:szCs w:val="18"/>
                <w:lang w:eastAsia="hr-HR"/>
              </w:rPr>
              <w:t>obnovi ugroženih zajednica u urbanim i ruralnim područjima</w:t>
            </w:r>
          </w:p>
        </w:tc>
      </w:tr>
      <w:tr w:rsidR="00FC3F35" w:rsidRPr="00576C1D" w:rsidTr="00FC3F35">
        <w:trPr>
          <w:trHeight w:hRule="exact" w:val="893"/>
        </w:trPr>
        <w:tc>
          <w:tcPr>
            <w:tcW w:w="5812"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24"/>
                <w:szCs w:val="24"/>
                <w:lang w:eastAsia="hr-HR"/>
              </w:rPr>
              <w:t>Nije predviđeno.</w:t>
            </w:r>
          </w:p>
        </w:tc>
        <w:tc>
          <w:tcPr>
            <w:tcW w:w="85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12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351"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922"/>
        </w:trPr>
        <w:tc>
          <w:tcPr>
            <w:tcW w:w="5812"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 xml:space="preserve">2.A.6.4 Planirano korištenje velikih projekata </w:t>
            </w:r>
            <w:r w:rsidRPr="00576C1D">
              <w:rPr>
                <w:rFonts w:ascii="Times New Roman" w:eastAsia="Times New Roman" w:hAnsi="Times New Roman" w:cs="Times New Roman"/>
                <w:bCs/>
                <w:iCs/>
                <w:color w:val="000000"/>
                <w:sz w:val="24"/>
                <w:szCs w:val="24"/>
                <w:lang w:eastAsia="hr-HR"/>
              </w:rPr>
              <w:t>(po potrebi)</w:t>
            </w:r>
          </w:p>
        </w:tc>
        <w:tc>
          <w:tcPr>
            <w:tcW w:w="85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12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35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46"/>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12788"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 xml:space="preserve">9b - Pružanje podrške fizičkoj, gospodarskoj i </w:t>
            </w:r>
            <w:r w:rsidRPr="00576C1D">
              <w:rPr>
                <w:rFonts w:ascii="Times New Roman" w:eastAsia="Times New Roman" w:hAnsi="Times New Roman" w:cs="Times New Roman"/>
                <w:color w:val="000000"/>
                <w:spacing w:val="-3"/>
                <w:sz w:val="18"/>
                <w:szCs w:val="18"/>
                <w:lang w:eastAsia="hr-HR"/>
              </w:rPr>
              <w:t xml:space="preserve">socijalnoj </w:t>
            </w:r>
            <w:r w:rsidRPr="00576C1D">
              <w:rPr>
                <w:rFonts w:ascii="Times New Roman" w:eastAsia="Times New Roman" w:hAnsi="Times New Roman" w:cs="Times New Roman"/>
                <w:color w:val="000000"/>
                <w:spacing w:val="-1"/>
                <w:sz w:val="18"/>
                <w:szCs w:val="18"/>
                <w:lang w:eastAsia="hr-HR"/>
              </w:rPr>
              <w:t>obnovi ugroženih zajednica u urbanim i ruralnim područjima</w:t>
            </w:r>
          </w:p>
        </w:tc>
      </w:tr>
      <w:tr w:rsidR="00FC3F35" w:rsidRPr="00576C1D" w:rsidTr="00FC3F35">
        <w:trPr>
          <w:trHeight w:hRule="exact" w:val="902"/>
        </w:trPr>
        <w:tc>
          <w:tcPr>
            <w:tcW w:w="5812"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24"/>
                <w:szCs w:val="24"/>
                <w:lang w:eastAsia="hr-HR"/>
              </w:rPr>
              <w:t>Nije predviđeno.</w:t>
            </w:r>
          </w:p>
        </w:tc>
        <w:tc>
          <w:tcPr>
            <w:tcW w:w="85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12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351"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shd w:val="clear" w:color="auto" w:fill="FFFFFF"/>
        <w:autoSpaceDE w:val="0"/>
        <w:autoSpaceDN w:val="0"/>
        <w:adjustRightInd w:val="0"/>
        <w:spacing w:before="509"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z w:val="24"/>
          <w:szCs w:val="24"/>
          <w:lang w:eastAsia="hr-HR"/>
        </w:rPr>
        <w:t>2.A.6.5 Pokazatelji neposrednih rezultata po investicijskom prioritetu i po potrebi kategoriji regije</w:t>
      </w:r>
    </w:p>
    <w:p w:rsidR="00FC3F35" w:rsidRPr="00576C1D" w:rsidRDefault="00FC3F35" w:rsidP="00FC3F35">
      <w:pPr>
        <w:widowControl w:val="0"/>
        <w:shd w:val="clear" w:color="auto" w:fill="FFFFFF"/>
        <w:autoSpaceDE w:val="0"/>
        <w:autoSpaceDN w:val="0"/>
        <w:adjustRightInd w:val="0"/>
        <w:spacing w:before="518" w:after="0" w:line="274"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pokazatelji i pokazatelji neposrednih rezultata specifični za program </w:t>
      </w:r>
      <w:r w:rsidRPr="00576C1D">
        <w:rPr>
          <w:rFonts w:ascii="Times New Roman" w:eastAsia="Times New Roman" w:hAnsi="Times New Roman" w:cs="Times New Roman"/>
          <w:bCs/>
          <w:color w:val="000000"/>
          <w:spacing w:val="-1"/>
          <w:sz w:val="24"/>
          <w:szCs w:val="24"/>
          <w:lang w:eastAsia="hr-HR"/>
        </w:rPr>
        <w:t>(po investicijskom prioritetu, podijeljeno po kategoriji regije za ESF i, po potrebi, za EFRR)</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9b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Pružanje podrške fizičkoj, gospodarskoj i socijalnoj obnovi ugroženih zajednica u urbanim i ruralnim područjima</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Ciljana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T</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883"/>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1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CO01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1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Produktivno ulaganje: Broj poduzeća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Poduzeća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11"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ISU, izvješća o projektu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8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definirat će se kasnije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368"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368"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FC3F35">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lastRenderedPageBreak/>
              <w:t>Investicijski prioritet</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9b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Pružanje podrške fizičkoj, gospodarskoj i socijalnoj obnovi ugroženih zajednica u urbanim i ruralnim područjima</w:t>
            </w:r>
          </w:p>
        </w:tc>
      </w:tr>
      <w:tr w:rsidR="00FC3F35" w:rsidRPr="00576C1D" w:rsidTr="00FC3F35">
        <w:trPr>
          <w:trHeight w:hRule="exact" w:val="432"/>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Mjerna jedinica</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 (po potrebi)</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Ciljana vrijednost (2023.)</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Izvor podataka</w:t>
            </w:r>
          </w:p>
        </w:tc>
        <w:tc>
          <w:tcPr>
            <w:tcW w:w="1238"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Učestalost izvješćivanja</w:t>
            </w:r>
          </w:p>
        </w:tc>
      </w:tr>
      <w:tr w:rsidR="00FC3F35" w:rsidRPr="00576C1D" w:rsidTr="00FC3F35">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T</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rPr>
          <w:trHeight w:hRule="exact" w:val="393"/>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koja primaju potporu</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1149"/>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9bll</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pripremljenih i provedenih planova intervencija i planovi intervencija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Br.</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5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ISU, izvješća o projektu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8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definirat će se kasnije</w:t>
            </w:r>
          </w:p>
        </w:tc>
      </w:tr>
      <w:tr w:rsidR="00FC3F35" w:rsidRPr="00576C1D" w:rsidTr="00FC3F35">
        <w:trPr>
          <w:trHeight w:hRule="exact" w:val="979"/>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2"/>
                <w:sz w:val="16"/>
                <w:szCs w:val="16"/>
                <w:lang w:eastAsia="hr-HR"/>
              </w:rPr>
              <w:t>9b 12</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Obnovljene ili novo sagrađene stambene jedinice</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m2 / broja jedinica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211"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ISU, izvješća o projektu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8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definirat će se kasnije</w:t>
            </w:r>
          </w:p>
        </w:tc>
      </w:tr>
      <w:tr w:rsidR="00FC3F35" w:rsidRPr="00576C1D" w:rsidTr="00FC3F35">
        <w:trPr>
          <w:trHeight w:hRule="exact" w:val="82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3"/>
                <w:sz w:val="16"/>
                <w:szCs w:val="16"/>
                <w:lang w:eastAsia="hr-HR"/>
              </w:rPr>
              <w:t>9b 13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Izgrađena ili obnovljena infrastruktura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Broj jedinica</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Manje razvijena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11"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ISU, izvješća o projektu</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8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definirat će se kasnije</w:t>
            </w:r>
          </w:p>
        </w:tc>
      </w:tr>
    </w:tbl>
    <w:p w:rsidR="00FC3F35" w:rsidRPr="00576C1D" w:rsidRDefault="00FC3F35" w:rsidP="00FC3F35">
      <w:pPr>
        <w:widowControl w:val="0"/>
        <w:shd w:val="clear" w:color="auto" w:fill="FFFFFF"/>
        <w:autoSpaceDE w:val="0"/>
        <w:autoSpaceDN w:val="0"/>
        <w:adjustRightInd w:val="0"/>
        <w:spacing w:before="418" w:after="178"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color w:val="000000"/>
          <w:spacing w:val="-1"/>
          <w:sz w:val="24"/>
          <w:szCs w:val="24"/>
          <w:lang w:eastAsia="hr-HR"/>
        </w:rPr>
        <w:t>2.A.7</w:t>
      </w:r>
      <w:r w:rsidRPr="00576C1D">
        <w:rPr>
          <w:rFonts w:ascii="Times New Roman" w:eastAsia="Times New Roman" w:hAnsi="Times New Roman" w:cs="Times New Roman"/>
          <w:b/>
          <w:bCs/>
          <w:color w:val="000000"/>
          <w:spacing w:val="-1"/>
          <w:sz w:val="24"/>
          <w:szCs w:val="24"/>
          <w:lang w:eastAsia="hr-HR"/>
        </w:rPr>
        <w:t>Društvena inovacija, međudržavna suradnja i doprinos tematskim ciljevima 1-7</w:t>
      </w:r>
    </w:p>
    <w:p w:rsidR="00FC3F35" w:rsidRPr="00576C1D" w:rsidRDefault="00FC3F35" w:rsidP="00FC3F35">
      <w:pPr>
        <w:widowControl w:val="0"/>
        <w:shd w:val="clear" w:color="auto" w:fill="FFFFFF"/>
        <w:autoSpaceDE w:val="0"/>
        <w:autoSpaceDN w:val="0"/>
        <w:adjustRightInd w:val="0"/>
        <w:spacing w:before="418" w:after="178" w:line="240" w:lineRule="auto"/>
        <w:ind w:left="538"/>
        <w:rPr>
          <w:rFonts w:ascii="Times New Roman" w:eastAsia="Times New Roman" w:hAnsi="Times New Roman" w:cs="Times New Roman"/>
          <w:sz w:val="20"/>
          <w:szCs w:val="20"/>
          <w:lang w:eastAsia="hr-HR"/>
        </w:rPr>
        <w:sectPr w:rsidR="00FC3F35" w:rsidRPr="00576C1D">
          <w:pgSz w:w="16834" w:h="11909" w:orient="landscape"/>
          <w:pgMar w:top="1169"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76" o:spid="_x0000_s1067" style="position:absolute;z-index:251791872;visibility:visible;mso-position-horizontal-relative:margin" from="-5.75pt,-3.85pt" to="750.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3u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" o:allowincell="f" strokeweight=".7pt">
            <w10:wrap anchorx="margin"/>
          </v:line>
        </w:pict>
      </w:r>
      <w:r>
        <w:rPr>
          <w:rFonts w:ascii="Times New Roman" w:eastAsia="Times New Roman" w:hAnsi="Times New Roman" w:cs="Times New Roman"/>
          <w:noProof/>
          <w:sz w:val="20"/>
          <w:szCs w:val="20"/>
          <w:lang w:eastAsia="hr-HR"/>
        </w:rPr>
        <w:pict>
          <v:line id="Line 1977" o:spid="_x0000_s1066" style="position:absolute;z-index:251792896;visibility:visible;mso-position-horizontal-relative:margin" from="-5.75pt,-2.4pt" to="-5.7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M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" o:allowincell="f" strokeweight=".25pt">
            <w10:wrap anchorx="margin"/>
          </v:line>
        </w:pict>
      </w:r>
      <w:r>
        <w:rPr>
          <w:rFonts w:ascii="Times New Roman" w:eastAsia="Times New Roman" w:hAnsi="Times New Roman" w:cs="Times New Roman"/>
          <w:noProof/>
          <w:sz w:val="20"/>
          <w:szCs w:val="20"/>
          <w:lang w:eastAsia="hr-HR"/>
        </w:rPr>
        <w:pict>
          <v:line id="Line 1978" o:spid="_x0000_s1065" style="position:absolute;z-index:251793920;visibility:visible;mso-position-horizontal-relative:margin" from="110.9pt,-2.4pt" to="110.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" o:allowincell="f" strokeweight=".7pt">
            <w10:wrap anchorx="margin"/>
          </v:line>
        </w:pict>
      </w:r>
      <w:r w:rsidR="00FC3F35" w:rsidRPr="00576C1D">
        <w:rPr>
          <w:rFonts w:ascii="Times New Roman" w:eastAsia="Times New Roman" w:hAnsi="Times New Roman" w:cs="Times New Roman"/>
          <w:b/>
          <w:bCs/>
          <w:color w:val="000000"/>
          <w:spacing w:val="-2"/>
          <w:sz w:val="16"/>
          <w:szCs w:val="16"/>
          <w:lang w:eastAsia="hr-HR"/>
        </w:rPr>
        <w:t>Prioritetna os</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b/>
          <w:bCs/>
          <w:color w:val="000000"/>
          <w:spacing w:val="1"/>
          <w:sz w:val="16"/>
          <w:szCs w:val="16"/>
          <w:lang w:eastAsia="hr-HR"/>
        </w:rPr>
        <w:lastRenderedPageBreak/>
        <w:t>8 - Socijalna uključenost i zdravlje</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rsidSect="00FC3F35">
          <w:type w:val="continuous"/>
          <w:pgSz w:w="16834" w:h="11909" w:orient="landscape"/>
          <w:pgMar w:top="1169" w:right="10313" w:bottom="360" w:left="1183" w:header="720" w:footer="720" w:gutter="0"/>
          <w:cols w:num="2" w:space="720" w:equalWidth="0">
            <w:col w:w="1085" w:space="1257"/>
            <w:col w:w="2996"/>
          </w:cols>
          <w:noEndnote/>
        </w:sectPr>
      </w:pPr>
    </w:p>
    <w:p w:rsidR="00FC3F35" w:rsidRPr="00576C1D" w:rsidRDefault="00C244E3" w:rsidP="00FC3F35">
      <w:pPr>
        <w:widowControl w:val="0"/>
        <w:shd w:val="clear" w:color="auto" w:fill="FFFFFF"/>
        <w:autoSpaceDE w:val="0"/>
        <w:autoSpaceDN w:val="0"/>
        <w:adjustRightInd w:val="0"/>
        <w:spacing w:before="1114" w:after="0" w:line="240" w:lineRule="auto"/>
        <w:ind w:left="53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79" o:spid="_x0000_s1064" style="position:absolute;left:0;text-align:left;z-index:251795968;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x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" o:allowincell="f" strokeweight=".7pt">
            <w10:wrap anchorx="margin"/>
          </v:line>
        </w:pict>
      </w:r>
      <w:r>
        <w:rPr>
          <w:rFonts w:ascii="Times New Roman" w:eastAsia="Times New Roman" w:hAnsi="Times New Roman" w:cs="Times New Roman"/>
          <w:noProof/>
          <w:sz w:val="20"/>
          <w:szCs w:val="20"/>
          <w:lang w:eastAsia="hr-HR"/>
        </w:rPr>
        <w:pict>
          <v:line id="Line 1980" o:spid="_x0000_s1063" style="position:absolute;left:0;text-align:left;z-index:251796992;visibility:visible;mso-position-horizontal-relative:margin" from="25.9pt,29.05pt" to="782.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ylFQIAACw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2"/>
          <w:sz w:val="24"/>
          <w:szCs w:val="24"/>
          <w:lang w:eastAsia="hr-HR"/>
        </w:rPr>
        <w:t>2.A.8 Okvir uspješnosti</w:t>
      </w:r>
    </w:p>
    <w:p w:rsidR="00FC3F35" w:rsidRPr="00576C1D" w:rsidRDefault="00FC3F35" w:rsidP="00FC3F35">
      <w:pPr>
        <w:widowControl w:val="0"/>
        <w:autoSpaceDE w:val="0"/>
        <w:autoSpaceDN w:val="0"/>
        <w:adjustRightInd w:val="0"/>
        <w:spacing w:after="562"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4308"/>
        <w:gridCol w:w="9704"/>
      </w:tblGrid>
      <w:tr w:rsidR="00FC3F35" w:rsidRPr="00576C1D" w:rsidTr="00FC3F35">
        <w:trPr>
          <w:trHeight w:hRule="exact" w:val="355"/>
        </w:trPr>
        <w:tc>
          <w:tcPr>
            <w:tcW w:w="113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24"/>
                <w:szCs w:val="24"/>
                <w:lang w:eastAsia="hr-HR"/>
              </w:rPr>
              <w:t xml:space="preserve">Tablica </w:t>
            </w:r>
            <w:r w:rsidRPr="00576C1D">
              <w:rPr>
                <w:rFonts w:ascii="Times New Roman" w:eastAsia="Times New Roman" w:hAnsi="Times New Roman" w:cs="Times New Roman"/>
                <w:b/>
                <w:bCs/>
                <w:color w:val="000000"/>
                <w:sz w:val="24"/>
                <w:szCs w:val="24"/>
                <w:lang w:eastAsia="hr-HR"/>
              </w:rPr>
              <w:t>6:</w:t>
            </w:r>
          </w:p>
        </w:tc>
        <w:tc>
          <w:tcPr>
            <w:tcW w:w="430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24"/>
                <w:szCs w:val="24"/>
                <w:lang w:eastAsia="hr-HR"/>
              </w:rPr>
              <w:t>Okvir uspješnosti prioritetne osi</w:t>
            </w:r>
          </w:p>
        </w:tc>
        <w:tc>
          <w:tcPr>
            <w:tcW w:w="970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(po fondu i, za EFRR i ESF, kategorija regije)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69"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662"/>
        <w:gridCol w:w="710"/>
        <w:gridCol w:w="854"/>
        <w:gridCol w:w="1680"/>
        <w:gridCol w:w="1200"/>
        <w:gridCol w:w="960"/>
        <w:gridCol w:w="3043"/>
        <w:gridCol w:w="3043"/>
        <w:gridCol w:w="902"/>
        <w:gridCol w:w="1181"/>
      </w:tblGrid>
      <w:tr w:rsidR="00FC3F35" w:rsidRPr="00576C1D" w:rsidTr="00FC3F35">
        <w:trPr>
          <w:trHeight w:hRule="exact" w:val="374"/>
        </w:trPr>
        <w:tc>
          <w:tcPr>
            <w:tcW w:w="228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lastRenderedPageBreak/>
              <w:t>Prioritetna os</w:t>
            </w:r>
          </w:p>
        </w:tc>
        <w:tc>
          <w:tcPr>
            <w:tcW w:w="12863"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 xml:space="preserve">8- </w:t>
            </w:r>
            <w:r w:rsidRPr="00576C1D">
              <w:rPr>
                <w:rFonts w:ascii="Times New Roman" w:eastAsia="Times New Roman" w:hAnsi="Times New Roman" w:cs="Times New Roman"/>
                <w:b/>
                <w:color w:val="000000"/>
                <w:spacing w:val="2"/>
                <w:sz w:val="10"/>
                <w:szCs w:val="10"/>
                <w:lang w:eastAsia="hr-HR"/>
              </w:rPr>
              <w:t>Socijalna uključenost i zdravlje</w:t>
            </w:r>
          </w:p>
        </w:tc>
      </w:tr>
      <w:tr w:rsidR="00FC3F35" w:rsidRPr="00576C1D" w:rsidTr="00FC3F35">
        <w:trPr>
          <w:trHeight w:hRule="exact" w:val="374"/>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Pokazatelj ili ključni provedbeni korak</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2"/>
                <w:sz w:val="10"/>
                <w:szCs w:val="10"/>
                <w:lang w:eastAsia="hr-HR"/>
              </w:rPr>
              <w:t>Mjerna jedinica, po potrebi</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Kategorija regije</w:t>
            </w: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2"/>
                <w:sz w:val="10"/>
                <w:szCs w:val="10"/>
                <w:lang w:eastAsia="hr-HR"/>
              </w:rPr>
              <w:t>Kontrolna točka za 2018.</w:t>
            </w: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Izvor podataka</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relevantnosti pokazatelja, po potrebi</w:t>
            </w:r>
          </w:p>
        </w:tc>
      </w:tr>
    </w:tbl>
    <w:p w:rsidR="00FC3F35" w:rsidRPr="00576C1D" w:rsidRDefault="00FC3F35" w:rsidP="00FC3F35">
      <w:pPr>
        <w:widowControl w:val="0"/>
        <w:autoSpaceDE w:val="0"/>
        <w:autoSpaceDN w:val="0"/>
        <w:adjustRightInd w:val="0"/>
        <w:spacing w:after="221" w:line="1" w:lineRule="exact"/>
        <w:rPr>
          <w:rFonts w:ascii="Times New Roman" w:eastAsia="Times New Roman" w:hAnsi="Times New Roman" w:cs="Times New Roman"/>
          <w:sz w:val="2"/>
          <w:szCs w:val="2"/>
          <w:lang w:eastAsia="hr-HR"/>
        </w:rPr>
      </w:pPr>
    </w:p>
    <w:tbl>
      <w:tblPr>
        <w:tblW w:w="0" w:type="auto"/>
        <w:tblInd w:w="40"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2"/>
        <w:gridCol w:w="662"/>
        <w:gridCol w:w="1565"/>
        <w:gridCol w:w="1680"/>
        <w:gridCol w:w="1200"/>
        <w:gridCol w:w="960"/>
        <w:gridCol w:w="1008"/>
        <w:gridCol w:w="1018"/>
        <w:gridCol w:w="1018"/>
        <w:gridCol w:w="1018"/>
        <w:gridCol w:w="1008"/>
        <w:gridCol w:w="1018"/>
        <w:gridCol w:w="902"/>
        <w:gridCol w:w="1181"/>
      </w:tblGrid>
      <w:tr w:rsidR="00FC3F35" w:rsidRPr="00576C1D" w:rsidTr="008C65C4">
        <w:trPr>
          <w:trHeight w:hRule="exact" w:val="374"/>
        </w:trPr>
        <w:tc>
          <w:tcPr>
            <w:tcW w:w="90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p>
        </w:tc>
        <w:tc>
          <w:tcPr>
            <w:tcW w:w="120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w:t>
            </w: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w:t>
            </w: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w:t>
            </w: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w:t>
            </w:r>
          </w:p>
        </w:tc>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w:t>
            </w: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w:t>
            </w:r>
          </w:p>
        </w:tc>
        <w:tc>
          <w:tcPr>
            <w:tcW w:w="90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8C65C4">
        <w:trPr>
          <w:trHeight w:hRule="exact" w:val="1056"/>
        </w:trPr>
        <w:tc>
          <w:tcPr>
            <w:tcW w:w="90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F</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Ukupni iznos potvrđenih/prihvatljivih izdataka</w:t>
            </w:r>
          </w:p>
        </w:tc>
        <w:tc>
          <w:tcPr>
            <w:tcW w:w="168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milijuna eura</w:t>
            </w:r>
          </w:p>
        </w:tc>
        <w:tc>
          <w:tcPr>
            <w:tcW w:w="120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2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96.929.702,00</w:t>
            </w: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442.941.176,00</w:t>
            </w:r>
          </w:p>
        </w:tc>
        <w:tc>
          <w:tcPr>
            <w:tcW w:w="90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MF</w:t>
            </w:r>
          </w:p>
        </w:tc>
        <w:tc>
          <w:tcPr>
            <w:tcW w:w="1181" w:type="dxa"/>
            <w:shd w:val="clear" w:color="auto" w:fill="FFFFFF"/>
          </w:tcPr>
          <w:p w:rsidR="00FC3F35" w:rsidRPr="00576C1D" w:rsidRDefault="00FC3F35" w:rsidP="00FC3F35">
            <w:pPr>
              <w:widowControl w:val="0"/>
              <w:shd w:val="clear" w:color="auto" w:fill="FFFFFF"/>
              <w:autoSpaceDE w:val="0"/>
              <w:autoSpaceDN w:val="0"/>
              <w:adjustRightInd w:val="0"/>
              <w:spacing w:after="0" w:line="110" w:lineRule="exact"/>
              <w:ind w:right="4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U kontrolnoj je točki prisutno pravilo N+3 za PO bez 6 % pričuve za ostvarenje rezultata (tj.  ukupna dodijeljena sredstva za 2014. i 2015. neto od 6 %).</w:t>
            </w:r>
          </w:p>
        </w:tc>
      </w:tr>
      <w:tr w:rsidR="00FC3F35" w:rsidRPr="00576C1D" w:rsidTr="008C65C4">
        <w:trPr>
          <w:trHeight w:hRule="exact" w:val="1632"/>
        </w:trPr>
        <w:tc>
          <w:tcPr>
            <w:tcW w:w="90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0"/>
                <w:szCs w:val="10"/>
                <w:lang w:eastAsia="hr-HR"/>
              </w:rPr>
              <w:t>9a21</w:t>
            </w:r>
          </w:p>
        </w:tc>
        <w:tc>
          <w:tcPr>
            <w:tcW w:w="66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potpora</w:t>
            </w:r>
          </w:p>
        </w:tc>
        <w:tc>
          <w:tcPr>
            <w:tcW w:w="168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w:t>
            </w:r>
          </w:p>
        </w:tc>
        <w:tc>
          <w:tcPr>
            <w:tcW w:w="120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30,00</w:t>
            </w:r>
          </w:p>
        </w:tc>
        <w:tc>
          <w:tcPr>
            <w:tcW w:w="90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4"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Odabrana su dva pokazatelja rezultata pošto oni pokrivaju većinu resursa u okviru Prioritetne osi 8. Točnije, specifični ciljevi Prioritetne osi  namijenjene zdravstvenom sektoru i socijalnim uslugama pokrivaju više od 57 % ukupnih sredstava dodijeljenih toj  Prioritetnoj osi.</w:t>
            </w:r>
          </w:p>
        </w:tc>
      </w:tr>
      <w:tr w:rsidR="00FC3F35" w:rsidRPr="00576C1D" w:rsidTr="008C65C4">
        <w:trPr>
          <w:trHeight w:hRule="exact" w:val="1642"/>
        </w:trPr>
        <w:tc>
          <w:tcPr>
            <w:tcW w:w="90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0"/>
                <w:szCs w:val="10"/>
                <w:lang w:eastAsia="hr-HR"/>
              </w:rPr>
              <w:t>9a31</w:t>
            </w:r>
          </w:p>
        </w:tc>
        <w:tc>
          <w:tcPr>
            <w:tcW w:w="66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9"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Broj je izgrađenih/obnovljenih i opremljenih infrastrukturnih jedinica</w:t>
            </w:r>
          </w:p>
        </w:tc>
        <w:tc>
          <w:tcPr>
            <w:tcW w:w="168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Br.</w:t>
            </w:r>
          </w:p>
        </w:tc>
        <w:tc>
          <w:tcPr>
            <w:tcW w:w="120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EFRR</w:t>
            </w:r>
          </w:p>
        </w:tc>
        <w:tc>
          <w:tcPr>
            <w:tcW w:w="960"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Manje razvijena</w:t>
            </w:r>
          </w:p>
        </w:tc>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400</w:t>
            </w: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5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1.700,00</w:t>
            </w:r>
          </w:p>
        </w:tc>
        <w:tc>
          <w:tcPr>
            <w:tcW w:w="90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4"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Odabrana su dva pokazatelja rezultata pošto oni pokrivaju većinu resursa u okviru Prioritetne osi 8. Točnije, specifični ciljevi Prioritetne osi  namijenjene zdravstvenom sektoru i socijalnim uslugama pokrivaju više od 57 % ukupnih sredstava dodijeljenih toj  Prioritetnoj osi</w:t>
            </w:r>
            <w:r w:rsidRPr="00576C1D">
              <w:rPr>
                <w:rFonts w:ascii="Times New Roman" w:eastAsia="Times New Roman" w:hAnsi="Times New Roman" w:cs="Times New Roman"/>
                <w:color w:val="000000"/>
                <w:spacing w:val="-1"/>
                <w:sz w:val="10"/>
                <w:szCs w:val="10"/>
                <w:lang w:eastAsia="hr-HR"/>
              </w:rPr>
              <w:t>.</w:t>
            </w:r>
          </w:p>
        </w:tc>
      </w:tr>
    </w:tbl>
    <w:p w:rsidR="00FC3F35" w:rsidRPr="00576C1D" w:rsidRDefault="00FC3F35" w:rsidP="00FC3F35">
      <w:pPr>
        <w:widowControl w:val="0"/>
        <w:shd w:val="clear" w:color="auto" w:fill="FFFFFF"/>
        <w:autoSpaceDE w:val="0"/>
        <w:autoSpaceDN w:val="0"/>
        <w:adjustRightInd w:val="0"/>
        <w:spacing w:before="451"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Dodatne kvalitativne informacije o uspostavi okvira uspješnosti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2.A.9 Kategorije intervencije</w:t>
      </w:r>
    </w:p>
    <w:p w:rsidR="00FC3F35" w:rsidRPr="00576C1D" w:rsidRDefault="00FC3F35" w:rsidP="00FC3F35">
      <w:pPr>
        <w:widowControl w:val="0"/>
        <w:shd w:val="clear" w:color="auto" w:fill="FFFFFF"/>
        <w:autoSpaceDE w:val="0"/>
        <w:autoSpaceDN w:val="0"/>
        <w:adjustRightInd w:val="0"/>
        <w:spacing w:before="120" w:after="1306" w:line="274" w:lineRule="exact"/>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4"/>
          <w:szCs w:val="24"/>
          <w:lang w:eastAsia="hr-HR"/>
        </w:rPr>
        <w:t>Kategorije intervencije koje odgovaraju sadržaju prioritetne osi na temelju nazivlja kojeg usvaja Komisija, i indikativna analiza potpore Unije</w:t>
      </w:r>
    </w:p>
    <w:p w:rsidR="00FC3F35" w:rsidRPr="00576C1D" w:rsidRDefault="00FC3F35" w:rsidP="00FC3F35">
      <w:pPr>
        <w:widowControl w:val="0"/>
        <w:shd w:val="clear" w:color="auto" w:fill="FFFFFF"/>
        <w:autoSpaceDE w:val="0"/>
        <w:autoSpaceDN w:val="0"/>
        <w:adjustRightInd w:val="0"/>
        <w:spacing w:before="120" w:after="1306" w:line="274" w:lineRule="exact"/>
        <w:ind w:left="533"/>
        <w:rPr>
          <w:rFonts w:ascii="Times New Roman" w:eastAsia="Times New Roman" w:hAnsi="Times New Roman" w:cs="Times New Roman"/>
          <w:sz w:val="20"/>
          <w:szCs w:val="20"/>
          <w:lang w:eastAsia="hr-HR"/>
        </w:rPr>
        <w:sectPr w:rsidR="00FC3F35" w:rsidRPr="00576C1D">
          <w:pgSz w:w="16834" w:h="11909" w:orient="landscape"/>
          <w:pgMar w:top="1169"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69"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514" w:lineRule="exact"/>
        <w:ind w:left="542" w:right="110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6"/>
          <w:szCs w:val="26"/>
          <w:lang w:eastAsia="hr-HR"/>
        </w:rPr>
        <w:lastRenderedPageBreak/>
        <w:t xml:space="preserve">Tablica 7-11: Kategorije intervencije </w:t>
      </w:r>
      <w:r w:rsidRPr="00576C1D">
        <w:rPr>
          <w:rFonts w:ascii="Times New Roman" w:eastAsia="Times New Roman" w:hAnsi="Times New Roman" w:cs="Times New Roman"/>
          <w:color w:val="000000"/>
          <w:spacing w:val="-4"/>
          <w:lang w:eastAsia="hr-HR"/>
        </w:rPr>
        <w:t>Tablica 7: Dimenzija 1 - Područje intervencije</w:t>
      </w: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87"/>
      </w:tblGrid>
      <w:tr w:rsidR="00FC3F35" w:rsidRPr="00576C1D" w:rsidTr="00FC3F35">
        <w:trPr>
          <w:trHeight w:hRule="exact" w:val="451"/>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8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Socijalna uključenost i zdravlje</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001. Općenita produktivna ulaganja u mala i srednja poduzeća ('MSP-ove')</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053. Zdravstvena infrastruktura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150.000.000,00</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054. Stambena infrastruktura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25.000.000,00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055. Ostala društvena infrastruktura koja doprinosi regionalnom i lokalnom razvoju</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174.500.000,00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121. Priprema, provedba, praćenje i inspekcijski pregled</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2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7.000.000,00</w:t>
            </w:r>
          </w:p>
        </w:tc>
      </w:tr>
      <w:tr w:rsidR="00FC3F35" w:rsidRPr="00576C1D" w:rsidTr="00FC3F35">
        <w:trPr>
          <w:trHeight w:hRule="exact" w:val="720"/>
        </w:trPr>
        <w:tc>
          <w:tcPr>
            <w:tcW w:w="15140" w:type="dxa"/>
            <w:gridSpan w:val="5"/>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lang w:eastAsia="hr-HR"/>
              </w:rPr>
              <w:t>Tablica 8: Dimenzija 2 - Oblik financiranja</w:t>
            </w:r>
          </w:p>
        </w:tc>
      </w:tr>
      <w:tr w:rsidR="00FC3F35" w:rsidRPr="00576C1D" w:rsidTr="00FC3F35">
        <w:trPr>
          <w:trHeight w:hRule="exact" w:val="44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8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Socijalna uključenost i zdravlje</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3"/>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Bespovratna sredstva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376.500.000,00</w:t>
            </w:r>
          </w:p>
        </w:tc>
      </w:tr>
      <w:tr w:rsidR="00FC3F35" w:rsidRPr="00576C1D" w:rsidTr="00FC3F35">
        <w:trPr>
          <w:trHeight w:hRule="exact" w:val="749"/>
        </w:trPr>
        <w:tc>
          <w:tcPr>
            <w:tcW w:w="15140" w:type="dxa"/>
            <w:gridSpan w:val="5"/>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lang w:eastAsia="hr-HR"/>
              </w:rPr>
              <w:t>Tablica 9: Dimenzija 3 - Vrsta teritorija</w:t>
            </w:r>
          </w:p>
        </w:tc>
      </w:tr>
      <w:tr w:rsidR="00FC3F35" w:rsidRPr="00576C1D" w:rsidTr="00FC3F35">
        <w:trPr>
          <w:trHeight w:hRule="exact" w:val="43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10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Prioritetna os</w:t>
            </w:r>
          </w:p>
        </w:tc>
        <w:tc>
          <w:tcPr>
            <w:tcW w:w="1295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8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Socijalna uključenost i zdravlje</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02. Mala urbana područja (srednje gusto naseljena &gt; 5 000 stanovnika)</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100.000.000,00</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276.500.000,00</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075"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075" w:right="541" w:bottom="360" w:left="540" w:header="720" w:footer="720" w:gutter="0"/>
          <w:cols w:num="3" w:space="720" w:equalWidth="0">
            <w:col w:w="720" w:space="6922"/>
            <w:col w:w="720" w:space="6672"/>
            <w:col w:w="720"/>
          </w:cols>
          <w:noEndnote/>
        </w:sect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lang w:eastAsia="hr-HR"/>
        </w:rPr>
        <w:lastRenderedPageBreak/>
        <w:t>Tablica 10: Dimenzija 4 - Mehanizmi teritorijalne provedbe</w:t>
      </w:r>
    </w:p>
    <w:p w:rsidR="00FC3F35" w:rsidRPr="00576C1D" w:rsidRDefault="00FC3F35" w:rsidP="00FC3F35">
      <w:pPr>
        <w:widowControl w:val="0"/>
        <w:autoSpaceDE w:val="0"/>
        <w:autoSpaceDN w:val="0"/>
        <w:adjustRightInd w:val="0"/>
        <w:spacing w:after="43"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0"/>
        <w:gridCol w:w="2995"/>
        <w:gridCol w:w="9178"/>
        <w:gridCol w:w="1997"/>
      </w:tblGrid>
      <w:tr w:rsidR="00FC3F35" w:rsidRPr="00576C1D" w:rsidTr="00FC3F35">
        <w:trPr>
          <w:trHeight w:hRule="exact" w:val="470"/>
        </w:trPr>
        <w:tc>
          <w:tcPr>
            <w:tcW w:w="15140"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Prioritetna os                               8 - Socijalna uključenost i zdravlje</w:t>
            </w:r>
          </w:p>
        </w:tc>
      </w:tr>
      <w:tr w:rsidR="00FC3F35" w:rsidRPr="00576C1D" w:rsidTr="00FC3F35">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lastRenderedPageBreak/>
              <w:t>Fond</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p w:rsidR="00FC3F35" w:rsidRPr="00576C1D" w:rsidRDefault="00FC3F35" w:rsidP="00FC3F3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hr-HR"/>
              </w:rPr>
            </w:pPr>
          </w:p>
        </w:tc>
      </w:tr>
      <w:tr w:rsidR="00FC3F35" w:rsidRPr="00576C1D" w:rsidTr="00FC3F35">
        <w:trPr>
          <w:trHeight w:hRule="exact" w:val="432"/>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01. Integrirano teritorijalno ulaganje - urbano</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FC3F35" w:rsidRPr="00576C1D" w:rsidTr="00FC3F35">
        <w:trPr>
          <w:trHeight w:hRule="exact" w:val="451"/>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EFRR</w:t>
            </w:r>
          </w:p>
        </w:tc>
        <w:tc>
          <w:tcPr>
            <w:tcW w:w="29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Manje razvijena</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07. Nije primjenjivo</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356.500.000,00</w:t>
            </w:r>
          </w:p>
        </w:tc>
      </w:tr>
    </w:tbl>
    <w:p w:rsidR="00FC3F35" w:rsidRPr="00576C1D" w:rsidRDefault="00FC3F35" w:rsidP="00FC3F35">
      <w:pPr>
        <w:widowControl w:val="0"/>
        <w:autoSpaceDE w:val="0"/>
        <w:autoSpaceDN w:val="0"/>
        <w:adjustRightInd w:val="0"/>
        <w:spacing w:after="499" w:line="1" w:lineRule="exact"/>
        <w:rPr>
          <w:rFonts w:ascii="Times New Roman" w:eastAsia="Times New Roman" w:hAnsi="Times New Roman" w:cs="Times New Roman"/>
          <w:sz w:val="2"/>
          <w:szCs w:val="2"/>
          <w:lang w:eastAsia="hr-HR"/>
        </w:rPr>
      </w:pPr>
    </w:p>
    <w:tbl>
      <w:tblPr>
        <w:tblW w:w="20918" w:type="dxa"/>
        <w:tblInd w:w="40" w:type="dxa"/>
        <w:tblLayout w:type="fixed"/>
        <w:tblCellMar>
          <w:left w:w="40" w:type="dxa"/>
          <w:right w:w="40" w:type="dxa"/>
        </w:tblCellMar>
        <w:tblLook w:val="0000" w:firstRow="0" w:lastRow="0" w:firstColumn="0" w:lastColumn="0" w:noHBand="0" w:noVBand="0"/>
      </w:tblPr>
      <w:tblGrid>
        <w:gridCol w:w="979"/>
        <w:gridCol w:w="826"/>
        <w:gridCol w:w="384"/>
        <w:gridCol w:w="1786"/>
        <w:gridCol w:w="8783"/>
        <w:gridCol w:w="6163"/>
        <w:gridCol w:w="1997"/>
      </w:tblGrid>
      <w:tr w:rsidR="00FC3F35" w:rsidRPr="00576C1D" w:rsidTr="00FC3F35">
        <w:trPr>
          <w:trHeight w:hRule="exact" w:val="250"/>
        </w:trPr>
        <w:tc>
          <w:tcPr>
            <w:tcW w:w="12758" w:type="dxa"/>
            <w:gridSpan w:val="5"/>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lang w:eastAsia="hr-HR"/>
              </w:rPr>
              <w:t xml:space="preserve">Tablica 11: Dimenzija </w:t>
            </w:r>
            <w:r w:rsidRPr="00576C1D">
              <w:rPr>
                <w:rFonts w:ascii="Times New Roman" w:eastAsia="Times New Roman" w:hAnsi="Times New Roman" w:cs="Times New Roman"/>
                <w:color w:val="000000"/>
                <w:spacing w:val="-5"/>
                <w:lang w:eastAsia="hr-HR"/>
              </w:rPr>
              <w:t xml:space="preserve">6 - </w:t>
            </w:r>
            <w:r w:rsidRPr="00576C1D">
              <w:rPr>
                <w:rFonts w:ascii="Times New Roman" w:eastAsia="Times New Roman" w:hAnsi="Times New Roman" w:cs="Times New Roman"/>
                <w:b/>
                <w:color w:val="000000"/>
                <w:spacing w:val="2"/>
                <w:sz w:val="20"/>
                <w:szCs w:val="20"/>
                <w:lang w:eastAsia="hr-HR"/>
              </w:rPr>
              <w:t xml:space="preserve">Sporedna tema Europskog socijalnog fonda </w:t>
            </w:r>
            <w:r w:rsidRPr="00576C1D">
              <w:rPr>
                <w:rFonts w:ascii="Times New Roman" w:eastAsia="Times New Roman" w:hAnsi="Times New Roman" w:cs="Times New Roman"/>
                <w:color w:val="000000"/>
                <w:spacing w:val="2"/>
                <w:sz w:val="20"/>
                <w:szCs w:val="20"/>
                <w:lang w:eastAsia="hr-HR"/>
              </w:rPr>
              <w:t>(samo Europski socijalni fond i Inicijativa za zapošljavanje mladih)</w:t>
            </w:r>
          </w:p>
        </w:tc>
        <w:tc>
          <w:tcPr>
            <w:tcW w:w="616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42"/>
        </w:trPr>
        <w:tc>
          <w:tcPr>
            <w:tcW w:w="1805"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Prioritetna os</w:t>
            </w:r>
          </w:p>
        </w:tc>
        <w:tc>
          <w:tcPr>
            <w:tcW w:w="38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569"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8 - Socijalna uključenost i zdravlje</w:t>
            </w:r>
          </w:p>
        </w:tc>
        <w:tc>
          <w:tcPr>
            <w:tcW w:w="8160" w:type="dxa"/>
            <w:gridSpan w:val="2"/>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996"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Kategorija regije</w:t>
            </w:r>
          </w:p>
        </w:tc>
        <w:tc>
          <w:tcPr>
            <w:tcW w:w="1494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b/>
                <w:sz w:val="20"/>
                <w:szCs w:val="20"/>
                <w:lang w:eastAsia="hr-HR"/>
              </w:rPr>
            </w:pPr>
            <w:r w:rsidRPr="00576C1D">
              <w:rPr>
                <w:rFonts w:ascii="Times New Roman" w:eastAsia="Times New Roman" w:hAnsi="Times New Roman" w:cs="Times New Roman"/>
                <w:b/>
                <w:color w:val="000000"/>
                <w:spacing w:val="-1"/>
                <w:sz w:val="16"/>
                <w:szCs w:val="16"/>
                <w:lang w:eastAsia="hr-HR"/>
              </w:rPr>
              <w:t>iznos u €</w:t>
            </w:r>
          </w:p>
        </w:tc>
      </w:tr>
    </w:tbl>
    <w:p w:rsidR="00FC3F35" w:rsidRDefault="00FC3F35" w:rsidP="00FC3F35">
      <w:pPr>
        <w:widowControl w:val="0"/>
        <w:shd w:val="clear" w:color="auto" w:fill="FFFFFF"/>
        <w:autoSpaceDE w:val="0"/>
        <w:autoSpaceDN w:val="0"/>
        <w:adjustRightInd w:val="0"/>
        <w:spacing w:before="509" w:after="221" w:line="278" w:lineRule="exact"/>
        <w:ind w:left="1392" w:hanging="854"/>
        <w:rPr>
          <w:rFonts w:ascii="Times New Roman" w:eastAsia="Times New Roman" w:hAnsi="Times New Roman" w:cs="Times New Roman"/>
          <w:b/>
          <w:bCs/>
          <w:color w:val="000000"/>
          <w:spacing w:val="5"/>
          <w:sz w:val="24"/>
          <w:szCs w:val="24"/>
          <w:lang w:eastAsia="hr-HR"/>
        </w:rPr>
      </w:pPr>
      <w:r w:rsidRPr="00576C1D">
        <w:rPr>
          <w:rFonts w:ascii="Times New Roman" w:eastAsia="Times New Roman" w:hAnsi="Times New Roman" w:cs="Times New Roman"/>
          <w:b/>
          <w:bCs/>
          <w:color w:val="000000"/>
          <w:spacing w:val="5"/>
          <w:sz w:val="24"/>
          <w:szCs w:val="24"/>
          <w:lang w:eastAsia="hr-HR"/>
        </w:rPr>
        <w:t>2.A.10 Sažetak planiranog korištenja tehničke pomoći uključujući, po potrebi, aktivnosti kojima se ojačava administrativni kapacitet nadležnih tijela uključenih u upravu i kontrolu programa i korisnika (po potrebi) (po prioritetnoj osi)</w:t>
      </w:r>
    </w:p>
    <w:tbl>
      <w:tblPr>
        <w:tblStyle w:val="TableGrid"/>
        <w:tblW w:w="0" w:type="auto"/>
        <w:tblLook w:val="04A0" w:firstRow="1" w:lastRow="0" w:firstColumn="1" w:lastColumn="0" w:noHBand="0" w:noVBand="1"/>
      </w:tblPr>
      <w:tblGrid>
        <w:gridCol w:w="3906"/>
        <w:gridCol w:w="12063"/>
      </w:tblGrid>
      <w:tr w:rsidR="00F37F5D" w:rsidTr="00F37F5D">
        <w:tc>
          <w:tcPr>
            <w:tcW w:w="2072" w:type="dxa"/>
          </w:tcPr>
          <w:p w:rsidR="00F37F5D" w:rsidRDefault="00F37F5D" w:rsidP="00F37F5D">
            <w:r w:rsidRPr="00576C1D">
              <w:rPr>
                <w:rFonts w:ascii="Times New Roman" w:hAnsi="Times New Roman"/>
                <w:color w:val="000000"/>
                <w:spacing w:val="-5"/>
                <w:sz w:val="18"/>
                <w:szCs w:val="18"/>
              </w:rPr>
              <w:t>Prioritetna os:</w:t>
            </w:r>
          </w:p>
        </w:tc>
        <w:tc>
          <w:tcPr>
            <w:tcW w:w="6990" w:type="dxa"/>
          </w:tcPr>
          <w:p w:rsidR="00F37F5D" w:rsidRPr="00576C1D" w:rsidRDefault="00F37F5D" w:rsidP="00F37F5D">
            <w:pPr>
              <w:widowControl w:val="0"/>
              <w:shd w:val="clear" w:color="auto" w:fill="FFFFFF"/>
              <w:autoSpaceDE w:val="0"/>
              <w:autoSpaceDN w:val="0"/>
              <w:adjustRightInd w:val="0"/>
              <w:rPr>
                <w:rFonts w:ascii="Times New Roman" w:hAnsi="Times New Roman"/>
              </w:rPr>
            </w:pPr>
            <w:r w:rsidRPr="00576C1D">
              <w:rPr>
                <w:rFonts w:ascii="Times New Roman" w:hAnsi="Times New Roman"/>
                <w:b/>
                <w:bCs/>
                <w:color w:val="000000"/>
                <w:spacing w:val="-1"/>
                <w:sz w:val="16"/>
                <w:szCs w:val="16"/>
              </w:rPr>
              <w:t>8 - Socijalna uključenost i zdravlje</w:t>
            </w:r>
          </w:p>
        </w:tc>
      </w:tr>
      <w:tr w:rsidR="00F37F5D" w:rsidTr="00F37F5D">
        <w:trPr>
          <w:trHeight w:val="2858"/>
        </w:trPr>
        <w:tc>
          <w:tcPr>
            <w:tcW w:w="0" w:type="auto"/>
            <w:gridSpan w:val="2"/>
          </w:tcPr>
          <w:p w:rsidR="00F37F5D" w:rsidRDefault="00F37F5D" w:rsidP="00F37F5D">
            <w:r>
              <w:t>Prema specifičnim ciljevima 9.1.1 i 9.1.2, potrebno je pružiti potporu unapređenju kapaciteta potencijalnih korisnika u pripremanju visokokvalitetnih projekata kako bi mogli primiti potporu EFRR-a za ulaganja u zdravstvenu opremu i infrastrukturu. Javni i privatni pružatelji zdravstvenih usluga nemaju potreban kapacitet i vještine za samostalno pripremanje visokokvalitetne projektne dokumentacije za infrastrukturne projekte zajedno sa svom pratećom tehničkom dokumentacijom kako bi se prijavili i primili sredstva za infrastrukturne investicije. Ovom aktivnosti osigurat će se pravodobno i učinkovito upravljanje infrastrukturnim projektima u razdoblju 2014. - 2020.</w:t>
            </w:r>
          </w:p>
          <w:p w:rsidR="00F37F5D" w:rsidRDefault="00F37F5D" w:rsidP="00F37F5D">
            <w:r>
              <w:t>Prema specifičnom cilju 9.1.3, također je potrebno osigurati podršku za unapređenje kapaciteta potencijalnih korisnika u pripremanju visokokvalitetnih projekata kako bi mogli primiti potporu EFRR-a za ulaganje u opremu i infrastrukturu u socijalnoj skrbi. Javni i privatni pružatelji socijalne skrbi nemaju potreban kapacitet i vještine za samostalno pripremanje visokokvalitetne projektne dokumentacije za infrastrukturne projekte zajedno sa svom pratećom tehničkom dokumentacijom kako bi se prijavili i primili sredstva za infrastrukturne investicije.</w:t>
            </w:r>
          </w:p>
          <w:p w:rsidR="00F37F5D" w:rsidRDefault="00F37F5D" w:rsidP="00F37F5D">
            <w:r>
              <w:t>Ovom aktivnošću osigurat će se pravovremeno i učinkovito upravljanje infrastrukturnim projektima u razdoblju od 2014. do 2020.</w:t>
            </w:r>
          </w:p>
          <w:p w:rsidR="00F37F5D" w:rsidRDefault="00F37F5D" w:rsidP="00F37F5D">
            <w:r>
              <w:t>Prema specifičnom cilju 9.2.1, također je potrebno osigurati podršku za unapređenje kapaciteta potencijalnih korisnika u pripremanju Planova intervencija kao i visokokvalitetnih projekata kako bi mogli primiti potporu od EFRR-a za planirana ulaganja. Ovom aktivnošću osigurat će se pravovremeno i učinkovito upravljanje infrastrukturnim projektima u razdoblju od 2014. do 2020.</w:t>
            </w:r>
          </w:p>
        </w:tc>
      </w:tr>
    </w:tbl>
    <w:p w:rsidR="00F37F5D" w:rsidRDefault="00F37F5D" w:rsidP="00FC3F35">
      <w:pPr>
        <w:widowControl w:val="0"/>
        <w:shd w:val="clear" w:color="auto" w:fill="FFFFFF"/>
        <w:autoSpaceDE w:val="0"/>
        <w:autoSpaceDN w:val="0"/>
        <w:adjustRightInd w:val="0"/>
        <w:spacing w:before="509" w:after="221" w:line="278" w:lineRule="exact"/>
        <w:ind w:left="1392" w:hanging="854"/>
        <w:rPr>
          <w:rFonts w:ascii="Times New Roman" w:eastAsia="Times New Roman" w:hAnsi="Times New Roman" w:cs="Times New Roman"/>
          <w:b/>
          <w:bCs/>
          <w:color w:val="000000"/>
          <w:spacing w:val="5"/>
          <w:sz w:val="24"/>
          <w:szCs w:val="24"/>
          <w:lang w:eastAsia="hr-HR"/>
        </w:rPr>
      </w:pPr>
    </w:p>
    <w:p w:rsidR="00FC3F35"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2.A.I  Prioritetna os</w:t>
      </w:r>
    </w:p>
    <w:p w:rsidR="0085073E" w:rsidRDefault="0085073E" w:rsidP="0085073E">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24"/>
          <w:szCs w:val="24"/>
          <w:lang w:eastAsia="hr-HR"/>
        </w:rPr>
      </w:pPr>
    </w:p>
    <w:tbl>
      <w:tblPr>
        <w:tblStyle w:val="TableGrid"/>
        <w:tblW w:w="15984" w:type="dxa"/>
        <w:tblLook w:val="04A0" w:firstRow="1" w:lastRow="0" w:firstColumn="1" w:lastColumn="0" w:noHBand="0" w:noVBand="1"/>
      </w:tblPr>
      <w:tblGrid>
        <w:gridCol w:w="2072"/>
        <w:gridCol w:w="13912"/>
      </w:tblGrid>
      <w:tr w:rsidR="0085073E" w:rsidTr="0085073E">
        <w:tc>
          <w:tcPr>
            <w:tcW w:w="2072" w:type="dxa"/>
          </w:tcPr>
          <w:p w:rsidR="0085073E" w:rsidRDefault="0085073E" w:rsidP="002176D9">
            <w:r w:rsidRPr="00576C1D">
              <w:rPr>
                <w:rFonts w:ascii="Times New Roman" w:hAnsi="Times New Roman"/>
                <w:b/>
              </w:rPr>
              <w:t>Oznaka prioritetne osi</w:t>
            </w:r>
          </w:p>
        </w:tc>
        <w:tc>
          <w:tcPr>
            <w:tcW w:w="13912" w:type="dxa"/>
          </w:tcPr>
          <w:p w:rsidR="0085073E" w:rsidRDefault="0085073E" w:rsidP="002176D9">
            <w:r>
              <w:t>1</w:t>
            </w:r>
          </w:p>
        </w:tc>
      </w:tr>
      <w:tr w:rsidR="0085073E" w:rsidTr="0085073E">
        <w:tc>
          <w:tcPr>
            <w:tcW w:w="2072" w:type="dxa"/>
          </w:tcPr>
          <w:p w:rsidR="0085073E" w:rsidRDefault="0085073E" w:rsidP="002176D9">
            <w:r w:rsidRPr="00576C1D">
              <w:rPr>
                <w:rFonts w:ascii="Times New Roman" w:hAnsi="Times New Roman"/>
                <w:b/>
                <w:bCs/>
                <w:color w:val="000000"/>
                <w:spacing w:val="-2"/>
                <w:sz w:val="18"/>
                <w:szCs w:val="18"/>
              </w:rPr>
              <w:lastRenderedPageBreak/>
              <w:t>Naslov prioritetne osi</w:t>
            </w:r>
          </w:p>
        </w:tc>
        <w:tc>
          <w:tcPr>
            <w:tcW w:w="13912" w:type="dxa"/>
          </w:tcPr>
          <w:p w:rsidR="0085073E" w:rsidRDefault="0085073E" w:rsidP="002176D9">
            <w:r w:rsidRPr="00576C1D">
              <w:rPr>
                <w:rFonts w:ascii="Times New Roman" w:hAnsi="Times New Roman"/>
                <w:color w:val="000000"/>
                <w:spacing w:val="-1"/>
                <w:sz w:val="18"/>
                <w:szCs w:val="18"/>
              </w:rPr>
              <w:t>Obrazovanje, vještine i cjeloživotno učenje</w:t>
            </w:r>
          </w:p>
        </w:tc>
      </w:tr>
    </w:tbl>
    <w:p w:rsidR="0085073E" w:rsidRDefault="0085073E"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18"/>
          <w:szCs w:val="18"/>
          <w:lang w:eastAsia="hr-HR"/>
        </w:rPr>
      </w:pPr>
    </w:p>
    <w:p w:rsidR="0085073E" w:rsidRDefault="0085073E"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18"/>
          <w:szCs w:val="18"/>
          <w:lang w:eastAsia="hr-HR"/>
        </w:rPr>
      </w:pPr>
    </w:p>
    <w:p w:rsidR="0085073E" w:rsidRDefault="0085073E"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18"/>
          <w:szCs w:val="18"/>
          <w:lang w:eastAsia="hr-HR"/>
        </w:rPr>
      </w:pP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before="413"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sz w:val="24"/>
          <w:szCs w:val="24"/>
          <w:lang w:eastAsia="hr-HR"/>
        </w:rPr>
        <w:t>Cjelokupna prioritetna os provodit će se isključivo putem financijskih instrumenata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isključivo putem financijskih instrumenata uspostavljenih na razini Unije</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Cjelokupna prioritetna os provodit će se putem lokalnog razvoja koji predvodi zajednica</w:t>
      </w:r>
    </w:p>
    <w:p w:rsidR="00FC3F35" w:rsidRPr="00576C1D" w:rsidRDefault="00FC3F35" w:rsidP="00FC3F35">
      <w:pPr>
        <w:widowControl w:val="0"/>
        <w:numPr>
          <w:ilvl w:val="0"/>
          <w:numId w:val="5"/>
        </w:numPr>
        <w:shd w:val="clear" w:color="auto" w:fill="FFFFFF"/>
        <w:tabs>
          <w:tab w:val="left" w:pos="826"/>
        </w:tabs>
        <w:autoSpaceDE w:val="0"/>
        <w:autoSpaceDN w:val="0"/>
        <w:adjustRightInd w:val="0"/>
        <w:spacing w:after="0" w:line="288" w:lineRule="exact"/>
        <w:ind w:left="55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Za ESF: Cjelokupna prioritetna os posvećena je društvenim inovacijama ili međudržavnoj suradnji, ili oboje</w:t>
      </w:r>
    </w:p>
    <w:p w:rsidR="00FC3F35" w:rsidRPr="00576C1D" w:rsidRDefault="00FC3F35" w:rsidP="00FC3F35">
      <w:pPr>
        <w:widowControl w:val="0"/>
        <w:shd w:val="clear" w:color="auto" w:fill="FFFFFF"/>
        <w:autoSpaceDE w:val="0"/>
        <w:autoSpaceDN w:val="0"/>
        <w:adjustRightInd w:val="0"/>
        <w:spacing w:before="518" w:after="0" w:line="274" w:lineRule="exact"/>
        <w:ind w:left="542" w:right="13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2.A.2 Opravdavanje za uspostavu prioritetne osi koja obuhvaća više od jedne kategorije regija, tematskog cilja ili fonda </w:t>
      </w:r>
      <w:r w:rsidRPr="00576C1D">
        <w:rPr>
          <w:rFonts w:ascii="Times New Roman" w:eastAsia="Times New Roman" w:hAnsi="Times New Roman" w:cs="Times New Roman"/>
          <w:bCs/>
          <w:color w:val="000000"/>
          <w:spacing w:val="-1"/>
          <w:sz w:val="24"/>
          <w:szCs w:val="24"/>
          <w:lang w:eastAsia="hr-HR"/>
        </w:rPr>
        <w:t>(po potrebi)</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t>2.A.3 Fond, kategorija regije i osnovica za obračun potpore Unije</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4646"/>
        <w:gridCol w:w="4646"/>
        <w:gridCol w:w="4666"/>
      </w:tblGrid>
      <w:tr w:rsidR="00FC3F35" w:rsidRPr="00576C1D" w:rsidTr="00FC3F35">
        <w:trPr>
          <w:trHeight w:hRule="exact" w:val="672"/>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8"/>
                <w:szCs w:val="18"/>
                <w:lang w:eastAsia="hr-HR"/>
              </w:rPr>
              <w:t>Fond</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8"/>
                <w:szCs w:val="18"/>
                <w:lang w:eastAsia="hr-HR"/>
              </w:rPr>
              <w:t>Kategorija regije</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49" w:right="1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Osnovica za obračun (ukupni prihvatljivi izdaci ili prihvatljivi javni izdaci)</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left="115" w:right="12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Kategorija regije za najudaljenije regije i sjeverne rijetko naseljene regije (gdje je primjenjivo)</w:t>
            </w:r>
          </w:p>
        </w:tc>
      </w:tr>
      <w:tr w:rsidR="00FC3F35" w:rsidRPr="00576C1D" w:rsidTr="00FC3F35">
        <w:trPr>
          <w:trHeight w:hRule="exact" w:val="47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EFRR</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Manje razvijena</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Ukupno</w:t>
            </w: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autoSpaceDE w:val="0"/>
        <w:autoSpaceDN w:val="0"/>
        <w:adjustRightInd w:val="0"/>
        <w:spacing w:after="56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698"/>
        <w:gridCol w:w="797"/>
        <w:gridCol w:w="1574"/>
        <w:gridCol w:w="317"/>
        <w:gridCol w:w="1392"/>
        <w:gridCol w:w="989"/>
        <w:gridCol w:w="595"/>
        <w:gridCol w:w="634"/>
        <w:gridCol w:w="221"/>
        <w:gridCol w:w="806"/>
        <w:gridCol w:w="1699"/>
        <w:gridCol w:w="3418"/>
      </w:tblGrid>
      <w:tr w:rsidR="00FC3F35" w:rsidRPr="00576C1D" w:rsidTr="00FC3F35">
        <w:trPr>
          <w:trHeight w:hRule="exact" w:val="346"/>
        </w:trPr>
        <w:tc>
          <w:tcPr>
            <w:tcW w:w="5069" w:type="dxa"/>
            <w:gridSpan w:val="3"/>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2.A.4 Investicijski prioritet</w:t>
            </w:r>
          </w:p>
        </w:tc>
        <w:tc>
          <w:tcPr>
            <w:tcW w:w="317"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9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89"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95"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34"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2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0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99"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41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36"/>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Oznaka investicijskog prioriteta</w:t>
            </w:r>
          </w:p>
        </w:tc>
        <w:tc>
          <w:tcPr>
            <w:tcW w:w="797"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10a</w:t>
            </w:r>
          </w:p>
        </w:tc>
        <w:tc>
          <w:tcPr>
            <w:tcW w:w="157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17"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92"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89"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9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3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2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80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99"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418"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552"/>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8"/>
                <w:szCs w:val="18"/>
                <w:lang w:eastAsia="hr-HR"/>
              </w:rPr>
              <w:t>Naslov investicijskog prioriteta</w:t>
            </w:r>
          </w:p>
        </w:tc>
        <w:tc>
          <w:tcPr>
            <w:tcW w:w="12442" w:type="dxa"/>
            <w:gridSpan w:val="11"/>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5B605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Ulaganje u obrazovanje, vještine i cjeloživotno učenje kroz razvoj infrastrukture za obrazovanje i osposobljavanje</w:t>
            </w:r>
            <w:r w:rsidR="00FC3F35" w:rsidRPr="00576C1D">
              <w:rPr>
                <w:rFonts w:ascii="Times New Roman" w:eastAsia="Times New Roman" w:hAnsi="Times New Roman" w:cs="Times New Roman"/>
                <w:color w:val="000000"/>
                <w:spacing w:val="-2"/>
                <w:sz w:val="18"/>
                <w:szCs w:val="18"/>
                <w:lang w:eastAsia="hr-HR"/>
              </w:rPr>
              <w:tab/>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430"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0"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173" w:line="240" w:lineRule="auto"/>
        <w:ind w:left="538"/>
        <w:rPr>
          <w:rFonts w:ascii="Times New Roman" w:eastAsia="Times New Roman" w:hAnsi="Times New Roman" w:cs="Times New Roman"/>
          <w:sz w:val="20"/>
          <w:szCs w:val="20"/>
          <w:lang w:eastAsia="hr-HR"/>
        </w:rPr>
      </w:pPr>
      <w:r>
        <w:rPr>
          <w:rFonts w:ascii="Times New Roman" w:eastAsia="Times New Roman" w:hAnsi="Times New Roman" w:cs="Times New Roman"/>
          <w:b/>
          <w:noProof/>
          <w:sz w:val="20"/>
          <w:szCs w:val="20"/>
          <w:lang w:eastAsia="hr-HR"/>
        </w:rPr>
        <w:lastRenderedPageBreak/>
        <w:pict>
          <v:line id="Line 1993" o:spid="_x0000_s1062" style="position:absolute;left:0;text-align:left;z-index:251732480;visibility:visible;mso-position-horizontal-relative:margin" from="782.4pt,20.6pt" to="782.4pt,4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DJEgIAACwEAAAOAAAAZHJzL2Uyb0RvYy54bWysU8GO2jAQvVfqP1i+QxLIUo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" o:allowincell="f" strokeweight=".25pt">
            <w10:wrap anchorx="margin"/>
          </v:line>
        </w:pict>
      </w:r>
      <w:r w:rsidR="00FC3F35" w:rsidRPr="00576C1D">
        <w:rPr>
          <w:rFonts w:ascii="Times New Roman" w:eastAsia="Times New Roman" w:hAnsi="Times New Roman" w:cs="Times New Roman"/>
          <w:b/>
          <w:bCs/>
          <w:color w:val="000000"/>
          <w:spacing w:val="-1"/>
          <w:sz w:val="24"/>
          <w:szCs w:val="24"/>
          <w:lang w:eastAsia="hr-HR"/>
        </w:rPr>
        <w:t>2.A.5 Specifični ciljevi koji odgovaraju investicijskom prioritetu i očekivanim rezultatima</w:t>
      </w:r>
    </w:p>
    <w:p w:rsidR="00FC3F35" w:rsidRPr="00576C1D" w:rsidRDefault="00FC3F35" w:rsidP="00FC3F35">
      <w:pPr>
        <w:widowControl w:val="0"/>
        <w:shd w:val="clear" w:color="auto" w:fill="FFFFFF"/>
        <w:autoSpaceDE w:val="0"/>
        <w:autoSpaceDN w:val="0"/>
        <w:adjustRightInd w:val="0"/>
        <w:spacing w:after="173" w:line="240" w:lineRule="auto"/>
        <w:ind w:left="538"/>
        <w:rPr>
          <w:rFonts w:ascii="Times New Roman" w:eastAsia="Times New Roman" w:hAnsi="Times New Roman" w:cs="Times New Roman"/>
          <w:sz w:val="20"/>
          <w:szCs w:val="20"/>
          <w:lang w:eastAsia="hr-HR"/>
        </w:rPr>
        <w:sectPr w:rsidR="00FC3F35" w:rsidRPr="00576C1D">
          <w:pgSz w:w="16834" w:h="11909" w:orient="landscape"/>
          <w:pgMar w:top="1174"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before="5"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b/>
          <w:noProof/>
          <w:sz w:val="18"/>
          <w:szCs w:val="18"/>
          <w:lang w:eastAsia="hr-HR"/>
        </w:rPr>
        <w:lastRenderedPageBreak/>
        <w:pict>
          <v:line id="Line 2001" o:spid="_x0000_s1061" style="position:absolute;z-index:251764224;visibility:visible;mso-position-horizontal-relative:margin" from="-5.75pt,-3.35pt" to="750.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rVFgIAACw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" o:allowincell="f" strokeweight=".7pt">
            <w10:wrap anchorx="margin"/>
          </v:line>
        </w:pict>
      </w:r>
      <w:r w:rsidR="00FC3F35" w:rsidRPr="00576C1D">
        <w:rPr>
          <w:rFonts w:ascii="Times New Roman" w:eastAsia="Times New Roman" w:hAnsi="Times New Roman" w:cs="Times New Roman"/>
          <w:b/>
          <w:sz w:val="18"/>
          <w:szCs w:val="18"/>
          <w:lang w:eastAsia="hr-HR"/>
        </w:rPr>
        <w:t>Oznaka</w:t>
      </w:r>
      <w:r w:rsidR="00FC3F35" w:rsidRPr="00576C1D">
        <w:rPr>
          <w:rFonts w:ascii="Times New Roman" w:eastAsia="Times New Roman" w:hAnsi="Times New Roman" w:cs="Times New Roman"/>
          <w:b/>
          <w:bCs/>
          <w:color w:val="000000"/>
          <w:sz w:val="18"/>
          <w:szCs w:val="18"/>
          <w:lang w:eastAsia="hr-HR"/>
        </w:rPr>
        <w:t xml:space="preserve"> specifičnog cilja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b/>
          <w:bCs/>
          <w:color w:val="000000"/>
          <w:sz w:val="18"/>
          <w:szCs w:val="18"/>
          <w:lang w:eastAsia="hr-HR"/>
        </w:rPr>
        <w:lastRenderedPageBreak/>
        <w:t>1</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4" w:right="12220" w:bottom="360" w:left="1183" w:header="720" w:footer="720" w:gutter="0"/>
          <w:cols w:num="2" w:sep="1" w:space="720" w:equalWidth="0">
            <w:col w:w="2068" w:space="643"/>
            <w:col w:w="720"/>
          </w:cols>
          <w:noEndnote/>
        </w:sectPr>
      </w:pPr>
    </w:p>
    <w:p w:rsidR="00FC3F35" w:rsidRPr="00576C1D" w:rsidRDefault="00FC3F35" w:rsidP="00FC3F35">
      <w:pPr>
        <w:widowControl w:val="0"/>
        <w:autoSpaceDE w:val="0"/>
        <w:autoSpaceDN w:val="0"/>
        <w:adjustRightInd w:val="0"/>
        <w:spacing w:before="125"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4" w:right="2360" w:bottom="360" w:left="118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pPr>
      <w:r>
        <w:rPr>
          <w:rFonts w:ascii="Times New Roman" w:eastAsia="Times New Roman" w:hAnsi="Times New Roman" w:cs="Times New Roman"/>
          <w:b/>
          <w:noProof/>
          <w:sz w:val="20"/>
          <w:szCs w:val="20"/>
          <w:lang w:eastAsia="hr-HR"/>
        </w:rPr>
        <w:lastRenderedPageBreak/>
        <w:pict>
          <v:line id="Line 1989" o:spid="_x0000_s1060" style="position:absolute;z-index:251723264;visibility:visible;mso-position-horizontal-relative:margin" from="-6pt,-3.6pt" to="7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" o:allowincell="f" strokeweight=".7pt">
            <w10:wrap anchorx="margin"/>
          </v:line>
        </w:pict>
      </w:r>
      <w:r>
        <w:rPr>
          <w:rFonts w:ascii="Times New Roman" w:eastAsia="Times New Roman" w:hAnsi="Times New Roman" w:cs="Times New Roman"/>
          <w:b/>
          <w:noProof/>
          <w:sz w:val="20"/>
          <w:szCs w:val="20"/>
          <w:lang w:eastAsia="hr-HR"/>
        </w:rPr>
        <w:pict>
          <v:line id="Line 1990" o:spid="_x0000_s1059" style="position:absolute;z-index:251725312;visibility:visible;mso-position-horizontal-relative:margin" from="-6pt,-18.95pt" to="-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3gEwIAACwEAAAOAAAAZHJzL2Uyb0RvYy54bWysU8GO2jAQvVfqP1i+QxLIUo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" o:allowincell="f" strokeweight=".25pt">
            <w10:wrap anchorx="margin"/>
          </v:line>
        </w:pict>
      </w:r>
      <w:r>
        <w:rPr>
          <w:rFonts w:ascii="Times New Roman" w:eastAsia="Times New Roman" w:hAnsi="Times New Roman" w:cs="Times New Roman"/>
          <w:b/>
          <w:noProof/>
          <w:sz w:val="20"/>
          <w:szCs w:val="20"/>
          <w:lang w:eastAsia="hr-HR"/>
        </w:rPr>
        <w:pict>
          <v:line id="Line 1991" o:spid="_x0000_s1058" style="position:absolute;z-index:251727360;visibility:visible;mso-position-horizontal-relative:margin" from="128.4pt,-18.95pt" to="128.4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" o:allowincell="f" strokeweight=".7pt">
            <w10:wrap anchorx="margin"/>
          </v:line>
        </w:pict>
      </w:r>
      <w:r w:rsidR="00FC3F35" w:rsidRPr="00576C1D">
        <w:rPr>
          <w:rFonts w:ascii="Times New Roman" w:eastAsia="Times New Roman" w:hAnsi="Times New Roman" w:cs="Times New Roman"/>
          <w:b/>
          <w:sz w:val="20"/>
          <w:szCs w:val="20"/>
          <w:lang w:eastAsia="hr-HR"/>
        </w:rPr>
        <w:t>Naslov specifičnog cilja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 xml:space="preserve"> Razvoj digitalno zrelih škola  koje su spremne za korištenje potencijala informacijsko komunikacijske tehnologije u obrazovanju i razvoju vještina za 21. stoljeće, neophodnih na tržištu rada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4" w:right="2360" w:bottom="360" w:left="1188" w:header="720" w:footer="720" w:gutter="0"/>
          <w:cols w:num="2" w:space="720" w:equalWidth="0">
            <w:col w:w="2222" w:space="470"/>
            <w:col w:w="10593"/>
          </w:cols>
          <w:noEndnote/>
        </w:sectPr>
      </w:pPr>
    </w:p>
    <w:p w:rsidR="00FC3F35" w:rsidRPr="00576C1D" w:rsidRDefault="00FC3F35" w:rsidP="00FC3F35">
      <w:pPr>
        <w:widowControl w:val="0"/>
        <w:autoSpaceDE w:val="0"/>
        <w:autoSpaceDN w:val="0"/>
        <w:adjustRightInd w:val="0"/>
        <w:spacing w:before="125"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4" w:right="805" w:bottom="360" w:left="117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b/>
          <w:noProof/>
          <w:sz w:val="20"/>
          <w:szCs w:val="20"/>
          <w:lang w:eastAsia="hr-HR"/>
        </w:rPr>
        <w:lastRenderedPageBreak/>
        <w:pict>
          <v:line id="Line 1992" o:spid="_x0000_s1057" style="position:absolute;z-index:251730432;visibility:visible;mso-position-horizontal-relative:margin" from="-5.5pt,-3.6pt" to="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xnFQ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" o:allowincell="f" strokeweight=".7pt">
            <w10:wrap anchorx="margin"/>
          </v:line>
        </w:pict>
      </w:r>
      <w:r w:rsidR="00FC3F35" w:rsidRPr="00576C1D">
        <w:rPr>
          <w:rFonts w:ascii="Times New Roman" w:eastAsia="Times New Roman" w:hAnsi="Times New Roman" w:cs="Times New Roman"/>
          <w:b/>
          <w:sz w:val="20"/>
          <w:szCs w:val="20"/>
          <w:lang w:eastAsia="hr-HR"/>
        </w:rPr>
        <w:t>Rezultati koje države članice žele postići uz potporu Unije</w:t>
      </w:r>
    </w:p>
    <w:p w:rsidR="00FC3F35" w:rsidRPr="00576C1D" w:rsidRDefault="00FC3F35" w:rsidP="00FC3F35">
      <w:pPr>
        <w:widowControl w:val="0"/>
        <w:shd w:val="clear" w:color="auto" w:fill="FFFFFF"/>
        <w:autoSpaceDE w:val="0"/>
        <w:autoSpaceDN w:val="0"/>
        <w:adjustRightInd w:val="0"/>
        <w:spacing w:before="72" w:after="0" w:line="274" w:lineRule="exact"/>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24"/>
          <w:szCs w:val="24"/>
          <w:lang w:eastAsia="hr-HR"/>
        </w:rPr>
        <w:lastRenderedPageBreak/>
        <w:t>Glavni ciljevi reforme obrazovanja i izobrazbe na svim razinama usmjereni su na modernizaciju kurikuluma temeljenog na ishodima učenja i razvoj ključnih i transverzalnih kompetencija za učenje vještina 21. stoljeća.</w:t>
      </w:r>
    </w:p>
    <w:p w:rsidR="00FC3F35" w:rsidRPr="00576C1D" w:rsidRDefault="00FC3F35" w:rsidP="00EF2354">
      <w:pPr>
        <w:widowControl w:val="0"/>
        <w:shd w:val="clear" w:color="auto" w:fill="FFFFFF"/>
        <w:autoSpaceDE w:val="0"/>
        <w:autoSpaceDN w:val="0"/>
        <w:adjustRightInd w:val="0"/>
        <w:spacing w:before="278"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Intervencija u sklopu ovog specifičnog cilja bit će fokusirana na rastuće digitalne kompetencije i nastavnika i učenika kroz provedbu projekta E-škole opremajući osnovne i srednje škole odgovarajućim LAN-ovima (izgradnja lokalne internetske mreže u školama (ciljane školske lokacije) i spajanje škola na ultrabrziinternet) te nabavom specijalizirane opreme za nastavnike i učenike kao i druge opreme povezane s IKT-om. Projekt "E-škole" je kompleksan, višenamjenski projekt koji će rezultirati potpunom informatizacijom administracije, poučavanja i učenja unutar škola kako bi se osiguralo da velika većina hrvatskih javno financiranih škola postane digitalno zrela (e-zrela) do 2022. CARNet će voditi provedbu zajedničkog i usklađenog nacionalnog projekta pod imenom "E-škole" u razdoblju od 2016. do 2022. E-škole su digitalno zrele škole, povezane ultrabrziminternetom, dobro opremljene odgovarajućim IKT-om, s visokom razinom informatizacije posla i obrazovnih procesa. Nastavnici zaposleni u tim školama su digitalno kompetentni, a učenike se uči i potiče da i sami postanu digitalno kompetentni. Obje ove skupine svakodnevno koriste IKT, uključujući, ali ne isključivo, obrazovne primjene i digitalna obrazovna sredstva, kako bi se osiguralo da učenici današnjice postanu konkurentna radna snaga na tržištu rada sutrašnjice.Svrha ulaganja je da se podrži razvoj digitalno kompetentnih učenika, koji su spremni ili postati proaktivni, konkurentni sudionici zajedničkog europskog tržišta rada, ili nastaviti dalje s visokim obrazovanjem. Cilj je omogućiti razvoj digitalno e-zrelih škola informatizacijom školske administracije, kao i nastave i učenja unutar škole.</w:t>
      </w:r>
    </w:p>
    <w:p w:rsidR="00FC3F35" w:rsidRPr="00576C1D" w:rsidRDefault="00FC3F35" w:rsidP="00FC3F35">
      <w:pPr>
        <w:widowControl w:val="0"/>
        <w:shd w:val="clear" w:color="auto" w:fill="FFFFFF"/>
        <w:autoSpaceDE w:val="0"/>
        <w:autoSpaceDN w:val="0"/>
        <w:adjustRightInd w:val="0"/>
        <w:spacing w:before="278" w:after="0" w:line="274" w:lineRule="exact"/>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Politike i aktivnosti na infrastrukturnoj razini potrebne su kako bi se velikoj većini učenika, svih razreda, omogućilo pohađanje e-zrelih škola. Povećanje aktivnosti učenika temeljenih na IKT-u tijekom nastave, te, kao posljedica toga, njihove digitalne kompetencije, treba snažno poticati. Politike i aktivnosti kojima se pruža podrška kvantitativnom i kvalitativnom rastu stručnog usavršavanja nastavnika vjerojatno su najefikasniji način za postizanje rezultata u ovom području; međutim, preduvjeti su opremanje škola odgovarajućom IKT opremom i osiguravanje odgovarajućeg širokopojasnog pristupa internetu školama.</w:t>
      </w:r>
    </w:p>
    <w:p w:rsidR="00FC3F35" w:rsidRPr="00576C1D" w:rsidRDefault="00FC3F35" w:rsidP="00FC3F35">
      <w:pPr>
        <w:widowControl w:val="0"/>
        <w:shd w:val="clear" w:color="auto" w:fill="FFFFFF"/>
        <w:autoSpaceDE w:val="0"/>
        <w:autoSpaceDN w:val="0"/>
        <w:adjustRightInd w:val="0"/>
        <w:spacing w:before="278" w:after="0" w:line="274" w:lineRule="exact"/>
        <w:ind w:left="5"/>
        <w:rPr>
          <w:rFonts w:ascii="Times New Roman" w:eastAsia="Times New Roman" w:hAnsi="Times New Roman" w:cs="Times New Roman"/>
          <w:sz w:val="20"/>
          <w:szCs w:val="20"/>
          <w:lang w:eastAsia="hr-HR"/>
        </w:rPr>
        <w:sectPr w:rsidR="00FC3F35" w:rsidRPr="00576C1D">
          <w:type w:val="continuous"/>
          <w:pgSz w:w="16834" w:h="11909" w:orient="landscape"/>
          <w:pgMar w:top="1174" w:right="805" w:bottom="360" w:left="1178" w:header="720" w:footer="720" w:gutter="0"/>
          <w:cols w:num="2" w:space="720" w:equalWidth="0">
            <w:col w:w="2404" w:space="293"/>
            <w:col w:w="12153"/>
          </w:cols>
          <w:noEndnote/>
        </w:sectPr>
      </w:pPr>
    </w:p>
    <w:p w:rsidR="00FC3F35" w:rsidRPr="00576C1D" w:rsidRDefault="00C244E3" w:rsidP="00FC3F35">
      <w:pPr>
        <w:widowControl w:val="0"/>
        <w:autoSpaceDE w:val="0"/>
        <w:autoSpaceDN w:val="0"/>
        <w:adjustRightInd w:val="0"/>
        <w:spacing w:before="1046"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b/>
          <w:noProof/>
          <w:sz w:val="20"/>
          <w:szCs w:val="20"/>
          <w:lang w:eastAsia="hr-HR"/>
        </w:rPr>
        <w:lastRenderedPageBreak/>
        <w:pict>
          <v:line id="_x0000_s1056" style="position:absolute;z-index:251804160;visibility:visible;mso-position-horizontal-relative:margin" from="25.5pt,7.55pt" to="78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s4GAIAAC4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" o:allowincell="f" strokeweight=".7pt">
            <w10:wrap anchorx="margin"/>
          </v:line>
        </w:pict>
      </w:r>
    </w:p>
    <w:p w:rsidR="00FC3F35" w:rsidRPr="00576C1D" w:rsidRDefault="00FC3F35" w:rsidP="00FC3F35">
      <w:pPr>
        <w:widowControl w:val="0"/>
        <w:shd w:val="clear" w:color="auto" w:fill="FFFFFF"/>
        <w:autoSpaceDE w:val="0"/>
        <w:autoSpaceDN w:val="0"/>
        <w:adjustRightInd w:val="0"/>
        <w:spacing w:before="278" w:after="0" w:line="274" w:lineRule="exact"/>
        <w:ind w:left="5"/>
        <w:rPr>
          <w:rFonts w:ascii="Times New Roman" w:eastAsia="Times New Roman" w:hAnsi="Times New Roman" w:cs="Times New Roman"/>
          <w:sz w:val="20"/>
          <w:szCs w:val="20"/>
          <w:lang w:eastAsia="hr-HR"/>
        </w:rPr>
        <w:sectPr w:rsidR="00FC3F35" w:rsidRPr="00576C1D">
          <w:type w:val="continuous"/>
          <w:pgSz w:w="16834" w:h="11909" w:orient="landscape"/>
          <w:pgMar w:top="117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4" w:right="541" w:bottom="360" w:left="540" w:header="720" w:footer="720" w:gutter="0"/>
          <w:cols w:num="3" w:space="720" w:equalWidth="0">
            <w:col w:w="720" w:space="6922"/>
            <w:col w:w="720" w:space="6672"/>
            <w:col w:w="720"/>
          </w:cols>
          <w:noEndnote/>
        </w:sectPr>
      </w:pPr>
    </w:p>
    <w:p w:rsidR="00FC3F35" w:rsidRPr="00576C1D" w:rsidRDefault="00C244E3" w:rsidP="00FC3F35">
      <w:pPr>
        <w:widowControl w:val="0"/>
        <w:shd w:val="clear" w:color="auto" w:fill="FFFFFF"/>
        <w:autoSpaceDE w:val="0"/>
        <w:autoSpaceDN w:val="0"/>
        <w:adjustRightInd w:val="0"/>
        <w:spacing w:after="0" w:line="240" w:lineRule="auto"/>
        <w:ind w:left="3341"/>
        <w:rPr>
          <w:rFonts w:ascii="Times New Roman" w:eastAsia="Times New Roman" w:hAnsi="Times New Roman" w:cs="Times New Roman"/>
          <w:sz w:val="24"/>
          <w:szCs w:val="24"/>
          <w:lang w:eastAsia="hr-HR"/>
        </w:rPr>
      </w:pPr>
      <w:r>
        <w:rPr>
          <w:rFonts w:ascii="Times New Roman" w:eastAsia="Times New Roman" w:hAnsi="Times New Roman" w:cs="Times New Roman"/>
          <w:noProof/>
          <w:sz w:val="20"/>
          <w:szCs w:val="20"/>
          <w:lang w:eastAsia="hr-HR"/>
        </w:rPr>
        <w:lastRenderedPageBreak/>
        <w:pict>
          <v:line id="Line 1996" o:spid="_x0000_s1055" style="position:absolute;left:0;text-align:left;flip:x;z-index:251752960;visibility:visible;mso-position-horizontal-relative:margin" from="24.75pt,-28.15pt" to="26.25pt,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" o:allowincell="f" strokeweight=".25pt">
            <w10:wrap anchorx="margin"/>
          </v:line>
        </w:pict>
      </w:r>
      <w:r>
        <w:rPr>
          <w:rFonts w:ascii="Times New Roman" w:eastAsia="Times New Roman" w:hAnsi="Times New Roman" w:cs="Times New Roman"/>
          <w:noProof/>
          <w:sz w:val="20"/>
          <w:szCs w:val="20"/>
          <w:lang w:eastAsia="hr-HR"/>
        </w:rPr>
        <w:pict>
          <v:line id="Line 1998" o:spid="_x0000_s1054" style="position:absolute;left:0;text-align:left;z-index:251762176;visibility:visible;mso-position-horizontal-relative:margin" from="782.25pt,-28.15pt" to="783.2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" o:allowincell="f" strokeweight=".25pt">
            <w10:wrap anchorx="margin"/>
          </v:line>
        </w:pict>
      </w:r>
      <w:r>
        <w:rPr>
          <w:rFonts w:ascii="Times New Roman" w:eastAsia="Times New Roman" w:hAnsi="Times New Roman" w:cs="Times New Roman"/>
          <w:noProof/>
          <w:sz w:val="20"/>
          <w:szCs w:val="20"/>
          <w:lang w:eastAsia="hr-HR"/>
        </w:rPr>
        <w:pict>
          <v:line id="Line 1997" o:spid="_x0000_s1053" style="position:absolute;left:0;text-align:left;z-index:251759104;visibility:visible;mso-position-horizontal-relative:margin" from="160.5pt,-28.15pt" to="161.25pt,4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P8GQIAAC8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" o:allowincell="f" strokeweight=".7pt">
            <w10:wrap anchorx="margin"/>
          </v:line>
        </w:pict>
      </w:r>
      <w:r>
        <w:rPr>
          <w:rFonts w:ascii="Times New Roman" w:eastAsia="Times New Roman" w:hAnsi="Times New Roman" w:cs="Times New Roman"/>
          <w:noProof/>
          <w:sz w:val="24"/>
          <w:szCs w:val="24"/>
          <w:lang w:eastAsia="hr-HR"/>
        </w:rPr>
        <w:pict>
          <v:line id="_x0000_s1052" style="position:absolute;left:0;text-align:left;z-index:251806208;visibility:visible;mso-position-horizontal-relative:margin" from="25.5pt,-28.9pt" to="782.4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6f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" o:allowincell="f" strokeweight=".25pt">
            <w10:wrap anchorx="margin"/>
          </v:line>
        </w:pict>
      </w:r>
      <w:r>
        <w:rPr>
          <w:rFonts w:ascii="Times New Roman" w:eastAsia="Times New Roman" w:hAnsi="Times New Roman" w:cs="Times New Roman"/>
          <w:noProof/>
          <w:sz w:val="24"/>
          <w:szCs w:val="24"/>
          <w:lang w:eastAsia="hr-HR"/>
        </w:rPr>
        <w:pict>
          <v:line id="Line 1994" o:spid="_x0000_s1051" style="position:absolute;left:0;text-align:left;z-index:251739648;visibility:visible;mso-position-horizontal-relative:margin" from="25.9pt,-.95pt" to="78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FgIAACwEAAAOAAAAZHJzL2Uyb0RvYy54bWysU02P2yAQvVfqf0DcE9uJN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" o:allowincell="f" strokeweight=".25pt">
            <w10:wrap anchorx="margin"/>
          </v:line>
        </w:pict>
      </w:r>
      <w:r w:rsidR="00FC3F35" w:rsidRPr="00576C1D">
        <w:rPr>
          <w:rFonts w:ascii="Times New Roman" w:eastAsia="Times New Roman" w:hAnsi="Times New Roman" w:cs="Times New Roman"/>
          <w:sz w:val="24"/>
          <w:szCs w:val="24"/>
          <w:lang w:eastAsia="hr-HR"/>
        </w:rPr>
        <w:t>Na taj način bit će osigurano izvršavanje Ekonomskog programa Republike Hrvatske za 2013. koji je donijela Vlada Republike Hrvatske i u kojem se ističe potreba boljeg usklađivanja obrazovnog sustava s potrebama tržišta rada i u kojem se jasno navodi da je za postizanje tog cilja potrebna daljnja informatizacija obrazovnog sustava.</w:t>
      </w:r>
    </w:p>
    <w:p w:rsidR="00FC3F35" w:rsidRPr="00576C1D" w:rsidRDefault="00FC3F35" w:rsidP="00FC3F35">
      <w:pPr>
        <w:widowControl w:val="0"/>
        <w:shd w:val="clear" w:color="auto" w:fill="FFFFFF"/>
        <w:autoSpaceDE w:val="0"/>
        <w:autoSpaceDN w:val="0"/>
        <w:adjustRightInd w:val="0"/>
        <w:spacing w:before="562" w:after="125"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ID specifičnog cilja</w:t>
      </w:r>
    </w:p>
    <w:p w:rsidR="00FC3F35" w:rsidRPr="00576C1D" w:rsidRDefault="00FC3F35" w:rsidP="00FC3F35">
      <w:pPr>
        <w:widowControl w:val="0"/>
        <w:shd w:val="clear" w:color="auto" w:fill="FFFFFF"/>
        <w:autoSpaceDE w:val="0"/>
        <w:autoSpaceDN w:val="0"/>
        <w:adjustRightInd w:val="0"/>
        <w:spacing w:before="562" w:after="125" w:line="240" w:lineRule="auto"/>
        <w:ind w:left="643"/>
        <w:rPr>
          <w:rFonts w:ascii="Times New Roman" w:eastAsia="Times New Roman" w:hAnsi="Times New Roman" w:cs="Times New Roman"/>
          <w:sz w:val="20"/>
          <w:szCs w:val="20"/>
          <w:lang w:eastAsia="hr-HR"/>
        </w:rPr>
        <w:sectPr w:rsidR="00FC3F35" w:rsidRPr="00576C1D">
          <w:pgSz w:w="16834" w:h="11909" w:orient="landscape"/>
          <w:pgMar w:top="1178"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95" o:spid="_x0000_s1050" style="position:absolute;z-index:251744768;visibility:visible;mso-position-horizontal-relative:margin" from="-6pt,-3.6pt" to="7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r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" o:allowincell="f" strokeweight=".25pt">
            <w10:wrap anchorx="margin"/>
          </v:line>
        </w:pict>
      </w:r>
      <w:r w:rsidR="00FC3F35" w:rsidRPr="00576C1D">
        <w:rPr>
          <w:rFonts w:ascii="Times New Roman" w:eastAsia="Times New Roman" w:hAnsi="Times New Roman" w:cs="Times New Roman"/>
          <w:b/>
          <w:sz w:val="20"/>
          <w:szCs w:val="20"/>
          <w:lang w:eastAsia="hr-HR"/>
        </w:rPr>
        <w:t xml:space="preserve"> Naslov specifičnog cilja</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Modernizacija i unaprjeđenje infrastrukture studentskog smještaja u visokom obrazovanju s ciljem poboljšanja pristupa visokom obrazovanju te završetak studija za studente s lošim socio-ekonomskim statusom</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8" w:right="992" w:bottom="360" w:left="1188" w:header="720" w:footer="720" w:gutter="0"/>
          <w:cols w:num="2" w:space="720" w:equalWidth="0">
            <w:col w:w="2222" w:space="466"/>
            <w:col w:w="11966"/>
          </w:cols>
          <w:noEndnote/>
        </w:sectPr>
      </w:pPr>
    </w:p>
    <w:p w:rsidR="00FC3F35" w:rsidRPr="00576C1D" w:rsidRDefault="00FC3F35" w:rsidP="00FC3F35">
      <w:pPr>
        <w:widowControl w:val="0"/>
        <w:autoSpaceDE w:val="0"/>
        <w:autoSpaceDN w:val="0"/>
        <w:adjustRightInd w:val="0"/>
        <w:spacing w:before="125" w:after="0" w:line="1" w:lineRule="exact"/>
        <w:rPr>
          <w:rFonts w:ascii="Times New Roman" w:eastAsia="Times New Roman" w:hAnsi="Times New Roman" w:cs="Times New Roman"/>
          <w:sz w:val="2"/>
          <w:szCs w:val="2"/>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178" w:right="772" w:bottom="360" w:left="1178"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206" w:lineRule="exact"/>
        <w:ind w:left="10"/>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1999" o:spid="_x0000_s1049" style="position:absolute;left:0;text-align:left;z-index:251763200;visibility:visible;mso-position-horizontal-relative:margin" from="-5.5pt,-3.6pt" to="7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" o:allowincell="f" strokeweight=".25pt">
            <w10:wrap anchorx="margin"/>
          </v:line>
        </w:pict>
      </w:r>
      <w:r w:rsidR="00FC3F35" w:rsidRPr="00576C1D">
        <w:rPr>
          <w:rFonts w:ascii="Times New Roman" w:eastAsia="Times New Roman" w:hAnsi="Times New Roman" w:cs="Times New Roman"/>
          <w:b/>
          <w:sz w:val="20"/>
          <w:szCs w:val="20"/>
          <w:lang w:eastAsia="hr-HR"/>
        </w:rPr>
        <w:t xml:space="preserve"> Rezultati koje države članice žele postići uz potporu Unije</w:t>
      </w:r>
    </w:p>
    <w:p w:rsidR="00FC3F35" w:rsidRPr="00576C1D" w:rsidRDefault="00FC3F35" w:rsidP="00FC3F35">
      <w:pPr>
        <w:widowControl w:val="0"/>
        <w:shd w:val="clear" w:color="auto" w:fill="FFFFFF"/>
        <w:autoSpaceDE w:val="0"/>
        <w:autoSpaceDN w:val="0"/>
        <w:adjustRightInd w:val="0"/>
        <w:spacing w:before="67" w:after="0" w:line="274" w:lineRule="exact"/>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z w:val="24"/>
          <w:szCs w:val="24"/>
          <w:lang w:eastAsia="hr-HR"/>
        </w:rPr>
        <w:lastRenderedPageBreak/>
        <w:t>Opći ciljevi (nacrta) hrvatske Strategije obrazovanja, znanosti i tehnologije uključuju osiguravanje poboljšanog pristupa visokom obrazovanju i unapređenje kvalitete i relevantnosti programa visokog obrazovanja. Nekoliko studija ukazuje da samo 59 % svih studenata upisanih na institucije visokog obrazovanja u Hrvatskoj uspješno završi svoj studij, dok 41 % studenata prekine studij, uglavnom u ranim fazama studiranja. Preliminarna analiza pokazuje da je jedan od temeljnih razloga za prekid studija nedostatak sredstava za studiranje. Relevantne studije sugeriraju da bi 20 % studenata trebalo imati raspoloživi smještaj u studentskim domovima. Udio studenata smještenih u studentskim domovima u Hrvatskoj iznosi 6,69 % što je daleko niže od preporuke. Ovisno o lokaciji, u Hrvatskoj se svake godine odbije između 50 % - 75 % studenata koji podnesu zahtjev za smještaj, a 31 % svih studenata su podstanari. Istraživanje EUROSTUDENT pokazuje da je skoro pola od ukupnih troškova studenata povezano sa smještajem i troškovima života (hrana, odjeća i drugo), unatoč činjenici da je hrvatski sustav za financijsku potporu studentima usmjeren na ublažavanje tih troškova kroz subvencije. Visoki troškovi života predstavljaju veliku prepreku posebice za potencijalne studene koji dolaze iz manjih gradova i ruralnih dijelova Hrvatske, koji posljedično ne odabiru studije za koje su zainteresirani već one koji su jeftiniji, bliži i dostupniji, ili još gore, u potpunosti odustaju od svog obrazovanja. Ovo izravno utječe na zapošljivost mladih i smanjenje broja ljudi unutar visokoškolskog obrazovanja. Veoma je teško privući talentirane studente kad institucije ne mogu osigurati osnovnu infrastrukturu potrebnu za studiranje. Također, neki potencijalni studenti si ne mogu priuštiti studiranje, a mnogi visokokvalitetni potencijalni studenti ne mogu odabrati sveučilište prema kvaliteti studija ili onome što bi najbolje odgovaralo njihovim talentima te ponuđenim studijskim programima. Ovo izravno utječe na ekonomiju i vodi u začarani krug visoke nezaposlenosti mladih. Nadalje, niži troškovi smještaja za studente iz socijalno ugroženih skupina utječu na potrebu studenata da rade tijekom studija i na taj način mogu smanjiti opasnost od prekida ili produljenja studija. Ovo utječe na stopu odustajanja te bi trebalo imati pozitivan utjecaj na glavne nacionalne ciljeve vezane za visoko obrazovanje. Trenutni kriteriji za smještaj studenata u studentskim domovima već se temelje na potrebi no također i na zaslugama, u biti, svaki student mora dokazati postizanje određenog broja ECTS bodova iz prethodne akademske godine.</w:t>
      </w:r>
    </w:p>
    <w:p w:rsidR="00FC3F35" w:rsidRPr="00576C1D" w:rsidRDefault="00FC3F35" w:rsidP="00FC3F35">
      <w:pPr>
        <w:widowControl w:val="0"/>
        <w:shd w:val="clear" w:color="auto" w:fill="FFFFFF"/>
        <w:autoSpaceDE w:val="0"/>
        <w:autoSpaceDN w:val="0"/>
        <w:adjustRightInd w:val="0"/>
        <w:spacing w:before="67" w:after="0" w:line="274"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8" w:right="772" w:bottom="360" w:left="1178" w:header="720" w:footer="720" w:gutter="0"/>
          <w:cols w:num="2" w:space="720" w:equalWidth="0">
            <w:col w:w="2404" w:space="293"/>
            <w:col w:w="12187"/>
          </w:cols>
          <w:noEndnote/>
        </w:sectPr>
      </w:pPr>
    </w:p>
    <w:p w:rsidR="00FC3F35" w:rsidRPr="00576C1D" w:rsidRDefault="00C244E3" w:rsidP="00FC3F35">
      <w:pPr>
        <w:widowControl w:val="0"/>
        <w:autoSpaceDE w:val="0"/>
        <w:autoSpaceDN w:val="0"/>
        <w:adjustRightInd w:val="0"/>
        <w:spacing w:before="941" w:after="0" w:line="1" w:lineRule="exact"/>
        <w:rPr>
          <w:rFonts w:ascii="Times New Roman" w:eastAsia="Times New Roman" w:hAnsi="Times New Roman" w:cs="Times New Roman"/>
          <w:sz w:val="2"/>
          <w:szCs w:val="2"/>
          <w:lang w:eastAsia="hr-HR"/>
        </w:rPr>
      </w:pPr>
      <w:r>
        <w:rPr>
          <w:rFonts w:ascii="Times New Roman" w:eastAsia="Times New Roman" w:hAnsi="Times New Roman" w:cs="Times New Roman"/>
          <w:noProof/>
          <w:sz w:val="24"/>
          <w:szCs w:val="24"/>
          <w:lang w:eastAsia="hr-HR"/>
        </w:rPr>
        <w:lastRenderedPageBreak/>
        <w:pict>
          <v:line id="_x0000_s1048" style="position:absolute;z-index:251814400;visibility:visible;mso-position-horizontal-relative:margin" from="24pt,7.75pt" to="780.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h7FQ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" o:allowincell="f" strokeweight=".25pt">
            <w10:wrap anchorx="margin"/>
          </v:line>
        </w:pict>
      </w:r>
    </w:p>
    <w:p w:rsidR="00FC3F35" w:rsidRPr="00576C1D" w:rsidRDefault="00FC3F35" w:rsidP="00FC3F35">
      <w:pPr>
        <w:widowControl w:val="0"/>
        <w:shd w:val="clear" w:color="auto" w:fill="FFFFFF"/>
        <w:autoSpaceDE w:val="0"/>
        <w:autoSpaceDN w:val="0"/>
        <w:adjustRightInd w:val="0"/>
        <w:spacing w:before="67" w:after="0" w:line="274"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8"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178" w:right="541" w:bottom="360" w:left="540" w:header="720" w:footer="720" w:gutter="0"/>
          <w:cols w:num="3" w:space="720" w:equalWidth="0">
            <w:col w:w="720" w:space="6922"/>
            <w:col w:w="720" w:space="6672"/>
            <w:col w:w="720"/>
          </w:cols>
          <w:noEndnote/>
        </w:sectPr>
      </w:pPr>
    </w:p>
    <w:tbl>
      <w:tblPr>
        <w:tblW w:w="0" w:type="auto"/>
        <w:tblInd w:w="607" w:type="dxa"/>
        <w:tblLayout w:type="fixed"/>
        <w:tblCellMar>
          <w:left w:w="40" w:type="dxa"/>
          <w:right w:w="40" w:type="dxa"/>
        </w:tblCellMar>
        <w:tblLook w:val="0000" w:firstRow="0" w:lastRow="0" w:firstColumn="0" w:lastColumn="0" w:noHBand="0" w:noVBand="0"/>
      </w:tblPr>
      <w:tblGrid>
        <w:gridCol w:w="2694"/>
        <w:gridCol w:w="12332"/>
      </w:tblGrid>
      <w:tr w:rsidR="00FC3F35" w:rsidRPr="00576C1D" w:rsidTr="00EF2354">
        <w:trPr>
          <w:trHeight w:hRule="exact" w:val="1727"/>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3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74" w:lineRule="exact"/>
              <w:ind w:right="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Stoga, pošto je nedostatan broj studentskih domova važna prepreka za pristup visokom obrazovanju, povećanje kapaciteta studentskih domova smanjit će trošak studiranja i na taj način omogućiti veći pristup visokom obrazovanju, posebice za socijalno ugrožene skupine. Strateško usmjerenje Republike Hrvatske prema pristupu visokom obrazovanju i njegovoj kvaliteti opravdano je ulaganjima u izgradnju infrastrukture za visokoškolske ustanove tijekom razdoblja 2012.- 2018.:</w:t>
            </w:r>
          </w:p>
          <w:p w:rsidR="00FC3F35" w:rsidRPr="00576C1D" w:rsidRDefault="00FC3F35" w:rsidP="00FC3F35">
            <w:pPr>
              <w:widowControl w:val="0"/>
              <w:shd w:val="clear" w:color="auto" w:fill="FFFFFF"/>
              <w:autoSpaceDE w:val="0"/>
              <w:autoSpaceDN w:val="0"/>
              <w:adjustRightInd w:val="0"/>
              <w:spacing w:after="0" w:line="398" w:lineRule="exact"/>
              <w:ind w:right="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153 milijuna eura kroz komercijalne zajmove,  •    61 milijun eura iz vlastitih sredstava i izravno iz državnog proračuna</w:t>
            </w:r>
          </w:p>
        </w:tc>
      </w:tr>
      <w:tr w:rsidR="00FC3F35" w:rsidRPr="00576C1D" w:rsidTr="00EF2354">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Oznaka specifičnog cilja</w:t>
            </w:r>
          </w:p>
        </w:tc>
        <w:tc>
          <w:tcPr>
            <w:tcW w:w="1233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8"/>
                <w:szCs w:val="18"/>
                <w:lang w:eastAsia="hr-HR"/>
              </w:rPr>
              <w:t>3</w:t>
            </w:r>
          </w:p>
        </w:tc>
      </w:tr>
      <w:tr w:rsidR="00FC3F35" w:rsidRPr="00576C1D" w:rsidTr="00EF2354">
        <w:trPr>
          <w:trHeight w:hRule="exact" w:val="64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8"/>
                <w:szCs w:val="18"/>
                <w:lang w:eastAsia="hr-HR"/>
              </w:rPr>
              <w:t>Naziv specifičnog cilja</w:t>
            </w:r>
          </w:p>
        </w:tc>
        <w:tc>
          <w:tcPr>
            <w:tcW w:w="1233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right="101" w:hanging="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8"/>
                <w:szCs w:val="18"/>
                <w:lang w:eastAsia="hr-HR"/>
              </w:rPr>
              <w:t>Povećanje relevantnosti strukovnog obrazovanja kroz poboljšanje uvjeta za stjecaje praktičnih vještina u ciljanim sektorima srednjeg strukovnog obrazovanja te strukovnog obrazovanja na razini visokog obrazovanja</w:t>
            </w:r>
          </w:p>
        </w:tc>
      </w:tr>
      <w:tr w:rsidR="00EF2354" w:rsidRPr="00576C1D" w:rsidTr="00EF2354">
        <w:tc>
          <w:tcPr>
            <w:tcW w:w="2694" w:type="dxa"/>
            <w:tcBorders>
              <w:top w:val="single" w:sz="6" w:space="0" w:color="auto"/>
              <w:left w:val="single" w:sz="6" w:space="0" w:color="auto"/>
              <w:bottom w:val="single" w:sz="6" w:space="0" w:color="auto"/>
              <w:right w:val="single" w:sz="6" w:space="0" w:color="auto"/>
            </w:tcBorders>
            <w:shd w:val="clear" w:color="auto" w:fill="FFFFFF"/>
          </w:tcPr>
          <w:p w:rsidR="00EF2354" w:rsidRPr="00576C1D" w:rsidRDefault="00EF2354"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b/>
                <w:bCs/>
                <w:color w:val="000000"/>
                <w:sz w:val="18"/>
                <w:szCs w:val="18"/>
                <w:lang w:eastAsia="hr-HR"/>
              </w:rPr>
            </w:pPr>
            <w:r w:rsidRPr="00576C1D">
              <w:rPr>
                <w:rFonts w:ascii="Times New Roman" w:eastAsia="Times New Roman" w:hAnsi="Times New Roman" w:cs="Times New Roman"/>
                <w:b/>
                <w:bCs/>
                <w:color w:val="000000"/>
                <w:spacing w:val="-1"/>
                <w:sz w:val="18"/>
                <w:szCs w:val="18"/>
                <w:lang w:eastAsia="hr-HR"/>
              </w:rPr>
              <w:t>Rezultati koje države članice žele postići uz potporu Unije</w:t>
            </w:r>
          </w:p>
        </w:tc>
        <w:tc>
          <w:tcPr>
            <w:tcW w:w="12332" w:type="dxa"/>
            <w:tcBorders>
              <w:top w:val="single" w:sz="6" w:space="0" w:color="auto"/>
              <w:left w:val="single" w:sz="6" w:space="0" w:color="auto"/>
              <w:bottom w:val="single" w:sz="6" w:space="0" w:color="auto"/>
              <w:right w:val="single" w:sz="6" w:space="0" w:color="auto"/>
            </w:tcBorders>
            <w:shd w:val="clear" w:color="auto" w:fill="FFFFFF"/>
          </w:tcPr>
          <w:p w:rsidR="00EF2354" w:rsidRPr="00576C1D" w:rsidRDefault="00EF2354" w:rsidP="00EF2354">
            <w:pPr>
              <w:widowControl w:val="0"/>
              <w:shd w:val="clear" w:color="auto" w:fill="FFFFFF"/>
              <w:autoSpaceDE w:val="0"/>
              <w:autoSpaceDN w:val="0"/>
              <w:adjustRightInd w:val="0"/>
              <w:spacing w:after="0" w:line="274" w:lineRule="exact"/>
              <w:ind w:right="14"/>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Ciljano infrastrukturno ulaganje fokusirat će se na osnivanje regionalnih centara kompetencija u određenim strukovnim sektorima. Drugim riječima, uspostava mreže dovoljno opremljenih strukovnih škola popraćena visokom razinom stručnosti među nastavnicima/mentorima bit će prioritetno područje ulaganja. Centri kompetencija bit će dio regionalno distribuirane mreže dostatno opremljenih strukovnih škola u ciljanim sektorima s visokom razinom stručnosti nastavnika/mentora, u svrhu olakšavanja daljnjeg razvoja i usklađenosti obrazovnog sustava s tržištem rada na regionalnoj razini. Ova mreža će olakšati daljnji razvoj i usklađivanje obrazovnog sustava s tržištem rada na regionalnoj razini. Točnije, centri će osigurati mogućnosti obrazovanja i stjecanja kompetencija i vještina kroz partnerstvo s obrazovnim, gospodarskim i civilnim sektorom primarno na regionalnoj razini, ali također i kroz međunarodnu suradnju sa sličnim centrima u Europskoj uniji. Stoga će fondovi EFRR-a podržati postupak uspostavljanja mreže regionalno distribuiranih centara kompetencija u poljoprivredi, strojarstvu, turizmu i ugostiteljstvu, sektorima elektrotehnike i informacijskih tehnologija te zdravstveno tehnološkom sektoru (već postojeća mreža strukovnih škola pruža učenje usmjereno na rad; cjeloživotno učenje; razvijenu suradnju sa sveučilištima i ostalim strukovnim školama te sa zavodima za zapošljavanje; partnerstvo s tvrtkama; socijalnu uključenost; međudržavnu pokretljivost polaznika strukovnih škola;  višenamjenski atraktivne centre strukovnih škola). Regionalni centri kompetencija bit će uspostavljeni prema načelima primjene inovativnih metoda nastave (uključujući organizaciju praktičnog osposobljavanja u kontroliranoj okolini), putem suradnje s poslodavcima i socijalnim partnerima, poštujući potrebe regionalnog tržišta rada i inzistirajući na uspješnosti nastavnika/obučavatelja/mentora.</w:t>
            </w:r>
            <w:r w:rsidR="00C244E3">
              <w:rPr>
                <w:rFonts w:ascii="Times New Roman" w:eastAsia="Times New Roman" w:hAnsi="Times New Roman" w:cs="Times New Roman"/>
                <w:noProof/>
                <w:color w:val="000000"/>
                <w:spacing w:val="-1"/>
                <w:sz w:val="24"/>
                <w:szCs w:val="24"/>
                <w:lang w:eastAsia="hr-HR"/>
              </w:rPr>
              <w:pict>
                <v:line id="Line 2002" o:spid="_x0000_s1047" style="position:absolute;z-index:251815424;visibility:visible;mso-position-horizontal-relative:margin;mso-position-vertical-relative:text" from="25.9pt,-.95pt" to="78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WgFQ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" o:allowincell="f" strokeweight=".25pt">
                  <w10:wrap anchorx="margin"/>
                </v:line>
              </w:pict>
            </w:r>
            <w:r w:rsidRPr="00576C1D">
              <w:rPr>
                <w:rFonts w:ascii="Times New Roman" w:eastAsia="Times New Roman" w:hAnsi="Times New Roman" w:cs="Times New Roman"/>
                <w:color w:val="000000"/>
                <w:spacing w:val="-1"/>
                <w:sz w:val="24"/>
                <w:szCs w:val="24"/>
                <w:lang w:eastAsia="hr-HR"/>
              </w:rPr>
              <w:t xml:space="preserve"> Njihovi će zadaci biti, osim redovitih zadataka unutar formalnog strukovnog obrazovanja, organizacije ciljanog/tematskog stručnog usavršavanja za obrazovne stručnjake (nastavnike strukovnih predmeta i mentore), organizacije fleksibilnog i stalnog usavršavanja djelatnika malih/srednjih poduzeća koja djeluju na lokalnoj razini (podizanje razine stručne kompetencije zaposlenika – stjecanje djelomičnih kvalifikacija), podizanje razine znanja i stručnosti nezaposlenih pružanjem kratkih programa osposobljavanja (ciljani programi u sklopu obrazovanja odraslih). Dodana vrijednost rada ovih centara bit će njihova sposobnost da provedu posebno prilagođene programe za osobe s posebnim potrebama/studente s posebnim potrebama (stjecanje praktičnih znanja u odgovarajućim uvjetima koji bi odgovarali njihovim funkcionalnim sposobnostima).</w:t>
            </w:r>
          </w:p>
          <w:p w:rsidR="00EF2354" w:rsidRPr="00576C1D" w:rsidRDefault="00EF2354" w:rsidP="00FC3F35">
            <w:pPr>
              <w:widowControl w:val="0"/>
              <w:shd w:val="clear" w:color="auto" w:fill="FFFFFF"/>
              <w:autoSpaceDE w:val="0"/>
              <w:autoSpaceDN w:val="0"/>
              <w:adjustRightInd w:val="0"/>
              <w:spacing w:after="0" w:line="206" w:lineRule="exact"/>
              <w:ind w:right="101" w:hanging="10"/>
              <w:rPr>
                <w:rFonts w:ascii="Times New Roman" w:eastAsia="Times New Roman" w:hAnsi="Times New Roman" w:cs="Times New Roman"/>
                <w:color w:val="000000"/>
                <w:spacing w:val="-1"/>
                <w:sz w:val="18"/>
                <w:szCs w:val="18"/>
                <w:lang w:eastAsia="hr-HR"/>
              </w:rPr>
            </w:pPr>
          </w:p>
        </w:tc>
      </w:tr>
    </w:tbl>
    <w:p w:rsidR="00EF2354" w:rsidRDefault="00EF2354"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p>
    <w:p w:rsidR="00EF2354" w:rsidRDefault="00EF2354"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p>
    <w:p w:rsidR="00EF2354" w:rsidRDefault="00EF2354"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b/>
          <w:b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3: Specifični pokazatelji rezultata, prikazani po specifičnom cilju (za EFRR i Kohezijski Fond) </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2554"/>
        <w:gridCol w:w="1699"/>
        <w:gridCol w:w="2266"/>
        <w:gridCol w:w="1987"/>
        <w:gridCol w:w="989"/>
        <w:gridCol w:w="2112"/>
        <w:gridCol w:w="1258"/>
        <w:gridCol w:w="19"/>
        <w:gridCol w:w="1258"/>
      </w:tblGrid>
      <w:tr w:rsidR="00FC3F35" w:rsidRPr="00576C1D" w:rsidTr="00FC3F35">
        <w:trPr>
          <w:trHeight w:hRule="exact" w:val="672"/>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Specifični cilj</w:t>
            </w:r>
          </w:p>
        </w:tc>
        <w:tc>
          <w:tcPr>
            <w:tcW w:w="11588"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06" w:lineRule="exact"/>
              <w:ind w:righ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0"/>
                <w:szCs w:val="20"/>
                <w:lang w:eastAsia="hr-HR"/>
              </w:rPr>
              <w:t xml:space="preserve">1 - </w:t>
            </w:r>
            <w:r w:rsidRPr="00576C1D">
              <w:rPr>
                <w:rFonts w:ascii="Times New Roman" w:eastAsia="Times New Roman" w:hAnsi="Times New Roman" w:cs="Times New Roman"/>
                <w:spacing w:val="-4"/>
                <w:sz w:val="20"/>
                <w:szCs w:val="20"/>
                <w:lang w:eastAsia="hr-HR"/>
              </w:rPr>
              <w:t>Razvoj digitalno zrelih škola koje su spremne za korištenje potencijala IKT-a u obrazovanju i razvoju vještina 21.stoljeća, potrebnih na tržištu rada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Pokazatelj </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Mjerna jedinica </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(ako je bitno)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Početna vrijednost </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Početna godina </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Ciljana vrijednost (2023.) </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Izvor podataka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Učestalost izvješćivanja </w:t>
            </w:r>
          </w:p>
        </w:tc>
      </w:tr>
      <w:tr w:rsidR="00FC3F35" w:rsidRPr="00576C1D" w:rsidTr="00FC3F35">
        <w:trPr>
          <w:trHeight w:hRule="exact" w:val="1056"/>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4"/>
                <w:sz w:val="14"/>
                <w:szCs w:val="14"/>
                <w:lang w:eastAsia="hr-HR"/>
              </w:rPr>
              <w:t>10a11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9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Postotak škola s povišenim stupnjem digitalne zrelosti u segmentu Resursa i infrastrukture</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 xml:space="preserve">2014. </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75,00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DMS -sustav digitalne zrelosti</w:t>
            </w:r>
            <w:r w:rsidRPr="00576C1D">
              <w:rPr>
                <w:rFonts w:ascii="Times New Roman" w:eastAsia="Times New Roman" w:hAnsi="Times New Roman" w:cs="Times New Roman"/>
                <w:color w:val="000000"/>
                <w:spacing w:val="-3"/>
                <w:sz w:val="16"/>
                <w:szCs w:val="16"/>
                <w:lang w:eastAsia="hr-HR"/>
              </w:rPr>
              <w:t xml:space="preserve">, </w:t>
            </w:r>
            <w:r w:rsidRPr="00576C1D">
              <w:rPr>
                <w:rFonts w:ascii="Times New Roman" w:eastAsia="Times New Roman" w:hAnsi="Times New Roman" w:cs="Times New Roman"/>
                <w:color w:val="000000"/>
                <w:spacing w:val="-2"/>
                <w:sz w:val="16"/>
                <w:szCs w:val="16"/>
                <w:lang w:eastAsia="hr-HR"/>
              </w:rPr>
              <w:t xml:space="preserve">CARNet, </w:t>
            </w:r>
            <w:r w:rsidRPr="00576C1D">
              <w:rPr>
                <w:rFonts w:ascii="Times New Roman" w:eastAsia="Times New Roman" w:hAnsi="Times New Roman" w:cs="Times New Roman"/>
                <w:color w:val="000000"/>
                <w:spacing w:val="-1"/>
                <w:sz w:val="16"/>
                <w:szCs w:val="16"/>
                <w:lang w:eastAsia="hr-HR"/>
              </w:rPr>
              <w:t>izvješća o projektu</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xml:space="preserve">godišnje </w:t>
            </w:r>
          </w:p>
        </w:tc>
      </w:tr>
      <w:tr w:rsidR="00FC3F35" w:rsidRPr="00576C1D" w:rsidTr="00FC3F35">
        <w:trPr>
          <w:trHeight w:hRule="exact" w:val="672"/>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 xml:space="preserve">Specifični cilj </w:t>
            </w:r>
          </w:p>
        </w:tc>
        <w:tc>
          <w:tcPr>
            <w:tcW w:w="11588"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11" w:lineRule="exact"/>
              <w:ind w:righ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20"/>
                <w:szCs w:val="20"/>
                <w:lang w:eastAsia="hr-HR"/>
              </w:rPr>
              <w:t xml:space="preserve">2 - </w:t>
            </w:r>
            <w:r w:rsidRPr="00576C1D">
              <w:rPr>
                <w:rFonts w:ascii="Times New Roman" w:eastAsia="Times New Roman" w:hAnsi="Times New Roman" w:cs="Times New Roman"/>
                <w:spacing w:val="-4"/>
                <w:sz w:val="20"/>
                <w:szCs w:val="20"/>
                <w:lang w:eastAsia="hr-HR"/>
              </w:rPr>
              <w:t>Modernizacija i unaprjeđenje infrastrukture studentskog smještaja u visokom obrazovanju s ciljem poboljšanja pristupa visokom obrazovanju te završetak studija za studente s lošim socioekonomskim statusom</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Pokazatelj </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Mjerna jedinica </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(ako je bitno)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Početna vrijednost </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Početna godina </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Ciljana vrijednost (2023.)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Izvor podataka </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Učestalost izvješćivanja </w:t>
            </w:r>
          </w:p>
        </w:tc>
      </w:tr>
      <w:tr w:rsidR="00FC3F35" w:rsidRPr="00576C1D" w:rsidTr="00FC3F35">
        <w:trPr>
          <w:trHeight w:hRule="exact" w:val="86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sz w:val="16"/>
                <w:szCs w:val="16"/>
                <w:lang w:eastAsia="hr-HR"/>
              </w:rPr>
              <w:t>10a21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5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Povećan udio raspoloživog smještaja u studentskim domovima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6,69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 xml:space="preserve">2014. </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10,00</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2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Ministarstvo znanosti, obrazovanja i sporta </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definirat će se kasnije</w:t>
            </w:r>
          </w:p>
        </w:tc>
      </w:tr>
      <w:tr w:rsidR="00FC3F35" w:rsidRPr="00576C1D" w:rsidTr="00FC3F35">
        <w:trPr>
          <w:trHeight w:hRule="exact" w:val="87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10a22</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Povećan udio učenika strukovnih škola koji su upisani u sustav visokog obrazovanja</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60,70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 xml:space="preserve">2014. </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70,00</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2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Ministarstvo znanosti, obrazovanja i sporta </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definirat će se kasnije</w:t>
            </w:r>
          </w:p>
        </w:tc>
      </w:tr>
      <w:tr w:rsidR="00FC3F35" w:rsidRPr="00576C1D" w:rsidTr="00FC3F35">
        <w:trPr>
          <w:trHeight w:hRule="exact" w:val="672"/>
        </w:trPr>
        <w:tc>
          <w:tcPr>
            <w:tcW w:w="3562"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20"/>
                <w:szCs w:val="20"/>
                <w:lang w:eastAsia="hr-HR"/>
              </w:rPr>
              <w:t xml:space="preserve">Specifični cilj </w:t>
            </w:r>
          </w:p>
        </w:tc>
        <w:tc>
          <w:tcPr>
            <w:tcW w:w="11588"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11" w:lineRule="exact"/>
              <w:ind w:righ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20"/>
                <w:szCs w:val="20"/>
                <w:lang w:eastAsia="hr-HR"/>
              </w:rPr>
              <w:t xml:space="preserve">3 - </w:t>
            </w:r>
            <w:r w:rsidRPr="00576C1D">
              <w:rPr>
                <w:rFonts w:ascii="Times New Roman" w:eastAsia="Times New Roman" w:hAnsi="Times New Roman" w:cs="Times New Roman"/>
                <w:spacing w:val="-4"/>
                <w:sz w:val="20"/>
                <w:szCs w:val="20"/>
                <w:lang w:eastAsia="hr-HR"/>
              </w:rPr>
              <w:t>Povećanje relevantnosti strukovnog obrazovanja kroz poboljšanje uvjeta za stjecanje praktičnih vještina u ciljanim sektorima srednjeg strukovnog obrazovanja i strukovnog obrazovanja na razini visokog obrazovanja</w:t>
            </w:r>
          </w:p>
        </w:tc>
      </w:tr>
      <w:tr w:rsidR="00FC3F35" w:rsidRPr="00576C1D" w:rsidTr="00FC3F35">
        <w:trPr>
          <w:trHeight w:hRule="exact" w:val="614"/>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1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Pokazatelj </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Mjerna jedinica </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25" w:right="1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(ako je bitno)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Početna vrijednost </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101" w:right="101"/>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Početna godina </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Ciljana vrijednost (2023.) </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Izvor podataka </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72" w:right="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Učestalost izvješćivanja </w:t>
            </w:r>
          </w:p>
        </w:tc>
      </w:tr>
      <w:tr w:rsidR="00FC3F35" w:rsidRPr="00576C1D" w:rsidTr="00FC3F35">
        <w:trPr>
          <w:trHeight w:hRule="exact" w:val="1066"/>
        </w:trPr>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9"/>
                <w:sz w:val="16"/>
                <w:szCs w:val="16"/>
                <w:lang w:eastAsia="hr-HR"/>
              </w:rPr>
              <w:t>10a31</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Postotak studenata koji su završili obrazovanje u regionalnim centrima kompetencija i dobili zaposlenje na radnom mjestu koje odgovara polju njihova obrazovanja </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 xml:space="preserve">2014. </w:t>
            </w:r>
          </w:p>
        </w:tc>
        <w:tc>
          <w:tcPr>
            <w:tcW w:w="21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20,00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16"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xml:space="preserve">MIS, ex post </w:t>
            </w:r>
            <w:r w:rsidRPr="00576C1D">
              <w:rPr>
                <w:rFonts w:ascii="Times New Roman" w:eastAsia="Times New Roman" w:hAnsi="Times New Roman" w:cs="Times New Roman"/>
                <w:color w:val="000000"/>
                <w:spacing w:val="-1"/>
                <w:sz w:val="16"/>
                <w:szCs w:val="16"/>
                <w:lang w:eastAsia="hr-HR"/>
              </w:rPr>
              <w:t>evaluacijsko izvješće</w:t>
            </w:r>
          </w:p>
        </w:tc>
        <w:tc>
          <w:tcPr>
            <w:tcW w:w="127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2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definirat će se kasnije</w:t>
            </w:r>
          </w:p>
        </w:tc>
      </w:tr>
    </w:tbl>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pgSz w:w="16834" w:h="11909" w:orient="landscape"/>
          <w:pgMar w:top="1234" w:right="541" w:bottom="360" w:left="540" w:header="720" w:footer="720" w:gutter="0"/>
          <w:cols w:space="60"/>
          <w:noEndnote/>
        </w:sectPr>
      </w:pP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2.A.6 Aktivnosti koje će se podržati u okviru prioriteta ulaganja (po prioritetu ulaganja)</w:t>
      </w:r>
    </w:p>
    <w:p w:rsidR="00FC3F35" w:rsidRPr="00576C1D" w:rsidRDefault="00C244E3"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b/>
          <w:bCs/>
          <w:i/>
          <w:iCs/>
          <w:color w:val="000000"/>
          <w:spacing w:val="-2"/>
          <w:sz w:val="24"/>
          <w:szCs w:val="24"/>
          <w:lang w:eastAsia="hr-HR"/>
        </w:rPr>
      </w:pPr>
      <w:r>
        <w:rPr>
          <w:rFonts w:ascii="Times New Roman" w:eastAsia="Times New Roman" w:hAnsi="Times New Roman" w:cs="Times New Roman"/>
          <w:noProof/>
          <w:sz w:val="20"/>
          <w:szCs w:val="20"/>
          <w:lang w:eastAsia="hr-HR"/>
        </w:rPr>
        <w:pict>
          <v:line id="_x0000_s1046" style="position:absolute;left:0;text-align:left;z-index:251816448;visibility:visible;mso-position-horizontal-relative:margin" from="783pt,55.55pt" to="783pt,3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yLFgIAAC4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" o:allowincell="f" strokeweight=".25pt">
            <w10:wrap anchorx="margin"/>
          </v:line>
        </w:pict>
      </w:r>
      <w:r w:rsidR="00FC3F35" w:rsidRPr="00576C1D">
        <w:rPr>
          <w:rFonts w:ascii="Times New Roman" w:eastAsia="Times New Roman" w:hAnsi="Times New Roman" w:cs="Times New Roman"/>
          <w:b/>
          <w:bCs/>
          <w:i/>
          <w:iCs/>
          <w:color w:val="000000"/>
          <w:spacing w:val="-2"/>
          <w:sz w:val="24"/>
          <w:szCs w:val="24"/>
          <w:lang w:eastAsia="hr-HR"/>
        </w:rPr>
        <w:t xml:space="preserve">2. A. 6.1 </w:t>
      </w:r>
      <w:r w:rsidR="00FC3F35" w:rsidRPr="00576C1D">
        <w:rPr>
          <w:rFonts w:ascii="Times New Roman" w:eastAsia="Times New Roman" w:hAnsi="Times New Roman" w:cs="Times New Roman"/>
          <w:i/>
          <w:iCs/>
          <w:color w:val="000000"/>
          <w:sz w:val="24"/>
          <w:szCs w:val="24"/>
          <w:lang w:eastAsia="hr-HR"/>
        </w:rPr>
        <w:t>Opis vrste i primjera aktivnosti koje će biti podržane i njihov očekivani doprinos specifičnim ciljevima, uključujući, po potrebi, prepoznavanje glavnih ciljanih skupina, određenih ciljanih područja i vrsta korisnika</w:t>
      </w:r>
    </w:p>
    <w:p w:rsidR="00FC3F35" w:rsidRPr="00576C1D" w:rsidRDefault="00FC3F35" w:rsidP="00FC3F35">
      <w:pPr>
        <w:widowControl w:val="0"/>
        <w:shd w:val="clear" w:color="auto" w:fill="FFFFFF"/>
        <w:autoSpaceDE w:val="0"/>
        <w:autoSpaceDN w:val="0"/>
        <w:adjustRightInd w:val="0"/>
        <w:spacing w:before="504" w:after="125" w:line="278" w:lineRule="exact"/>
        <w:ind w:left="538" w:right="442"/>
        <w:rPr>
          <w:rFonts w:ascii="Times New Roman" w:eastAsia="Times New Roman" w:hAnsi="Times New Roman" w:cs="Times New Roman"/>
          <w:sz w:val="20"/>
          <w:szCs w:val="20"/>
          <w:lang w:eastAsia="hr-HR"/>
        </w:rPr>
        <w:sectPr w:rsidR="00FC3F35" w:rsidRPr="00576C1D">
          <w:pgSz w:w="16834" w:h="11909" w:orient="landscape"/>
          <w:pgMar w:top="1433" w:right="541" w:bottom="360" w:left="540" w:header="720" w:footer="720" w:gutter="0"/>
          <w:cols w:space="60"/>
          <w:noEndnote/>
        </w:sectPr>
      </w:pPr>
    </w:p>
    <w:p w:rsidR="00FC3F35" w:rsidRPr="00576C1D" w:rsidRDefault="00C244E3" w:rsidP="00EF2354">
      <w:pPr>
        <w:widowControl w:val="0"/>
        <w:shd w:val="clear" w:color="auto" w:fill="FFFFFF"/>
        <w:autoSpaceDE w:val="0"/>
        <w:autoSpaceDN w:val="0"/>
        <w:adjustRightInd w:val="0"/>
        <w:spacing w:after="0" w:line="240" w:lineRule="auto"/>
        <w:ind w:right="-48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2422" o:spid="_x0000_s1045" style="position:absolute;z-index:251767296;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d3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" o:allowincell="f" strokeweight=".25pt">
            <w10:wrap anchorx="margin"/>
          </v:line>
        </w:pict>
      </w:r>
      <w:r>
        <w:rPr>
          <w:rFonts w:ascii="Times New Roman" w:eastAsia="Times New Roman" w:hAnsi="Times New Roman" w:cs="Times New Roman"/>
          <w:noProof/>
          <w:sz w:val="20"/>
          <w:szCs w:val="20"/>
          <w:lang w:eastAsia="hr-HR"/>
        </w:rPr>
        <w:pict>
          <v:line id="Line 2423" o:spid="_x0000_s1044" style="position:absolute;z-index:251771392;visibility:visible;mso-position-horizontal-relative:margin" from="-5.75pt,-2.65pt" to="-5.7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Zv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" o:allowincell="f" strokeweight=".25pt">
            <w10:wrap anchorx="margin"/>
          </v:line>
        </w:pict>
      </w:r>
      <w:r>
        <w:rPr>
          <w:rFonts w:ascii="Times New Roman" w:eastAsia="Times New Roman" w:hAnsi="Times New Roman" w:cs="Times New Roman"/>
          <w:noProof/>
          <w:sz w:val="20"/>
          <w:szCs w:val="20"/>
          <w:lang w:eastAsia="hr-HR"/>
        </w:rPr>
        <w:pict>
          <v:line id="Line 2424" o:spid="_x0000_s1043" style="position:absolute;z-index:251774464;visibility:visible;mso-position-horizontal-relative:margin" from="110.9pt,-2.65pt" to="110.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 xml:space="preserve"> Investicijski prioritet </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433" w:right="2994" w:bottom="360" w:left="1183" w:header="720" w:footer="720" w:gutter="0"/>
          <w:cols w:num="2" w:space="720" w:equalWidth="0">
            <w:col w:w="1497" w:space="859"/>
            <w:col w:w="10300"/>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10a – Ulaganje u obrazovanje, vještine i cjeloživotno učenje kroz razvoj infrastrukture za obrazovanje i osposobljavanje</w:t>
      </w:r>
    </w:p>
    <w:p w:rsidR="00FC3F35" w:rsidRPr="00576C1D" w:rsidRDefault="00C244E3" w:rsidP="00FC3F35">
      <w:pPr>
        <w:widowControl w:val="0"/>
        <w:shd w:val="clear" w:color="auto" w:fill="FFFFFF"/>
        <w:autoSpaceDE w:val="0"/>
        <w:autoSpaceDN w:val="0"/>
        <w:adjustRightInd w:val="0"/>
        <w:spacing w:before="192" w:after="0" w:line="240" w:lineRule="auto"/>
        <w:ind w:left="643"/>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2425" o:spid="_x0000_s1042" style="position:absolute;left:0;text-align:left;z-index:251780608;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z1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" o:allowincell="f" strokeweight=".25pt">
            <w10:wrap anchorx="margin"/>
          </v:line>
        </w:pict>
      </w:r>
      <w:r w:rsidR="00FC3F35" w:rsidRPr="00576C1D">
        <w:rPr>
          <w:rFonts w:ascii="Times New Roman" w:eastAsia="Times New Roman" w:hAnsi="Times New Roman" w:cs="Times New Roman"/>
          <w:b/>
          <w:bCs/>
          <w:color w:val="000000"/>
          <w:spacing w:val="1"/>
          <w:sz w:val="24"/>
          <w:szCs w:val="24"/>
          <w:u w:val="single"/>
          <w:lang w:eastAsia="hr-HR"/>
        </w:rPr>
        <w:t>Primjeri aktivnosti koje će se financirati pod specifičnim ciljem 10.1.1:</w:t>
      </w:r>
    </w:p>
    <w:p w:rsidR="00FC3F35" w:rsidRPr="00576C1D" w:rsidRDefault="00FC3F35" w:rsidP="00FC3F35">
      <w:pPr>
        <w:widowControl w:val="0"/>
        <w:numPr>
          <w:ilvl w:val="0"/>
          <w:numId w:val="2"/>
        </w:numPr>
        <w:shd w:val="clear" w:color="auto" w:fill="FFFFFF"/>
        <w:tabs>
          <w:tab w:val="left" w:pos="1358"/>
        </w:tabs>
        <w:autoSpaceDE w:val="0"/>
        <w:autoSpaceDN w:val="0"/>
        <w:adjustRightInd w:val="0"/>
        <w:spacing w:before="278" w:after="0" w:line="274" w:lineRule="exact"/>
        <w:ind w:left="1358"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Nabava na veliko IKT opreme za osnovne i srednje škole (nabava IKT opreme za podučavanje i učenje, odnosno za nastavnike i učionice);</w:t>
      </w:r>
    </w:p>
    <w:p w:rsidR="00FC3F35" w:rsidRPr="00576C1D" w:rsidRDefault="00FC3F35" w:rsidP="00FC3F35">
      <w:pPr>
        <w:widowControl w:val="0"/>
        <w:numPr>
          <w:ilvl w:val="0"/>
          <w:numId w:val="2"/>
        </w:numPr>
        <w:shd w:val="clear" w:color="auto" w:fill="FFFFFF"/>
        <w:tabs>
          <w:tab w:val="left" w:pos="1358"/>
        </w:tabs>
        <w:autoSpaceDE w:val="0"/>
        <w:autoSpaceDN w:val="0"/>
        <w:adjustRightInd w:val="0"/>
        <w:spacing w:before="120" w:after="0" w:line="274" w:lineRule="exact"/>
        <w:ind w:left="1358" w:hanging="322"/>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 xml:space="preserve">Opremanje osnovnih i srednjih škola prikladnim LAN-ovima (izgradnja lokalnih internetskih mreža u školama (ciljane lokacije škola) – podrška provođenju nacionalnog projekta e-škola </w:t>
      </w:r>
    </w:p>
    <w:p w:rsidR="00FC3F35" w:rsidRPr="00576C1D" w:rsidRDefault="00FC3F35" w:rsidP="00FC3F35">
      <w:pPr>
        <w:widowControl w:val="0"/>
        <w:numPr>
          <w:ilvl w:val="0"/>
          <w:numId w:val="7"/>
        </w:numPr>
        <w:shd w:val="clear" w:color="auto" w:fill="FFFFFF"/>
        <w:tabs>
          <w:tab w:val="left" w:pos="1358"/>
        </w:tabs>
        <w:autoSpaceDE w:val="0"/>
        <w:autoSpaceDN w:val="0"/>
        <w:adjustRightInd w:val="0"/>
        <w:spacing w:before="120" w:after="0" w:line="240" w:lineRule="auto"/>
        <w:ind w:left="1037"/>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Raspoređeni centri podataka spremni za apsorbiranje povećane potražnje za e-uslugama i e-sadržajem u obrazovnom oblaku </w:t>
      </w:r>
    </w:p>
    <w:p w:rsidR="00FC3F35" w:rsidRPr="00576C1D" w:rsidRDefault="00FC3F35" w:rsidP="00FC3F35">
      <w:pPr>
        <w:widowControl w:val="0"/>
        <w:shd w:val="clear" w:color="auto" w:fill="FFFFFF"/>
        <w:autoSpaceDE w:val="0"/>
        <w:autoSpaceDN w:val="0"/>
        <w:adjustRightInd w:val="0"/>
        <w:spacing w:before="278" w:after="0" w:line="274" w:lineRule="exact"/>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Ove aktivnosti bit će uvedene u 10% osnovnih i srednjih škola u Hrvatskoj kako bi se testirale te kako bi se odredili najbolji načini za postizanje planiranih ishoda. Prema tome, buduće aktivnosti temeljit će se na rezultatima pilot aktivnosti, omogućavajući promjene u aktivnostima i pristupima u razvoju glavnog projekta. Pilot projekt također će poslužiti CARNet-u, njegovim partnerima u projektu, kao i ministarstvu i korisnicima projekta, kao neprocjenjivo iskustvo i praksa u izgradnji kapaciteta prije provođenja glavnog projekta.</w:t>
      </w:r>
    </w:p>
    <w:p w:rsidR="00EF2354" w:rsidRPr="00576C1D" w:rsidRDefault="00FC3F35" w:rsidP="00EF2354">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U odnosu na osiguranje komplementarnosti s prethodno spomenutim tipom aktivnosti EFRR-a, posebna će se podrška pružiti općem obrazovnom sustavu kroz ESF, tj. OP EHP, IP 10.3 (odnosno razvoj digitalnih materijala za obrazovanje, alata i metoda, kao i organizacijskih modela za podršku njihovu korištenju na državnoj razini, kako u osnovnim, tako i u srednjim školama, u sklopu nacionalnog kurikuluma; razvoj digitalnih kompetencija nastavnika, ravnatelja i stručnog osoblja, posebice u pogledu korištenja IKT-a za podučavanje i učenje te sustavna podrška školama i pojedinim nastavnicima i voditeljima škola u uvođenju IKT-a u podučavanje i učenje).</w:t>
      </w:r>
    </w:p>
    <w:p w:rsidR="00FC3F35" w:rsidRPr="00576C1D" w:rsidRDefault="00FC3F3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Korisnici: CARNet, osnovne i srednje škole,</w:t>
      </w:r>
    </w:p>
    <w:p w:rsidR="005B6055" w:rsidRPr="00576C1D" w:rsidRDefault="005B6055" w:rsidP="00FC3F35">
      <w:pPr>
        <w:widowControl w:val="0"/>
        <w:shd w:val="clear" w:color="auto" w:fill="FFFFFF"/>
        <w:autoSpaceDE w:val="0"/>
        <w:autoSpaceDN w:val="0"/>
        <w:adjustRightInd w:val="0"/>
        <w:spacing w:before="278" w:after="0" w:line="274" w:lineRule="exact"/>
        <w:ind w:left="638"/>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before="278" w:after="998" w:line="240" w:lineRule="auto"/>
        <w:ind w:left="638"/>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space="60"/>
          <w:noEndnote/>
        </w:sectPr>
      </w:pPr>
    </w:p>
    <w:p w:rsidR="00FC3F35" w:rsidRPr="00576C1D" w:rsidRDefault="00C244E3" w:rsidP="00FC3F35">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FC3F35" w:rsidRPr="00576C1D">
          <w:type w:val="continuous"/>
          <w:pgSz w:w="16834" w:h="11909" w:orient="landscape"/>
          <w:pgMar w:top="1433" w:right="541" w:bottom="360" w:left="540" w:header="720" w:footer="720" w:gutter="0"/>
          <w:cols w:num="3" w:space="720" w:equalWidth="0">
            <w:col w:w="720" w:space="6926"/>
            <w:col w:w="720" w:space="6667"/>
            <w:col w:w="720"/>
          </w:cols>
          <w:noEndnote/>
        </w:sectPr>
      </w:pPr>
      <w:r>
        <w:rPr>
          <w:rFonts w:ascii="Times New Roman" w:eastAsia="Times New Roman" w:hAnsi="Times New Roman" w:cs="Times New Roman"/>
          <w:noProof/>
          <w:sz w:val="20"/>
          <w:szCs w:val="20"/>
          <w:lang w:eastAsia="hr-HR"/>
        </w:rPr>
        <w:lastRenderedPageBreak/>
        <w:pict>
          <v:line id="_x0000_s1041" style="position:absolute;z-index:251818496;visibility:visible;mso-position-horizontal-relative:margin" from="26.25pt,2.1pt" to="78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iR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" o:allowincell="f" strokeweight=".25pt">
            <w10:wrap anchorx="margin"/>
          </v:line>
        </w:pict>
      </w:r>
    </w:p>
    <w:p w:rsidR="00FC3F35" w:rsidRPr="00576C1D" w:rsidRDefault="00C244E3" w:rsidP="005B6055">
      <w:pPr>
        <w:widowControl w:val="0"/>
        <w:shd w:val="clear" w:color="auto" w:fill="FFFFFF"/>
        <w:autoSpaceDE w:val="0"/>
        <w:autoSpaceDN w:val="0"/>
        <w:adjustRightInd w:val="0"/>
        <w:spacing w:before="835" w:after="0" w:line="240" w:lineRule="auto"/>
        <w:rPr>
          <w:rFonts w:ascii="Times New Roman" w:eastAsia="Times New Roman" w:hAnsi="Times New Roman" w:cs="Times New Roman"/>
          <w:b/>
          <w:bCs/>
          <w:color w:val="000000"/>
          <w:sz w:val="24"/>
          <w:szCs w:val="24"/>
          <w:u w:val="single"/>
          <w:lang w:eastAsia="hr-HR"/>
        </w:rPr>
      </w:pPr>
      <w:r>
        <w:rPr>
          <w:rFonts w:ascii="Times New Roman" w:eastAsia="Times New Roman" w:hAnsi="Times New Roman" w:cs="Times New Roman"/>
          <w:noProof/>
          <w:sz w:val="20"/>
          <w:szCs w:val="20"/>
          <w:lang w:eastAsia="hr-HR"/>
        </w:rPr>
        <w:lastRenderedPageBreak/>
        <w:pict>
          <v:line id="_x0000_s1040" style="position:absolute;flip:x;z-index:251819520;visibility:visible;mso-position-horizontal-relative:margin" from="751.05pt,52.15pt" to="751.8pt,3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" o:allowincell="f" strokeweight=".25pt">
            <w10:wrap anchorx="margin"/>
          </v:line>
        </w:pict>
      </w:r>
      <w:r>
        <w:rPr>
          <w:rFonts w:ascii="Times New Roman" w:eastAsia="Times New Roman" w:hAnsi="Times New Roman" w:cs="Times New Roman"/>
          <w:noProof/>
          <w:sz w:val="20"/>
          <w:szCs w:val="20"/>
          <w:lang w:eastAsia="hr-HR"/>
        </w:rPr>
        <w:pict>
          <v:line id="Line 2432" o:spid="_x0000_s1039" style="position:absolute;z-index:251794944;visibility:visible;mso-position-horizontal-relative:margin" from="111.1pt,52.9pt" to="111.1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8FQIAACsEAAAOAAAAZHJzL2Uyb0RvYy54bWysU02P2jAQvVfqf7B8h3yQpR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" o:allowincell="f" strokeweight=".7pt">
            <w10:wrap anchorx="margin"/>
          </v:line>
        </w:pict>
      </w:r>
      <w:r>
        <w:rPr>
          <w:rFonts w:ascii="Times New Roman" w:eastAsia="Times New Roman" w:hAnsi="Times New Roman" w:cs="Times New Roman"/>
          <w:noProof/>
          <w:sz w:val="20"/>
          <w:szCs w:val="20"/>
          <w:lang w:eastAsia="hr-HR"/>
        </w:rPr>
        <w:pict>
          <v:line id="Line 2431" o:spid="_x0000_s1038" style="position:absolute;flip:x;z-index:251789824;visibility:visible;mso-position-horizontal-relative:margin" from="-6.65pt,52.9pt" to="-5.9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" o:allowincell="f" strokeweight=".25pt">
            <w10:wrap anchorx="margin"/>
          </v:line>
        </w:pict>
      </w:r>
    </w:p>
    <w:p w:rsidR="00FC3F35" w:rsidRPr="00576C1D" w:rsidRDefault="00C244E3"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Line 2430" o:spid="_x0000_s1037" style="position:absolute;z-index:251783680;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RSFQIAACw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DA4pRSFQIAACwEAAAOAAAAAAAAAAAAAAAAAC4CAABkcnMvZTJvRG9jLnhtbFBLAQItABQABgAI&#10;AAAAIQASjlvR3wAAAAoBAAAPAAAAAAAAAAAAAAAAAG8EAABkcnMvZG93bnJldi54bWxQSwUGAAAA&#10;AAQABADzAAAAewUAAAAA&#10;" o:allowincell="f" strokeweight=".25pt">
            <w10:wrap anchorx="margin"/>
          </v:line>
        </w:pict>
      </w:r>
      <w:r w:rsidR="00FC3F35" w:rsidRPr="00576C1D">
        <w:rPr>
          <w:rFonts w:ascii="Times New Roman" w:eastAsia="Times New Roman" w:hAnsi="Times New Roman" w:cs="Times New Roman"/>
          <w:b/>
          <w:bCs/>
          <w:color w:val="000000"/>
          <w:spacing w:val="-1"/>
          <w:sz w:val="18"/>
          <w:szCs w:val="18"/>
          <w:lang w:eastAsia="hr-HR"/>
        </w:rPr>
        <w:t xml:space="preserve">Investicijski prioritet </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hr-HR"/>
        </w:rPr>
        <w:sectPr w:rsidR="00FC3F35" w:rsidRPr="00576C1D" w:rsidSect="00FC3F35">
          <w:pgSz w:w="16834" w:h="11909" w:orient="landscape"/>
          <w:pgMar w:top="1207" w:right="532" w:bottom="360" w:left="1183" w:header="720" w:footer="720" w:gutter="0"/>
          <w:cols w:num="2" w:space="720" w:equalWidth="0">
            <w:col w:w="1497" w:space="859"/>
            <w:col w:w="12763"/>
          </w:cols>
          <w:noEndnote/>
        </w:sect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10a - Ulaganje u obrazovanje, vještine i cjeloživotno učenje kroz razvoj infrastrukture za obrazovanje i osposobljavanje</w:t>
      </w:r>
    </w:p>
    <w:p w:rsidR="005B6055" w:rsidRPr="00576C1D" w:rsidRDefault="00C244E3" w:rsidP="005B6055">
      <w:pPr>
        <w:shd w:val="clear" w:color="auto" w:fill="FFFFFF"/>
        <w:spacing w:before="72"/>
        <w:ind w:left="648"/>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2433" o:spid="_x0000_s1036" style="position:absolute;left:0;text-align:left;z-index:251798016;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K7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" o:allowincell="f" strokeweight=".25pt">
            <w10:wrap anchorx="margin"/>
          </v:line>
        </w:pict>
      </w:r>
      <w:r>
        <w:rPr>
          <w:rFonts w:ascii="Times New Roman" w:eastAsia="Times New Roman" w:hAnsi="Times New Roman" w:cs="Times New Roman"/>
          <w:noProof/>
          <w:sz w:val="20"/>
          <w:szCs w:val="20"/>
          <w:lang w:eastAsia="hr-HR"/>
        </w:rPr>
        <w:pict>
          <v:line id="Line 2429" o:spid="_x0000_s1035" style="position:absolute;left:0;text-align:left;z-index:251803136;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hR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" o:allowincell="f" strokeweight=".25pt">
            <w10:wrap anchorx="margin"/>
          </v:line>
        </w:pict>
      </w:r>
      <w:r w:rsidR="005B6055" w:rsidRPr="00576C1D">
        <w:rPr>
          <w:rFonts w:ascii="Times New Roman" w:eastAsia="Times New Roman" w:hAnsi="Times New Roman" w:cs="Times New Roman"/>
          <w:color w:val="000000"/>
          <w:spacing w:val="-1"/>
          <w:sz w:val="24"/>
          <w:szCs w:val="24"/>
          <w:lang w:eastAsia="hr-HR"/>
        </w:rPr>
        <w:t>Ciljne skupine: Školsko osoblje (psiholozi, pedagozi itd.) uprava, nastavnici, učenici</w:t>
      </w:r>
    </w:p>
    <w:p w:rsidR="005B6055" w:rsidRPr="00576C1D" w:rsidRDefault="005B6055" w:rsidP="005B6055">
      <w:pPr>
        <w:widowControl w:val="0"/>
        <w:shd w:val="clear" w:color="auto" w:fill="FFFFFF"/>
        <w:autoSpaceDE w:val="0"/>
        <w:autoSpaceDN w:val="0"/>
        <w:adjustRightInd w:val="0"/>
        <w:spacing w:before="835"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u w:val="single"/>
          <w:lang w:eastAsia="hr-HR"/>
        </w:rPr>
        <w:t>Primjeri aktivnosti koje će se financirati u sklopu specifičnog cilja 10.1.2:</w:t>
      </w:r>
    </w:p>
    <w:p w:rsidR="005B6055" w:rsidRPr="00576C1D" w:rsidRDefault="005B6055" w:rsidP="005B6055">
      <w:pPr>
        <w:widowControl w:val="0"/>
        <w:shd w:val="clear" w:color="auto" w:fill="FFFFFF"/>
        <w:autoSpaceDE w:val="0"/>
        <w:autoSpaceDN w:val="0"/>
        <w:adjustRightInd w:val="0"/>
        <w:spacing w:before="269" w:after="0" w:line="278" w:lineRule="exact"/>
        <w:ind w:left="643" w:right="4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 xml:space="preserve">Dovršetak izgradnje započetih studentskih domova i gradnja novih prema odgovarajućim studijama izvedivosti s ciljem osiguravanja smještaja studentima lošijeg imovinskog stanja i studentima s invaliditetom. </w:t>
      </w:r>
    </w:p>
    <w:p w:rsidR="005B6055" w:rsidRPr="00576C1D" w:rsidRDefault="005B6055" w:rsidP="005B6055">
      <w:pPr>
        <w:widowControl w:val="0"/>
        <w:shd w:val="clear" w:color="auto" w:fill="FFFFFF"/>
        <w:autoSpaceDE w:val="0"/>
        <w:autoSpaceDN w:val="0"/>
        <w:adjustRightInd w:val="0"/>
        <w:spacing w:before="58" w:after="0" w:line="552" w:lineRule="exact"/>
        <w:ind w:left="758" w:right="10598" w:hanging="110"/>
        <w:rPr>
          <w:rFonts w:ascii="Times New Roman" w:eastAsia="Times New Roman" w:hAnsi="Times New Roman" w:cs="Times New Roman"/>
          <w:i/>
          <w:iCs/>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Ciljane skupine: studenti </w:t>
      </w:r>
    </w:p>
    <w:p w:rsidR="005B6055" w:rsidRPr="00576C1D" w:rsidRDefault="005B6055" w:rsidP="005B6055">
      <w:pPr>
        <w:widowControl w:val="0"/>
        <w:shd w:val="clear" w:color="auto" w:fill="FFFFFF"/>
        <w:autoSpaceDE w:val="0"/>
        <w:autoSpaceDN w:val="0"/>
        <w:adjustRightInd w:val="0"/>
        <w:spacing w:before="58" w:after="0" w:line="552" w:lineRule="exact"/>
        <w:ind w:left="758" w:right="10598" w:hanging="1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iCs/>
          <w:color w:val="000000"/>
          <w:spacing w:val="-1"/>
          <w:sz w:val="24"/>
          <w:szCs w:val="24"/>
          <w:lang w:eastAsia="hr-HR"/>
        </w:rPr>
        <w:t>Ko</w:t>
      </w:r>
      <w:r w:rsidRPr="00576C1D">
        <w:rPr>
          <w:rFonts w:ascii="Times New Roman" w:eastAsia="Times New Roman" w:hAnsi="Times New Roman" w:cs="Times New Roman"/>
          <w:color w:val="000000"/>
          <w:spacing w:val="-1"/>
          <w:sz w:val="24"/>
          <w:szCs w:val="24"/>
          <w:lang w:eastAsia="hr-HR"/>
        </w:rPr>
        <w:t xml:space="preserve">risnici: ustanove visokoga školstva </w:t>
      </w:r>
    </w:p>
    <w:p w:rsidR="005B6055" w:rsidRPr="00576C1D" w:rsidRDefault="005B6055" w:rsidP="005B6055">
      <w:pPr>
        <w:widowControl w:val="0"/>
        <w:shd w:val="clear" w:color="auto" w:fill="FFFFFF"/>
        <w:autoSpaceDE w:val="0"/>
        <w:autoSpaceDN w:val="0"/>
        <w:adjustRightInd w:val="0"/>
        <w:spacing w:before="835"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24"/>
          <w:szCs w:val="24"/>
          <w:lang w:eastAsia="hr-HR"/>
        </w:rPr>
        <w:t>Zajedno s aktivnostima predviđenima u okviru ESF-a (OP EUR, IP 10.3), koje su usredotočene na pružanje podrške putem državnih stipendija, i mjerama koje su predložile i provele ustanove visokog obrazovanja, a obuhvaćaju uvođenje izvanrednog studija i pružanje kvalitetne akademske i profesionalne orijentacije, postići će se specifični cilj povećanja dostupnosti i stope završetka studija u sklopu visokog obrazovanja.</w:t>
      </w:r>
      <w:r w:rsidRPr="00576C1D">
        <w:rPr>
          <w:rFonts w:ascii="Times New Roman" w:eastAsia="Times New Roman" w:hAnsi="Times New Roman" w:cs="Times New Roman"/>
          <w:b/>
          <w:bCs/>
          <w:color w:val="000000"/>
          <w:sz w:val="24"/>
          <w:szCs w:val="24"/>
          <w:u w:val="single"/>
          <w:lang w:eastAsia="hr-HR"/>
        </w:rPr>
        <w:t>Primjeri aktivnosti koje će se financirati u sklopu specifičnog cilja 10.1.3:</w:t>
      </w:r>
    </w:p>
    <w:p w:rsidR="005B6055" w:rsidRPr="00576C1D" w:rsidRDefault="00C244E3" w:rsidP="005B6055">
      <w:pPr>
        <w:widowControl w:val="0"/>
        <w:numPr>
          <w:ilvl w:val="0"/>
          <w:numId w:val="2"/>
        </w:numPr>
        <w:shd w:val="clear" w:color="auto" w:fill="FFFFFF"/>
        <w:tabs>
          <w:tab w:val="left" w:pos="1358"/>
        </w:tabs>
        <w:autoSpaceDE w:val="0"/>
        <w:autoSpaceDN w:val="0"/>
        <w:adjustRightInd w:val="0"/>
        <w:spacing w:before="274" w:after="0" w:line="274" w:lineRule="exac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noProof/>
          <w:sz w:val="20"/>
          <w:szCs w:val="20"/>
          <w:lang w:eastAsia="hr-HR"/>
        </w:rPr>
        <w:pict>
          <v:line id="_x0000_s1034" style="position:absolute;left:0;text-align:left;z-index:251820544;visibility:visible;mso-position-horizontal-relative:margin" from="25.5pt,9.95pt" to="78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" o:allowincell="f" strokeweight=".25pt">
            <w10:wrap anchorx="margin"/>
          </v:line>
        </w:pict>
      </w:r>
      <w:r w:rsidR="005B6055" w:rsidRPr="00576C1D">
        <w:rPr>
          <w:rFonts w:ascii="Times New Roman" w:eastAsia="Times New Roman" w:hAnsi="Times New Roman" w:cs="Times New Roman"/>
          <w:color w:val="000000"/>
          <w:sz w:val="24"/>
          <w:szCs w:val="24"/>
          <w:lang w:eastAsia="hr-HR"/>
        </w:rPr>
        <w:t xml:space="preserve">Rekonstrukcija, obnova i adaptacija institucija SOO-a u ciljanim sektorima za osiguranje modernog i visokokvalitetnog obrazovanja i osposobljavanja te nabava specijalizirane opreme za te ustanove (radionice, laboratoriji, moderne tehnologije, razvoj sektorski relevantnih alata,, strojeva itd.; IKT , specijalizirana didaktička i pedagoška oprema, obnova i uređenje prostorija, zajedničkih objekata koje dijele strukovne škole i tvrtke/lokalne zajednice – centri kompetencija) </w:t>
      </w:r>
    </w:p>
    <w:p w:rsidR="005B6055" w:rsidRPr="00576C1D" w:rsidRDefault="005B6055" w:rsidP="005B6055">
      <w:pPr>
        <w:widowControl w:val="0"/>
        <w:numPr>
          <w:ilvl w:val="0"/>
          <w:numId w:val="2"/>
        </w:numPr>
        <w:shd w:val="clear" w:color="auto" w:fill="FFFFFF"/>
        <w:tabs>
          <w:tab w:val="left" w:pos="1358"/>
        </w:tabs>
        <w:autoSpaceDE w:val="0"/>
        <w:autoSpaceDN w:val="0"/>
        <w:adjustRightInd w:val="0"/>
        <w:spacing w:before="120" w:after="0" w:line="274" w:lineRule="exact"/>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pacing w:val="-1"/>
          <w:sz w:val="24"/>
          <w:szCs w:val="24"/>
          <w:lang w:eastAsia="hr-HR"/>
        </w:rPr>
        <w:t xml:space="preserve">Opremanje SOO ustanova zapraktičnu nastavu, kako bi se povećao obrazovni standard za učenike kao i za njihove buduće izglede na konkurentnom tržištu rada </w:t>
      </w:r>
    </w:p>
    <w:p w:rsidR="005B6055" w:rsidRPr="00576C1D" w:rsidRDefault="005B6055" w:rsidP="005B6055">
      <w:pPr>
        <w:widowControl w:val="0"/>
        <w:numPr>
          <w:ilvl w:val="0"/>
          <w:numId w:val="7"/>
        </w:numPr>
        <w:shd w:val="clear" w:color="auto" w:fill="FFFFFF"/>
        <w:tabs>
          <w:tab w:val="left" w:pos="1358"/>
        </w:tabs>
        <w:autoSpaceDE w:val="0"/>
        <w:autoSpaceDN w:val="0"/>
        <w:adjustRightInd w:val="0"/>
        <w:spacing w:before="120" w:after="806" w:line="240" w:lineRule="auto"/>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Obnova i adaptacija pružatelja usluga SOO-a kako bi se povećala pristupačnost sa svrhom visoke društvene uključenosti (učenici s invaliditetom) </w:t>
      </w:r>
    </w:p>
    <w:p w:rsidR="00FC3F35" w:rsidRPr="00576C1D" w:rsidRDefault="00FC3F35" w:rsidP="005B6055">
      <w:pPr>
        <w:widowControl w:val="0"/>
        <w:shd w:val="clear" w:color="auto" w:fill="FFFFFF"/>
        <w:tabs>
          <w:tab w:val="left" w:pos="1358"/>
        </w:tabs>
        <w:autoSpaceDE w:val="0"/>
        <w:autoSpaceDN w:val="0"/>
        <w:adjustRightInd w:val="0"/>
        <w:spacing w:before="120" w:after="806" w:line="240" w:lineRule="auto"/>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lastRenderedPageBreak/>
        <w:t>Obnova i adaptacija pružatelja usluga SOO-a</w:t>
      </w:r>
      <w:r w:rsidRPr="00576C1D">
        <w:rPr>
          <w:rFonts w:ascii="Times New Roman" w:eastAsia="Times New Roman" w:hAnsi="Times New Roman" w:cs="Times New Roman"/>
          <w:color w:val="000000"/>
          <w:spacing w:val="-1"/>
          <w:sz w:val="24"/>
          <w:szCs w:val="24"/>
          <w:lang w:eastAsia="hr-HR"/>
        </w:rPr>
        <w:t xml:space="preserve"> za razvoj inovacija, promicanje znanja i cjeloživotnog učenja </w:t>
      </w:r>
    </w:p>
    <w:p w:rsidR="00FC3F35" w:rsidRPr="00576C1D" w:rsidRDefault="00FC3F35" w:rsidP="00FC3F35">
      <w:pPr>
        <w:widowControl w:val="0"/>
        <w:shd w:val="clear" w:color="auto" w:fill="FFFFFF"/>
        <w:autoSpaceDE w:val="0"/>
        <w:autoSpaceDN w:val="0"/>
        <w:adjustRightInd w:val="0"/>
        <w:spacing w:before="835" w:after="0" w:line="274" w:lineRule="exact"/>
        <w:ind w:left="643" w:right="461"/>
        <w:jc w:val="both"/>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Uspostavljanje i opremanje regionalnih centara kompetencija vršit će se temeljem posebnih selekcijskih kriterija pripremljenih u procesu pripreme natječajne dokumentacije. Ovdje je samo nekoliko čimbenika koji će određivati proces pripremanja kriterija odabira: demografski trendovi svake zemlje, geografske karakteristike, dostupnost centara (razina infrastrukturne povezanosti), potrebe gospodarstva, suradnja s lokalnom zajednicom (dimenzija vlasništva), broj osnovnih škola koje gravitiraju prema centrima, stopa zaposlenosti/nezaposlenosti na regionalnom tržištu rada itd. </w:t>
      </w:r>
    </w:p>
    <w:p w:rsidR="00FC3F35" w:rsidRPr="00576C1D" w:rsidRDefault="00FC3F35" w:rsidP="00FC3F35">
      <w:pPr>
        <w:widowControl w:val="0"/>
        <w:shd w:val="clear" w:color="auto" w:fill="FFFFFF"/>
        <w:autoSpaceDE w:val="0"/>
        <w:autoSpaceDN w:val="0"/>
        <w:adjustRightInd w:val="0"/>
        <w:spacing w:before="278" w:after="0" w:line="274" w:lineRule="exact"/>
        <w:ind w:left="638" w:right="360"/>
        <w:jc w:val="both"/>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 xml:space="preserve">Uspostavljanje centara kompetencija bit će komplementarno ulaganje s ciljem pružanja podrške sveobuhvatnoj reforme kurikuluma SOO-a za koju je planirano provođenje pod OP ESF, IP 10.4. Ciljevi oba ulaganja jesu omogućavanje fleksibilnosti prema potrebama tržišta rada. Reformirani kurikulum omogućit će učenicima izravno sudjelovanje na tržištu rada bez potrebe za dodatnim osposobljavanjem i uvođenjem u posao. Sastavni dio i preduvjet za uspješno provođenje reforme kurikuluma ciljano je infrastrukturno ulaganje. </w:t>
      </w:r>
    </w:p>
    <w:p w:rsidR="00FC3F35" w:rsidRPr="00576C1D" w:rsidRDefault="00FC3F35" w:rsidP="00FC3F35">
      <w:pPr>
        <w:widowControl w:val="0"/>
        <w:shd w:val="clear" w:color="auto" w:fill="FFFFFF"/>
        <w:autoSpaceDE w:val="0"/>
        <w:autoSpaceDN w:val="0"/>
        <w:adjustRightInd w:val="0"/>
        <w:spacing w:before="274" w:after="0" w:line="278" w:lineRule="exact"/>
        <w:ind w:left="643" w:right="4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Korisnici: škole za strukovno obrazovanje i osposobljavanje, veleučilišta i ustanove stručnog visokog obrazovanja, u svojstvu ustanova koje organiziraju i provode stručne studije.</w:t>
      </w:r>
    </w:p>
    <w:p w:rsidR="00FC3F35" w:rsidRPr="00576C1D" w:rsidRDefault="00FC3F35" w:rsidP="00FC3F35">
      <w:pPr>
        <w:widowControl w:val="0"/>
        <w:shd w:val="clear" w:color="auto" w:fill="FFFFFF"/>
        <w:autoSpaceDE w:val="0"/>
        <w:autoSpaceDN w:val="0"/>
        <w:adjustRightInd w:val="0"/>
        <w:spacing w:before="278" w:after="0" w:line="274" w:lineRule="exact"/>
        <w:ind w:left="648" w:right="461"/>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color w:val="000000"/>
          <w:spacing w:val="-1"/>
          <w:sz w:val="24"/>
          <w:szCs w:val="24"/>
          <w:lang w:eastAsia="hr-HR"/>
        </w:rPr>
        <w:t>Ciljne skupine: - školsko osoblje i rukovodstvo škole u strukovnim obrazovnim ustanovama; profesori i predavači, učenici, zaposlenici u malim i srednjim poduzećima, obrtnici, zaposlenici u obrtima, nezaposleni, ugrožene skupine, ako je moguće</w:t>
      </w:r>
    </w:p>
    <w:p w:rsidR="0085073E" w:rsidRDefault="0085073E" w:rsidP="0085073E">
      <w:pPr>
        <w:widowControl w:val="0"/>
        <w:shd w:val="clear" w:color="auto" w:fill="FFFFFF"/>
        <w:autoSpaceDE w:val="0"/>
        <w:autoSpaceDN w:val="0"/>
        <w:adjustRightInd w:val="0"/>
        <w:spacing w:after="187" w:line="240" w:lineRule="auto"/>
        <w:ind w:left="590"/>
        <w:rPr>
          <w:rFonts w:ascii="Times New Roman" w:eastAsia="Times New Roman" w:hAnsi="Times New Roman" w:cs="Times New Roman"/>
          <w:b/>
          <w:bCs/>
          <w:i/>
          <w:iCs/>
          <w:color w:val="000000"/>
          <w:spacing w:val="-1"/>
          <w:sz w:val="24"/>
          <w:szCs w:val="24"/>
          <w:lang w:eastAsia="hr-HR"/>
        </w:rPr>
      </w:pPr>
    </w:p>
    <w:p w:rsidR="0085073E" w:rsidRDefault="0085073E" w:rsidP="0085073E">
      <w:pPr>
        <w:widowControl w:val="0"/>
        <w:shd w:val="clear" w:color="auto" w:fill="FFFFFF"/>
        <w:autoSpaceDE w:val="0"/>
        <w:autoSpaceDN w:val="0"/>
        <w:adjustRightInd w:val="0"/>
        <w:spacing w:after="187" w:line="240" w:lineRule="auto"/>
        <w:ind w:left="590"/>
        <w:rPr>
          <w:rFonts w:ascii="Times New Roman" w:eastAsia="Times New Roman" w:hAnsi="Times New Roman" w:cs="Times New Roman"/>
          <w:b/>
          <w:bCs/>
          <w:i/>
          <w:iCs/>
          <w:color w:val="000000"/>
          <w:spacing w:val="-1"/>
          <w:sz w:val="24"/>
          <w:szCs w:val="24"/>
          <w:lang w:eastAsia="hr-HR"/>
        </w:rPr>
      </w:pPr>
    </w:p>
    <w:p w:rsidR="00FC3F35" w:rsidRPr="00576C1D" w:rsidRDefault="00C244E3" w:rsidP="0085073E">
      <w:pPr>
        <w:widowControl w:val="0"/>
        <w:shd w:val="clear" w:color="auto" w:fill="FFFFFF"/>
        <w:autoSpaceDE w:val="0"/>
        <w:autoSpaceDN w:val="0"/>
        <w:adjustRightInd w:val="0"/>
        <w:spacing w:after="187" w:line="240" w:lineRule="auto"/>
        <w:ind w:left="590"/>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pict>
          <v:line id="_x0000_s1033" style="position:absolute;left:0;text-align:left;z-index:251770880;visibility:visible;mso-position-horizontal-relative:margin" from="782.25pt,17.65pt" to="782.2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" o:allowincell="f" strokeweight=".25pt">
            <w10:wrap anchorx="margin"/>
          </v:line>
        </w:pict>
      </w:r>
      <w:r w:rsidR="00FC3F35" w:rsidRPr="00576C1D">
        <w:rPr>
          <w:rFonts w:ascii="Times New Roman" w:eastAsia="Times New Roman" w:hAnsi="Times New Roman" w:cs="Times New Roman"/>
          <w:b/>
          <w:bCs/>
          <w:i/>
          <w:iCs/>
          <w:color w:val="000000"/>
          <w:spacing w:val="-1"/>
          <w:sz w:val="24"/>
          <w:szCs w:val="24"/>
          <w:lang w:eastAsia="hr-HR"/>
        </w:rPr>
        <w:t xml:space="preserve">2.A.6.2 Vodeća načela za odabir operacija </w:t>
      </w:r>
    </w:p>
    <w:p w:rsidR="00FC3F35" w:rsidRPr="00576C1D" w:rsidRDefault="00FC3F35" w:rsidP="00FC3F35">
      <w:pPr>
        <w:widowControl w:val="0"/>
        <w:shd w:val="clear" w:color="auto" w:fill="FFFFFF"/>
        <w:autoSpaceDE w:val="0"/>
        <w:autoSpaceDN w:val="0"/>
        <w:adjustRightInd w:val="0"/>
        <w:spacing w:before="1560" w:after="187" w:line="240" w:lineRule="auto"/>
        <w:ind w:left="590"/>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Pr="00576C1D" w:rsidRDefault="00C244E3" w:rsidP="00EF2354">
      <w:pPr>
        <w:widowControl w:val="0"/>
        <w:shd w:val="clear" w:color="auto" w:fill="FFFFFF"/>
        <w:autoSpaceDE w:val="0"/>
        <w:autoSpaceDN w:val="0"/>
        <w:adjustRightInd w:val="0"/>
        <w:spacing w:after="0" w:line="240" w:lineRule="auto"/>
        <w:ind w:right="-346"/>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Line 2435" o:spid="_x0000_s1032" style="position:absolute;z-index:251763712;visibility:visible;mso-position-horizontal-relative:margin" from="-6.25pt,-3.6pt" to="7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aW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" o:allowincell="f" strokeweight=".25pt">
            <w10:wrap anchorx="margin"/>
          </v:line>
        </w:pict>
      </w:r>
      <w:r>
        <w:rPr>
          <w:rFonts w:ascii="Times New Roman" w:eastAsia="Times New Roman" w:hAnsi="Times New Roman" w:cs="Times New Roman"/>
          <w:noProof/>
          <w:sz w:val="20"/>
          <w:szCs w:val="20"/>
          <w:lang w:eastAsia="hr-HR"/>
        </w:rPr>
        <w:pict>
          <v:line id="Line 2436" o:spid="_x0000_s1031" style="position:absolute;z-index:251766784;visibility:visible;mso-position-horizontal-relative:margin" from="-5.75pt,-2.65pt" to="-5.7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" o:allowincell="f" strokeweight=".25pt">
            <w10:wrap anchorx="margin"/>
          </v:line>
        </w:pict>
      </w:r>
      <w:r>
        <w:rPr>
          <w:rFonts w:ascii="Times New Roman" w:eastAsia="Times New Roman" w:hAnsi="Times New Roman" w:cs="Times New Roman"/>
          <w:noProof/>
          <w:sz w:val="20"/>
          <w:szCs w:val="20"/>
          <w:lang w:eastAsia="hr-HR"/>
        </w:rPr>
        <w:pict>
          <v:line id="Line 2437" o:spid="_x0000_s1030" style="position:absolute;z-index:251768832;visibility:visible;mso-position-horizontal-relative:margin" from="110.9pt,-2.65pt" to="110.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DFg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" o:allowincell="f" strokeweight=".7pt">
            <w10:wrap anchorx="margin"/>
          </v:line>
        </w:pict>
      </w:r>
      <w:r w:rsidR="00FC3F35" w:rsidRPr="00576C1D">
        <w:rPr>
          <w:rFonts w:ascii="Times New Roman" w:eastAsia="Times New Roman" w:hAnsi="Times New Roman" w:cs="Times New Roman"/>
          <w:b/>
          <w:bCs/>
          <w:color w:val="000000"/>
          <w:spacing w:val="-1"/>
          <w:sz w:val="18"/>
          <w:szCs w:val="18"/>
          <w:lang w:eastAsia="hr-HR"/>
        </w:rPr>
        <w:t xml:space="preserve">Investicijski prioritet </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type="column"/>
      </w:r>
      <w:r w:rsidRPr="00576C1D">
        <w:rPr>
          <w:rFonts w:ascii="Times New Roman" w:eastAsia="Times New Roman" w:hAnsi="Times New Roman" w:cs="Times New Roman"/>
          <w:color w:val="000000"/>
          <w:spacing w:val="-1"/>
          <w:sz w:val="18"/>
          <w:szCs w:val="18"/>
          <w:lang w:eastAsia="hr-HR"/>
        </w:rPr>
        <w:lastRenderedPageBreak/>
        <w:t>10a - Ulaganje u obrazovanje, vještine i cjeloživotno učenje kroz razvoj infrastrukture za obrazovanje i osposobljavanje</w:t>
      </w: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sectPr w:rsidR="00FC3F35" w:rsidRPr="00576C1D">
          <w:type w:val="continuous"/>
          <w:pgSz w:w="16834" w:h="11909" w:orient="landscape"/>
          <w:pgMar w:top="1207" w:right="2994" w:bottom="360" w:left="1183" w:header="720" w:footer="720" w:gutter="0"/>
          <w:cols w:num="2" w:space="720" w:equalWidth="0">
            <w:col w:w="1497" w:space="859"/>
            <w:col w:w="10300"/>
          </w:cols>
          <w:noEndnote/>
        </w:sectPr>
      </w:pPr>
    </w:p>
    <w:p w:rsidR="00FC3F35" w:rsidRPr="00576C1D" w:rsidRDefault="00C244E3" w:rsidP="0085073E">
      <w:pPr>
        <w:widowControl w:val="0"/>
        <w:shd w:val="clear" w:color="auto" w:fill="FFFFFF"/>
        <w:autoSpaceDE w:val="0"/>
        <w:autoSpaceDN w:val="0"/>
        <w:adjustRightInd w:val="0"/>
        <w:spacing w:before="120" w:after="840" w:line="240" w:lineRule="auto"/>
        <w:ind w:left="646"/>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lastRenderedPageBreak/>
        <w:pict>
          <v:line id="_x0000_s1029" style="position:absolute;left:0;text-align:left;z-index:251817472;visibility:visible;mso-position-horizontal-relative:margin" from="25.5pt,36.65pt" to="782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jMFwIAAC4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" o:allowincell="f" strokeweight=".7pt">
            <w10:wrap anchorx="margin"/>
          </v:line>
        </w:pict>
      </w:r>
      <w:r>
        <w:rPr>
          <w:rFonts w:ascii="Times New Roman" w:eastAsia="Times New Roman" w:hAnsi="Times New Roman" w:cs="Times New Roman"/>
          <w:noProof/>
          <w:sz w:val="20"/>
          <w:szCs w:val="20"/>
          <w:lang w:eastAsia="hr-HR"/>
        </w:rPr>
        <w:pict>
          <v:line id="Line 2438" o:spid="_x0000_s1028" style="position:absolute;left:0;text-align:left;z-index:251802112;visibility:visible;mso-position-horizontal-relative:margin" from="26.4pt,2.65pt" to="7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wp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" o:allowincell="f" strokeweight=".7pt">
            <w10:wrap anchorx="margin"/>
          </v:line>
        </w:pict>
      </w:r>
      <w:r w:rsidR="00FC3F35" w:rsidRPr="00576C1D">
        <w:rPr>
          <w:rFonts w:ascii="Times New Roman" w:eastAsia="Times New Roman" w:hAnsi="Times New Roman" w:cs="Times New Roman"/>
          <w:b/>
          <w:bCs/>
          <w:color w:val="000000"/>
          <w:spacing w:val="-3"/>
          <w:sz w:val="24"/>
          <w:szCs w:val="24"/>
          <w:u w:val="single"/>
          <w:lang w:eastAsia="hr-HR"/>
        </w:rPr>
        <w:t>Vodeća načela za specifični cilj 10.1.1:</w:t>
      </w:r>
    </w:p>
    <w:p w:rsidR="00FC3F35" w:rsidRPr="00576C1D" w:rsidRDefault="00FC3F35" w:rsidP="0085073E">
      <w:pPr>
        <w:widowControl w:val="0"/>
        <w:shd w:val="clear" w:color="auto" w:fill="FFFFFF"/>
        <w:autoSpaceDE w:val="0"/>
        <w:autoSpaceDN w:val="0"/>
        <w:adjustRightInd w:val="0"/>
        <w:spacing w:after="840" w:line="240" w:lineRule="auto"/>
        <w:ind w:left="648"/>
        <w:rPr>
          <w:rFonts w:ascii="Times New Roman" w:eastAsia="Times New Roman" w:hAnsi="Times New Roman" w:cs="Times New Roman"/>
          <w:sz w:val="20"/>
          <w:szCs w:val="20"/>
          <w:lang w:eastAsia="hr-HR"/>
        </w:rPr>
        <w:sectPr w:rsidR="00FC3F35" w:rsidRPr="00576C1D">
          <w:type w:val="continuous"/>
          <w:pgSz w:w="16834" w:h="11909" w:orient="landscape"/>
          <w:pgMar w:top="1207" w:right="541" w:bottom="360" w:left="540" w:header="720" w:footer="720" w:gutter="0"/>
          <w:cols w:space="60"/>
          <w:noEndnote/>
        </w:sectPr>
      </w:pPr>
    </w:p>
    <w:p w:rsidR="00FC3F35" w:rsidRDefault="00FC3F35" w:rsidP="0085073E">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pPr>
    </w:p>
    <w:p w:rsidR="0085073E" w:rsidRPr="00576C1D" w:rsidRDefault="0085073E" w:rsidP="0085073E">
      <w:pPr>
        <w:widowControl w:val="0"/>
        <w:shd w:val="clear" w:color="auto" w:fill="FFFFFF"/>
        <w:autoSpaceDE w:val="0"/>
        <w:autoSpaceDN w:val="0"/>
        <w:adjustRightInd w:val="0"/>
        <w:spacing w:after="0" w:line="346" w:lineRule="exact"/>
        <w:rPr>
          <w:rFonts w:ascii="Times New Roman" w:eastAsia="Times New Roman" w:hAnsi="Times New Roman" w:cs="Times New Roman"/>
          <w:sz w:val="20"/>
          <w:szCs w:val="20"/>
          <w:lang w:eastAsia="hr-HR"/>
        </w:rPr>
        <w:sectPr w:rsidR="0085073E" w:rsidRPr="00576C1D">
          <w:type w:val="continuous"/>
          <w:pgSz w:w="16834" w:h="11909" w:orient="landscape"/>
          <w:pgMar w:top="1207" w:right="541" w:bottom="360" w:left="540" w:header="720" w:footer="720" w:gutter="0"/>
          <w:cols w:num="3" w:space="720" w:equalWidth="0">
            <w:col w:w="720" w:space="6926"/>
            <w:col w:w="720" w:space="6667"/>
            <w:col w:w="720"/>
          </w:cols>
          <w:noEndnote/>
        </w:sectPr>
      </w:pPr>
    </w:p>
    <w:tbl>
      <w:tblPr>
        <w:tblStyle w:val="TableGrid"/>
        <w:tblW w:w="0" w:type="auto"/>
        <w:tblLook w:val="04A0" w:firstRow="1" w:lastRow="0" w:firstColumn="1" w:lastColumn="0" w:noHBand="0" w:noVBand="1"/>
      </w:tblPr>
      <w:tblGrid>
        <w:gridCol w:w="4090"/>
        <w:gridCol w:w="11879"/>
      </w:tblGrid>
      <w:tr w:rsidR="0085073E" w:rsidRPr="0085073E" w:rsidTr="002176D9">
        <w:tc>
          <w:tcPr>
            <w:tcW w:w="2072" w:type="dxa"/>
          </w:tcPr>
          <w:p w:rsidR="0085073E" w:rsidRPr="0085073E" w:rsidRDefault="0085073E" w:rsidP="002176D9">
            <w:pPr>
              <w:rPr>
                <w:rFonts w:ascii="Times New Roman" w:hAnsi="Times New Roman"/>
              </w:rPr>
            </w:pPr>
            <w:r w:rsidRPr="0085073E">
              <w:rPr>
                <w:rFonts w:ascii="Times New Roman" w:hAnsi="Times New Roman"/>
                <w:b/>
                <w:bCs/>
                <w:color w:val="000000"/>
                <w:spacing w:val="-1"/>
              </w:rPr>
              <w:lastRenderedPageBreak/>
              <w:t>Investicijski prioritet</w:t>
            </w:r>
          </w:p>
        </w:tc>
        <w:tc>
          <w:tcPr>
            <w:tcW w:w="6990" w:type="dxa"/>
          </w:tcPr>
          <w:p w:rsidR="0085073E" w:rsidRPr="0085073E" w:rsidRDefault="0085073E" w:rsidP="002176D9">
            <w:pPr>
              <w:widowControl w:val="0"/>
              <w:shd w:val="clear" w:color="auto" w:fill="FFFFFF"/>
              <w:autoSpaceDE w:val="0"/>
              <w:autoSpaceDN w:val="0"/>
              <w:adjustRightInd w:val="0"/>
              <w:rPr>
                <w:rFonts w:ascii="Times New Roman" w:hAnsi="Times New Roman"/>
              </w:rPr>
            </w:pPr>
            <w:r w:rsidRPr="0085073E">
              <w:rPr>
                <w:rFonts w:ascii="Times New Roman" w:hAnsi="Times New Roman"/>
                <w:color w:val="000000"/>
                <w:spacing w:val="-1"/>
              </w:rPr>
              <w:t>10a - Ulaganje u obrazovanje, vještine i cjeloživotno učenje kroz razvoj infrastrukture za obrazovanje i osposobljavanje</w:t>
            </w:r>
          </w:p>
        </w:tc>
      </w:tr>
      <w:tr w:rsidR="0085073E" w:rsidRPr="0085073E" w:rsidTr="002176D9">
        <w:trPr>
          <w:trHeight w:val="2858"/>
        </w:trPr>
        <w:tc>
          <w:tcPr>
            <w:tcW w:w="0" w:type="auto"/>
            <w:gridSpan w:val="2"/>
          </w:tcPr>
          <w:p w:rsidR="0085073E" w:rsidRPr="0085073E" w:rsidRDefault="0085073E" w:rsidP="002176D9">
            <w:pPr>
              <w:rPr>
                <w:rFonts w:ascii="Times New Roman" w:hAnsi="Times New Roman"/>
              </w:rPr>
            </w:pPr>
            <w:r w:rsidRPr="0085073E">
              <w:rPr>
                <w:rFonts w:ascii="Times New Roman" w:hAnsi="Times New Roman"/>
              </w:rPr>
              <w:t>Uobičajeno općenito opće načelo za sve radnje podržane kroz pilot e-Škola i glavni projekt je pridonijeti je  poboljšanju digitalne zrelosti hrvatskoga školstva obrazovanja kroz promicanje inovacija u školskim obrazovnim sustavima na razini tehnologije, pedagogije i organizacije od vrha prema dnu (politike i financijska poluga) i od dna prema vrhu (otvoreni obrazovni resursi (OER) razvijeni od nastavnikakoje razvijaju nastavnici, informacijska i komunikacijska tehnologija u praksi podučavanja u učionicama). Ovo načelo omogućit će nastavnicima i učenicima da razviju vještine potrebne za aktivno sudjelovanje na tržištu rada i/ili akademskim poljima 21. stoljeća. Radnje Operacije odabrane u pilot intervencijskom planu ocijenit će vanjski neovisni ocjenjivači (ex-ante ocjenjivanje). Intervencijska područja planirana unutar e-Škola jesu: podučavanja, učenje, kurikulum i sadržaj, infrastruktura, organizacija, povezanost (kako je predloženo u dokumentu „Uvođenju IKT inovacija u sustav obrazovanja i izobrazbe u EuropiMainstreaming ICT-enabledInnovationinEducationandTrainingin Europe“. Policyactions for sustainability, scalabilityandimpact at systemlevelMjere politike za održivost, skalabilnost i utjecaj na sustavnom nivou. Brecko, B.N., Kampylis, P., Punie, Y., 2014. )</w:t>
            </w:r>
          </w:p>
          <w:p w:rsidR="0085073E" w:rsidRPr="0085073E" w:rsidRDefault="0085073E" w:rsidP="002176D9">
            <w:pPr>
              <w:rPr>
                <w:rFonts w:ascii="Times New Roman" w:hAnsi="Times New Roman"/>
              </w:rPr>
            </w:pPr>
            <w:r w:rsidRPr="0085073E">
              <w:rPr>
                <w:rFonts w:ascii="Times New Roman" w:hAnsi="Times New Roman"/>
              </w:rPr>
              <w:t>Sve aktivnosti financirane pod ovim specifičnim ciljevima iz EFRR-a moraju :</w:t>
            </w:r>
          </w:p>
          <w:p w:rsidR="0085073E" w:rsidRPr="0085073E" w:rsidRDefault="0085073E" w:rsidP="002176D9">
            <w:pPr>
              <w:rPr>
                <w:rFonts w:ascii="Times New Roman" w:hAnsi="Times New Roman"/>
              </w:rPr>
            </w:pPr>
            <w:r w:rsidRPr="0085073E">
              <w:rPr>
                <w:rFonts w:ascii="Times New Roman" w:hAnsi="Times New Roman"/>
              </w:rPr>
              <w:t>•</w:t>
            </w:r>
            <w:r w:rsidRPr="0085073E">
              <w:rPr>
                <w:rFonts w:ascii="Times New Roman" w:hAnsi="Times New Roman"/>
              </w:rPr>
              <w:tab/>
              <w:t>biti u skladu s odobrenim intervencijskim planovima,</w:t>
            </w:r>
          </w:p>
          <w:p w:rsidR="0085073E" w:rsidRPr="0085073E" w:rsidRDefault="0085073E" w:rsidP="002176D9">
            <w:pPr>
              <w:rPr>
                <w:rFonts w:ascii="Times New Roman" w:hAnsi="Times New Roman"/>
              </w:rPr>
            </w:pPr>
            <w:r w:rsidRPr="0085073E">
              <w:rPr>
                <w:rFonts w:ascii="Times New Roman" w:hAnsi="Times New Roman"/>
              </w:rPr>
              <w:t>•</w:t>
            </w:r>
            <w:r w:rsidRPr="0085073E">
              <w:rPr>
                <w:rFonts w:ascii="Times New Roman" w:hAnsi="Times New Roman"/>
              </w:rPr>
              <w:tab/>
              <w:t>pokazivati jasan fokus na:</w:t>
            </w:r>
          </w:p>
          <w:p w:rsidR="0085073E" w:rsidRPr="0085073E" w:rsidRDefault="0085073E" w:rsidP="002176D9">
            <w:pPr>
              <w:rPr>
                <w:rFonts w:ascii="Times New Roman" w:hAnsi="Times New Roman"/>
              </w:rPr>
            </w:pPr>
            <w:r w:rsidRPr="0085073E">
              <w:rPr>
                <w:rFonts w:ascii="Times New Roman" w:hAnsi="Times New Roman"/>
              </w:rPr>
              <w:t>o</w:t>
            </w:r>
            <w:r w:rsidRPr="0085073E">
              <w:rPr>
                <w:rFonts w:ascii="Times New Roman" w:hAnsi="Times New Roman"/>
              </w:rPr>
              <w:tab/>
              <w:t xml:space="preserve">inovativne pedagoške prakse koje su podržane IKT-om u području nastavnih praksi, učenja, sadržaja i kurikuluma, </w:t>
            </w:r>
          </w:p>
          <w:p w:rsidR="0085073E" w:rsidRPr="0085073E" w:rsidRDefault="0085073E" w:rsidP="002176D9">
            <w:pPr>
              <w:rPr>
                <w:rFonts w:ascii="Times New Roman" w:hAnsi="Times New Roman"/>
              </w:rPr>
            </w:pPr>
            <w:r w:rsidRPr="0085073E">
              <w:rPr>
                <w:rFonts w:ascii="Times New Roman" w:hAnsi="Times New Roman"/>
              </w:rPr>
              <w:t>o</w:t>
            </w:r>
            <w:r w:rsidRPr="0085073E">
              <w:rPr>
                <w:rFonts w:ascii="Times New Roman" w:hAnsi="Times New Roman"/>
              </w:rPr>
              <w:tab/>
              <w:t>optimiziranje obrazovnih administrativnih procesa kroz IKT, inovativne i poticajne promjene u intervencijskim područjima organizacije, upravljanja i vrijednosti te povezanosti,</w:t>
            </w:r>
          </w:p>
          <w:p w:rsidR="0085073E" w:rsidRPr="0085073E" w:rsidRDefault="0085073E" w:rsidP="002176D9">
            <w:pPr>
              <w:rPr>
                <w:rFonts w:ascii="Times New Roman" w:hAnsi="Times New Roman"/>
              </w:rPr>
            </w:pPr>
            <w:r w:rsidRPr="0085073E">
              <w:rPr>
                <w:rFonts w:ascii="Times New Roman" w:hAnsi="Times New Roman"/>
              </w:rPr>
              <w:t>o</w:t>
            </w:r>
            <w:r w:rsidRPr="0085073E">
              <w:rPr>
                <w:rFonts w:ascii="Times New Roman" w:hAnsi="Times New Roman"/>
              </w:rPr>
              <w:tab/>
              <w:t xml:space="preserve">obrazovanje i podršku nastavnicima kao nositeljima promjene i provoditeljima inovacija u procesima podučavanja/učenja kroz IKT,rezultira stvaranjem kvalitetnijeg obrazovnog sustava na terenu </w:t>
            </w:r>
          </w:p>
          <w:p w:rsidR="0085073E" w:rsidRPr="0085073E" w:rsidRDefault="0085073E" w:rsidP="002176D9">
            <w:pPr>
              <w:rPr>
                <w:rFonts w:ascii="Times New Roman" w:hAnsi="Times New Roman"/>
              </w:rPr>
            </w:pPr>
            <w:r w:rsidRPr="0085073E">
              <w:rPr>
                <w:rFonts w:ascii="Times New Roman" w:hAnsi="Times New Roman"/>
              </w:rPr>
              <w:t>o</w:t>
            </w:r>
            <w:r w:rsidRPr="0085073E">
              <w:rPr>
                <w:rFonts w:ascii="Times New Roman" w:hAnsi="Times New Roman"/>
              </w:rPr>
              <w:tab/>
              <w:t xml:space="preserve">izmijenjene prakse podučavanja koje podržavaju uporabu IKT-a, s poboljšanim postignućima u ishodima formalnog učenja i razvoja vještina 21. stoljeća. </w:t>
            </w:r>
          </w:p>
          <w:p w:rsidR="0085073E" w:rsidRPr="0085073E" w:rsidRDefault="0085073E" w:rsidP="002176D9">
            <w:pPr>
              <w:rPr>
                <w:rFonts w:ascii="Times New Roman" w:hAnsi="Times New Roman"/>
              </w:rPr>
            </w:pPr>
            <w:r w:rsidRPr="0085073E">
              <w:rPr>
                <w:rFonts w:ascii="Times New Roman" w:hAnsi="Times New Roman"/>
              </w:rPr>
              <w:t>o</w:t>
            </w:r>
            <w:r w:rsidRPr="0085073E">
              <w:rPr>
                <w:rFonts w:ascii="Times New Roman" w:hAnsi="Times New Roman"/>
              </w:rPr>
              <w:tab/>
              <w:t>transparentnu i učinkovitu obrazovnu administraciju podržanu IKT-om</w:t>
            </w:r>
          </w:p>
          <w:p w:rsidR="0085073E" w:rsidRPr="0085073E" w:rsidRDefault="0085073E" w:rsidP="002176D9">
            <w:pPr>
              <w:rPr>
                <w:rFonts w:ascii="Times New Roman" w:hAnsi="Times New Roman"/>
              </w:rPr>
            </w:pPr>
            <w:r w:rsidRPr="0085073E">
              <w:rPr>
                <w:rFonts w:ascii="Times New Roman" w:hAnsi="Times New Roman"/>
              </w:rPr>
              <w:t>o</w:t>
            </w:r>
            <w:r w:rsidRPr="0085073E">
              <w:rPr>
                <w:rFonts w:ascii="Times New Roman" w:hAnsi="Times New Roman"/>
              </w:rPr>
              <w:tab/>
              <w:t>podržanu zajednicu digitalno pismenih učitelja, vođa inovacija u razvijanju vještina 21. stoljeća među svojim učenicima</w:t>
            </w:r>
          </w:p>
          <w:p w:rsidR="0085073E" w:rsidRPr="0085073E" w:rsidRDefault="0085073E" w:rsidP="002176D9">
            <w:pPr>
              <w:rPr>
                <w:rFonts w:ascii="Times New Roman" w:hAnsi="Times New Roman"/>
              </w:rPr>
            </w:pPr>
            <w:r w:rsidRPr="0085073E">
              <w:rPr>
                <w:rFonts w:ascii="Times New Roman" w:hAnsi="Times New Roman"/>
              </w:rPr>
              <w:t>•</w:t>
            </w:r>
            <w:r w:rsidRPr="0085073E">
              <w:rPr>
                <w:rFonts w:ascii="Times New Roman" w:hAnsi="Times New Roman"/>
              </w:rPr>
              <w:tab/>
              <w:t xml:space="preserve">osigurati jasnu poveznicu i neprekidan utjecaj aktivnosti aktivnosti između pilot projekta e-Škole i glavnog projekta e-Škole, </w:t>
            </w:r>
          </w:p>
          <w:p w:rsidR="0085073E" w:rsidRPr="0085073E" w:rsidRDefault="0085073E" w:rsidP="002176D9">
            <w:pPr>
              <w:rPr>
                <w:rFonts w:ascii="Times New Roman" w:hAnsi="Times New Roman"/>
              </w:rPr>
            </w:pPr>
            <w:r w:rsidRPr="0085073E">
              <w:rPr>
                <w:rFonts w:ascii="Times New Roman" w:hAnsi="Times New Roman"/>
              </w:rPr>
              <w:t>•</w:t>
            </w:r>
            <w:r w:rsidRPr="0085073E">
              <w:rPr>
                <w:rFonts w:ascii="Times New Roman" w:hAnsi="Times New Roman"/>
              </w:rPr>
              <w:tab/>
              <w:t xml:space="preserve">jasno povezivati operacije sufinancirane u okviru ESF-a predviđene pod specifičnim ciljem 10.3.2. Operativnog programa Razvoj ljudskih potencijala </w:t>
            </w:r>
          </w:p>
          <w:p w:rsidR="0085073E" w:rsidRPr="0085073E" w:rsidRDefault="0085073E" w:rsidP="002176D9">
            <w:pPr>
              <w:rPr>
                <w:rFonts w:ascii="Times New Roman" w:hAnsi="Times New Roman"/>
              </w:rPr>
            </w:pPr>
            <w:r w:rsidRPr="0085073E">
              <w:rPr>
                <w:rFonts w:ascii="Times New Roman" w:hAnsi="Times New Roman"/>
              </w:rPr>
              <w:t>Prioritetne aktivnosti e-Škola, u okviru Operativnog programa EFRR-a, potiču jednak i široko rasprostranjen pristup IKT-u za nastavnike i učenike u školama, u području infrastrukture, organizacije, vodstva i vrijednosti te povezanosti. Zajedno s dijelom projekta koji se odnosi na ESF (podučavanje, učenje, sadržaj i kurikulum, povezanost), oba dijela pridonose postizanju cilja razvoja informatički pismenih škola.</w:t>
            </w:r>
          </w:p>
          <w:p w:rsidR="0085073E" w:rsidRPr="0085073E" w:rsidRDefault="0085073E" w:rsidP="002176D9">
            <w:pPr>
              <w:rPr>
                <w:rFonts w:ascii="Times New Roman" w:hAnsi="Times New Roman"/>
              </w:rPr>
            </w:pPr>
            <w:r w:rsidRPr="0085073E">
              <w:rPr>
                <w:rFonts w:ascii="Times New Roman" w:hAnsi="Times New Roman"/>
              </w:rPr>
              <w:t>Aktivnosti koje pripadaju pripremama e-Škola (studija izvedivosti za pilot i glavni projekt, plan provedbe za pilot projekt, plan procjene za pilot projekt) razvit će CARNet i partneri projekta, kao i utemeljitelji škola, kao glavni lokalni partneri, u koordinaciji s Ministarstvom znanosti, obrazovanja i sporta. Procjenu pilota Ministarstvo znanosti, obrazovanja i sporta zatražit će od vanjskog neovisnog ocjenjivača.</w:t>
            </w:r>
          </w:p>
        </w:tc>
      </w:tr>
    </w:tbl>
    <w:p w:rsidR="0085073E" w:rsidRPr="00576C1D" w:rsidRDefault="0085073E" w:rsidP="0085073E">
      <w:pPr>
        <w:widowControl w:val="0"/>
        <w:shd w:val="clear" w:color="auto" w:fill="FFFFFF"/>
        <w:tabs>
          <w:tab w:val="left" w:pos="2021"/>
        </w:tabs>
        <w:autoSpaceDE w:val="0"/>
        <w:autoSpaceDN w:val="0"/>
        <w:adjustRightInd w:val="0"/>
        <w:spacing w:after="0" w:line="240" w:lineRule="auto"/>
        <w:ind w:left="1247"/>
        <w:rPr>
          <w:rFonts w:ascii="Times New Roman" w:eastAsia="Times New Roman" w:hAnsi="Times New Roman" w:cs="Times New Roman"/>
          <w:color w:val="000000"/>
          <w:sz w:val="24"/>
          <w:szCs w:val="24"/>
          <w:lang w:eastAsia="hr-HR"/>
        </w:rPr>
      </w:pPr>
    </w:p>
    <w:tbl>
      <w:tblPr>
        <w:tblStyle w:val="TableGrid"/>
        <w:tblW w:w="0" w:type="auto"/>
        <w:tblInd w:w="-34" w:type="dxa"/>
        <w:tblLook w:val="04A0" w:firstRow="1" w:lastRow="0" w:firstColumn="1" w:lastColumn="0" w:noHBand="0" w:noVBand="1"/>
      </w:tblPr>
      <w:tblGrid>
        <w:gridCol w:w="3106"/>
        <w:gridCol w:w="12130"/>
      </w:tblGrid>
      <w:tr w:rsidR="00C94CFC" w:rsidTr="0085073E">
        <w:tc>
          <w:tcPr>
            <w:tcW w:w="3106" w:type="dxa"/>
          </w:tcPr>
          <w:p w:rsidR="00C94CFC" w:rsidRDefault="00C94CFC" w:rsidP="00B43B00">
            <w:r w:rsidRPr="00576C1D">
              <w:rPr>
                <w:rFonts w:ascii="Times New Roman" w:hAnsi="Times New Roman"/>
                <w:b/>
                <w:bCs/>
                <w:color w:val="000000"/>
                <w:spacing w:val="-1"/>
                <w:sz w:val="18"/>
                <w:szCs w:val="18"/>
              </w:rPr>
              <w:t>Investicijski prioritet</w:t>
            </w:r>
          </w:p>
        </w:tc>
        <w:tc>
          <w:tcPr>
            <w:tcW w:w="12130" w:type="dxa"/>
          </w:tcPr>
          <w:p w:rsidR="00C94CFC" w:rsidRDefault="00C94CFC" w:rsidP="00B43B00">
            <w:r w:rsidRPr="00576C1D">
              <w:rPr>
                <w:rFonts w:ascii="Times New Roman" w:hAnsi="Times New Roman"/>
              </w:rPr>
              <w:br w:type="column"/>
            </w:r>
            <w:r w:rsidRPr="00576C1D">
              <w:rPr>
                <w:rFonts w:ascii="Times New Roman" w:hAnsi="Times New Roman"/>
                <w:color w:val="000000"/>
                <w:spacing w:val="-1"/>
                <w:sz w:val="18"/>
                <w:szCs w:val="18"/>
              </w:rPr>
              <w:t>10a - Ulaganje u obrazovanje, vještine i cjeloživotno učenje kroz razvoj infrastrukture za obrazovanje i osposobljavanje</w:t>
            </w:r>
          </w:p>
        </w:tc>
      </w:tr>
      <w:tr w:rsidR="00C94CFC" w:rsidTr="0085073E">
        <w:trPr>
          <w:trHeight w:val="1336"/>
        </w:trPr>
        <w:tc>
          <w:tcPr>
            <w:tcW w:w="15236" w:type="dxa"/>
            <w:gridSpan w:val="2"/>
          </w:tcPr>
          <w:p w:rsidR="00C94CFC" w:rsidRPr="00CE1558" w:rsidRDefault="00C94CFC" w:rsidP="00B43B00">
            <w:pPr>
              <w:rPr>
                <w:rFonts w:ascii="Times New Roman" w:hAnsi="Times New Roman"/>
              </w:rPr>
            </w:pPr>
            <w:r w:rsidRPr="00CE1558">
              <w:rPr>
                <w:rFonts w:ascii="Times New Roman" w:hAnsi="Times New Roman"/>
              </w:rPr>
              <w:t>Vodeća načela specifičnog cilja 10.1.2:</w:t>
            </w:r>
          </w:p>
          <w:p w:rsidR="00C94CFC" w:rsidRDefault="00C94CFC" w:rsidP="00B43B00">
            <w:r w:rsidRPr="00CE1558">
              <w:rPr>
                <w:rFonts w:ascii="Times New Roman" w:hAnsi="Times New Roman"/>
              </w:rPr>
              <w:t>S općim ciljem povećanja pristupa visokom obrazovanju (VO), posebice za ugrožene skupine, infrastrukturni projekti u VO-u usredotočeni su na izgradnju studentskih domova. Osnovno načelo u određivanju prioritetnih projekata postavit će se na temelju dviju skupina kriterija. Prvo, ona sveučilišta koja imaju niži udio studenata smještenih u domovima nego što je preporučeno smatrat će se prioritetima. Drugo, prioritet će biti izgradnja domova u slabije razvijenim područjima s ciljem privlačenja većeg broja studenata s lošijeg društveno-gospodarskog statusa.</w:t>
            </w:r>
          </w:p>
        </w:tc>
      </w:tr>
    </w:tbl>
    <w:p w:rsidR="00FC3F35" w:rsidRDefault="00FC3F35" w:rsidP="0085073E">
      <w:pPr>
        <w:widowControl w:val="0"/>
        <w:shd w:val="clear" w:color="auto" w:fill="FFFFFF"/>
        <w:tabs>
          <w:tab w:val="left" w:pos="2021"/>
        </w:tabs>
        <w:autoSpaceDE w:val="0"/>
        <w:autoSpaceDN w:val="0"/>
        <w:adjustRightInd w:val="0"/>
        <w:spacing w:after="0" w:line="240" w:lineRule="auto"/>
        <w:ind w:left="1247"/>
        <w:rPr>
          <w:rFonts w:ascii="Times New Roman" w:eastAsia="Times New Roman" w:hAnsi="Times New Roman" w:cs="Times New Roman"/>
          <w:sz w:val="20"/>
          <w:szCs w:val="20"/>
          <w:lang w:eastAsia="hr-HR"/>
        </w:rPr>
      </w:pPr>
    </w:p>
    <w:tbl>
      <w:tblPr>
        <w:tblStyle w:val="TableGrid"/>
        <w:tblW w:w="0" w:type="auto"/>
        <w:tblInd w:w="-34" w:type="dxa"/>
        <w:tblLook w:val="04A0" w:firstRow="1" w:lastRow="0" w:firstColumn="1" w:lastColumn="0" w:noHBand="0" w:noVBand="1"/>
      </w:tblPr>
      <w:tblGrid>
        <w:gridCol w:w="3106"/>
        <w:gridCol w:w="12130"/>
      </w:tblGrid>
      <w:tr w:rsidR="00C94CFC" w:rsidTr="0085073E">
        <w:tc>
          <w:tcPr>
            <w:tcW w:w="3106" w:type="dxa"/>
          </w:tcPr>
          <w:p w:rsidR="00C94CFC" w:rsidRDefault="00C94CFC" w:rsidP="00B43B00">
            <w:r w:rsidRPr="00576C1D">
              <w:rPr>
                <w:rFonts w:ascii="Times New Roman" w:hAnsi="Times New Roman"/>
                <w:b/>
                <w:bCs/>
                <w:color w:val="000000"/>
                <w:spacing w:val="-1"/>
                <w:sz w:val="18"/>
                <w:szCs w:val="18"/>
              </w:rPr>
              <w:t>Investicijski prioritet</w:t>
            </w:r>
          </w:p>
        </w:tc>
        <w:tc>
          <w:tcPr>
            <w:tcW w:w="12130" w:type="dxa"/>
          </w:tcPr>
          <w:p w:rsidR="00C94CFC" w:rsidRDefault="00C94CFC" w:rsidP="00B43B00">
            <w:r w:rsidRPr="00576C1D">
              <w:rPr>
                <w:rFonts w:ascii="Times New Roman" w:hAnsi="Times New Roman"/>
              </w:rPr>
              <w:br w:type="column"/>
            </w:r>
            <w:r w:rsidRPr="00576C1D">
              <w:rPr>
                <w:rFonts w:ascii="Times New Roman" w:hAnsi="Times New Roman"/>
                <w:color w:val="000000"/>
                <w:spacing w:val="-1"/>
                <w:sz w:val="18"/>
                <w:szCs w:val="18"/>
              </w:rPr>
              <w:t>10a - Ulaganje u obrazovanje, vještine i cjeloživotno učenje kroz razvoj infrastrukture za obrazovanje i osposobljavanje</w:t>
            </w:r>
          </w:p>
        </w:tc>
      </w:tr>
      <w:tr w:rsidR="00C94CFC" w:rsidTr="0085073E">
        <w:trPr>
          <w:trHeight w:val="1690"/>
        </w:trPr>
        <w:tc>
          <w:tcPr>
            <w:tcW w:w="15236" w:type="dxa"/>
            <w:gridSpan w:val="2"/>
          </w:tcPr>
          <w:p w:rsidR="00C94CFC" w:rsidRPr="00CE1558" w:rsidRDefault="00C94CFC" w:rsidP="00B43B00">
            <w:pPr>
              <w:rPr>
                <w:rFonts w:ascii="Times New Roman" w:hAnsi="Times New Roman"/>
              </w:rPr>
            </w:pPr>
            <w:r w:rsidRPr="00CE1558">
              <w:rPr>
                <w:rFonts w:ascii="Times New Roman" w:hAnsi="Times New Roman"/>
              </w:rPr>
              <w:lastRenderedPageBreak/>
              <w:t>Vodeća načela za SO 10.1.3:</w:t>
            </w:r>
          </w:p>
          <w:p w:rsidR="00C94CFC" w:rsidRPr="00CE1558" w:rsidRDefault="00C94CFC" w:rsidP="00B43B00">
            <w:pPr>
              <w:rPr>
                <w:rFonts w:ascii="Times New Roman" w:hAnsi="Times New Roman"/>
              </w:rPr>
            </w:pPr>
            <w:r w:rsidRPr="00CE1558">
              <w:rPr>
                <w:rFonts w:ascii="Times New Roman" w:hAnsi="Times New Roman"/>
              </w:rPr>
              <w:t xml:space="preserve">Uspostavljanje i opremanje centara kompetencije bit će povezano sa sljedećim čimbenicima: demografskim trendovima svake zemlje prema geografskoj razini infrastrukturne povezanosti </w:t>
            </w:r>
          </w:p>
          <w:p w:rsidR="00C94CFC" w:rsidRPr="00CE1558" w:rsidRDefault="00C94CFC" w:rsidP="00B43B00">
            <w:pPr>
              <w:rPr>
                <w:rFonts w:ascii="Times New Roman" w:hAnsi="Times New Roman"/>
              </w:rPr>
            </w:pPr>
            <w:r w:rsidRPr="00CE1558">
              <w:rPr>
                <w:rFonts w:ascii="Times New Roman" w:hAnsi="Times New Roman"/>
              </w:rPr>
              <w:t xml:space="preserve">    potrebama gospodarstva, broju osnovnih škola koje gravitiraju prema centrima. </w:t>
            </w:r>
          </w:p>
          <w:p w:rsidR="00C94CFC" w:rsidRDefault="00C94CFC" w:rsidP="00B43B00">
            <w:r w:rsidRPr="00CE1558">
              <w:rPr>
                <w:rFonts w:ascii="Times New Roman" w:hAnsi="Times New Roman"/>
              </w:rPr>
              <w:t>Glavni kriterij za odabir radnji temeljit će se na primjeni inovativnih metoda podučavanja (uključujući organizaciju praktične nastave u kontroliranom okruženju) kroz suradnju s poslodavcima i društvenim partnerima, poštujući potrebe regionalnog tržišta rada i inzistirajući na izvrsnosti učitelja / trenera / mentora kao i na komplementarnost s kurikularnom reformom SOO-a koja ima za cilj osposobiti učenike za izravno sudjelovanje u tržištu rada.</w:t>
            </w:r>
          </w:p>
        </w:tc>
      </w:tr>
    </w:tbl>
    <w:p w:rsidR="00FC3F35" w:rsidRPr="00576C1D" w:rsidRDefault="00FC3F35"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p>
    <w:p w:rsidR="00C94CFC" w:rsidRDefault="00FC3F35" w:rsidP="00FC3F35">
      <w:pPr>
        <w:widowControl w:val="0"/>
        <w:shd w:val="clear" w:color="auto" w:fill="FFFFFF"/>
        <w:autoSpaceDE w:val="0"/>
        <w:autoSpaceDN w:val="0"/>
        <w:adjustRightInd w:val="0"/>
        <w:spacing w:before="1565" w:after="182" w:line="240" w:lineRule="auto"/>
        <w:rPr>
          <w:rFonts w:ascii="Times New Roman" w:eastAsia="Times New Roman" w:hAnsi="Times New Roman" w:cs="Times New Roman"/>
          <w:i/>
          <w:iCs/>
          <w:color w:val="000000"/>
          <w:spacing w:val="1"/>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2.A.6.3 </w:t>
      </w:r>
      <w:r w:rsidRPr="00576C1D">
        <w:rPr>
          <w:rFonts w:ascii="Times New Roman" w:eastAsia="Times New Roman" w:hAnsi="Times New Roman" w:cs="Times New Roman"/>
          <w:i/>
          <w:iCs/>
          <w:color w:val="000000"/>
          <w:spacing w:val="1"/>
          <w:sz w:val="24"/>
          <w:szCs w:val="24"/>
          <w:lang w:eastAsia="hr-HR"/>
        </w:rPr>
        <w:t>Planirano korištenje financijskih instrumenata (po potrebi</w:t>
      </w:r>
    </w:p>
    <w:tbl>
      <w:tblPr>
        <w:tblStyle w:val="TableGrid"/>
        <w:tblW w:w="15417" w:type="dxa"/>
        <w:tblLook w:val="04A0" w:firstRow="1" w:lastRow="0" w:firstColumn="1" w:lastColumn="0" w:noHBand="0" w:noVBand="1"/>
      </w:tblPr>
      <w:tblGrid>
        <w:gridCol w:w="1575"/>
        <w:gridCol w:w="13842"/>
      </w:tblGrid>
      <w:tr w:rsidR="00C94CFC" w:rsidTr="00C94CFC">
        <w:tc>
          <w:tcPr>
            <w:tcW w:w="1575" w:type="dxa"/>
          </w:tcPr>
          <w:p w:rsidR="00C94CFC" w:rsidRDefault="00C94CFC" w:rsidP="00B43B00">
            <w:r w:rsidRPr="00576C1D">
              <w:rPr>
                <w:rFonts w:ascii="Times New Roman" w:hAnsi="Times New Roman"/>
                <w:b/>
                <w:bCs/>
                <w:color w:val="000000"/>
                <w:spacing w:val="-1"/>
                <w:sz w:val="18"/>
                <w:szCs w:val="18"/>
              </w:rPr>
              <w:t>Investicijski prioritet</w:t>
            </w:r>
          </w:p>
        </w:tc>
        <w:tc>
          <w:tcPr>
            <w:tcW w:w="13842" w:type="dxa"/>
          </w:tcPr>
          <w:p w:rsidR="00C94CFC" w:rsidRDefault="00C94CFC" w:rsidP="00B43B00">
            <w:r w:rsidRPr="00576C1D">
              <w:rPr>
                <w:rFonts w:ascii="Times New Roman" w:hAnsi="Times New Roman"/>
                <w:color w:val="000000"/>
                <w:spacing w:val="-1"/>
                <w:sz w:val="18"/>
                <w:szCs w:val="18"/>
              </w:rPr>
              <w:t>10a - Ulaganje u obrazovanje, vještine i cjeloživotno učenje kroz razvoj infrastrukture za obrazovanje i osposobljavanje</w:t>
            </w:r>
          </w:p>
        </w:tc>
      </w:tr>
      <w:tr w:rsidR="00C94CFC" w:rsidTr="00C94CFC">
        <w:trPr>
          <w:trHeight w:val="389"/>
        </w:trPr>
        <w:tc>
          <w:tcPr>
            <w:tcW w:w="15417" w:type="dxa"/>
            <w:gridSpan w:val="2"/>
          </w:tcPr>
          <w:p w:rsidR="00C94CFC" w:rsidRDefault="00C94CFC" w:rsidP="00B43B00">
            <w:r w:rsidRPr="00576C1D">
              <w:rPr>
                <w:rFonts w:ascii="Times New Roman" w:hAnsi="Times New Roman"/>
                <w:color w:val="000000"/>
                <w:spacing w:val="-3"/>
                <w:sz w:val="24"/>
                <w:szCs w:val="24"/>
              </w:rPr>
              <w:t>Nije predviđeno</w:t>
            </w:r>
          </w:p>
        </w:tc>
      </w:tr>
    </w:tbl>
    <w:p w:rsidR="009A3B5E" w:rsidRDefault="009A3B5E"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b/>
          <w:bCs/>
          <w:i/>
          <w:iCs/>
          <w:color w:val="000000"/>
          <w:spacing w:val="-1"/>
          <w:sz w:val="24"/>
          <w:szCs w:val="24"/>
          <w:lang w:eastAsia="hr-HR"/>
        </w:rPr>
      </w:pPr>
    </w:p>
    <w:p w:rsidR="00FC3F35" w:rsidRDefault="00FC3F35"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i/>
          <w:iCs/>
          <w:color w:val="000000"/>
          <w:sz w:val="24"/>
          <w:szCs w:val="24"/>
          <w:lang w:eastAsia="hr-HR"/>
        </w:rPr>
      </w:pPr>
      <w:r w:rsidRPr="00576C1D">
        <w:rPr>
          <w:rFonts w:ascii="Times New Roman" w:eastAsia="Times New Roman" w:hAnsi="Times New Roman" w:cs="Times New Roman"/>
          <w:b/>
          <w:bCs/>
          <w:i/>
          <w:iCs/>
          <w:color w:val="000000"/>
          <w:spacing w:val="-1"/>
          <w:sz w:val="24"/>
          <w:szCs w:val="24"/>
          <w:lang w:eastAsia="hr-HR"/>
        </w:rPr>
        <w:t xml:space="preserve">2.A.6.4 </w:t>
      </w:r>
      <w:r w:rsidRPr="00576C1D">
        <w:rPr>
          <w:rFonts w:ascii="Times New Roman" w:eastAsia="Times New Roman" w:hAnsi="Times New Roman" w:cs="Times New Roman"/>
          <w:i/>
          <w:iCs/>
          <w:color w:val="000000"/>
          <w:sz w:val="24"/>
          <w:szCs w:val="24"/>
          <w:lang w:eastAsia="hr-HR"/>
        </w:rPr>
        <w:t>Planirano korištenje velikih projekata (po potrebi)</w:t>
      </w:r>
    </w:p>
    <w:p w:rsidR="00501631" w:rsidRDefault="00501631" w:rsidP="00FC3F35">
      <w:pPr>
        <w:widowControl w:val="0"/>
        <w:shd w:val="clear" w:color="auto" w:fill="FFFFFF"/>
        <w:autoSpaceDE w:val="0"/>
        <w:autoSpaceDN w:val="0"/>
        <w:adjustRightInd w:val="0"/>
        <w:spacing w:after="0" w:line="240" w:lineRule="auto"/>
        <w:ind w:left="533"/>
        <w:rPr>
          <w:rFonts w:ascii="Times New Roman" w:eastAsia="Times New Roman" w:hAnsi="Times New Roman" w:cs="Times New Roman"/>
          <w:sz w:val="20"/>
          <w:szCs w:val="20"/>
          <w:lang w:eastAsia="hr-HR"/>
        </w:rPr>
      </w:pPr>
    </w:p>
    <w:tbl>
      <w:tblPr>
        <w:tblStyle w:val="TableGrid"/>
        <w:tblW w:w="0" w:type="auto"/>
        <w:tblLook w:val="04A0" w:firstRow="1" w:lastRow="0" w:firstColumn="1" w:lastColumn="0" w:noHBand="0" w:noVBand="1"/>
      </w:tblPr>
      <w:tblGrid>
        <w:gridCol w:w="3152"/>
        <w:gridCol w:w="12817"/>
      </w:tblGrid>
      <w:tr w:rsidR="00501631" w:rsidTr="00B43B00">
        <w:tc>
          <w:tcPr>
            <w:tcW w:w="1575" w:type="dxa"/>
          </w:tcPr>
          <w:p w:rsidR="00501631" w:rsidRDefault="00501631" w:rsidP="00B43B00">
            <w:r w:rsidRPr="00576C1D">
              <w:rPr>
                <w:rFonts w:ascii="Times New Roman" w:hAnsi="Times New Roman"/>
                <w:b/>
                <w:bCs/>
                <w:color w:val="000000"/>
                <w:spacing w:val="-1"/>
                <w:sz w:val="18"/>
                <w:szCs w:val="18"/>
              </w:rPr>
              <w:t>Investicijski prioritet</w:t>
            </w:r>
          </w:p>
        </w:tc>
        <w:tc>
          <w:tcPr>
            <w:tcW w:w="7487" w:type="dxa"/>
          </w:tcPr>
          <w:p w:rsidR="00501631" w:rsidRDefault="00501631" w:rsidP="00B43B00">
            <w:r w:rsidRPr="00576C1D">
              <w:rPr>
                <w:rFonts w:ascii="Times New Roman" w:hAnsi="Times New Roman"/>
                <w:color w:val="000000"/>
                <w:spacing w:val="-1"/>
                <w:sz w:val="18"/>
                <w:szCs w:val="18"/>
              </w:rPr>
              <w:t>10a - Ulaganje u obrazovanje, vještine i cjeloživotno učenje kroz razvoj infrastrukture za obrazovanje i osposobljavanje</w:t>
            </w:r>
          </w:p>
        </w:tc>
      </w:tr>
      <w:tr w:rsidR="00501631" w:rsidTr="00B43B00">
        <w:trPr>
          <w:trHeight w:val="2858"/>
        </w:trPr>
        <w:tc>
          <w:tcPr>
            <w:tcW w:w="0" w:type="auto"/>
            <w:gridSpan w:val="2"/>
          </w:tcPr>
          <w:p w:rsidR="00501631" w:rsidRPr="00CE1558" w:rsidRDefault="00501631" w:rsidP="00B43B00">
            <w:pPr>
              <w:rPr>
                <w:rFonts w:ascii="Times New Roman" w:hAnsi="Times New Roman"/>
                <w:color w:val="000000"/>
                <w:spacing w:val="-3"/>
                <w:sz w:val="24"/>
                <w:szCs w:val="24"/>
              </w:rPr>
            </w:pPr>
            <w:r w:rsidRPr="00CE1558">
              <w:rPr>
                <w:rFonts w:ascii="Times New Roman" w:hAnsi="Times New Roman"/>
                <w:color w:val="000000"/>
                <w:spacing w:val="-3"/>
                <w:sz w:val="24"/>
                <w:szCs w:val="24"/>
              </w:rPr>
              <w:t>Glavni projekt „E-ŠKOLE“ zamišljen je u sinergiji s ulaganjima iz EFRR-a koja su planirana pod T02 i ulaganjima iz ESF-a pod T010.</w:t>
            </w:r>
          </w:p>
          <w:p w:rsidR="00501631" w:rsidRPr="00CE1558" w:rsidRDefault="00501631" w:rsidP="00B43B00">
            <w:pPr>
              <w:rPr>
                <w:rFonts w:ascii="Times New Roman" w:hAnsi="Times New Roman"/>
                <w:color w:val="000000"/>
                <w:spacing w:val="-3"/>
                <w:sz w:val="24"/>
                <w:szCs w:val="24"/>
              </w:rPr>
            </w:pPr>
            <w:r w:rsidRPr="00CE1558">
              <w:rPr>
                <w:rFonts w:ascii="Times New Roman" w:hAnsi="Times New Roman"/>
                <w:color w:val="000000"/>
                <w:spacing w:val="-3"/>
                <w:sz w:val="24"/>
                <w:szCs w:val="24"/>
              </w:rPr>
              <w:t xml:space="preserve">Projekt predviđa završetak informatizacije administracije, podučavanja i učenja unutar škola kako bi se osiguralo da velika većina javnih škola u Hrvatskoj postane informatički pismena (e-zrela) do 2022., u skladu s Digitalnom agendom za Europu, Strategijom obrazovanja Republike Hrvatske i nacionalnom Strategijom razvoja širokopojasne veze u Republici Hrvatskoj 2012. - 2015. Informatički pismeni nastavnici i učenici koriste IKT u obrazovanju na dnevnoj razini uključujući administrativne e-usluge i e-usluge za podučavanje i učenje, omogućujući tako da učenici današnjice postanu kompetitivni zaposlenici na tržištu rada sutrašnjice. Predviđeno je da projekt e-Škole sadržava dva podprojekta: </w:t>
            </w:r>
          </w:p>
          <w:p w:rsidR="00501631" w:rsidRPr="00CE1558" w:rsidRDefault="00501631" w:rsidP="00B43B00">
            <w:pPr>
              <w:rPr>
                <w:rFonts w:ascii="Times New Roman" w:hAnsi="Times New Roman"/>
                <w:color w:val="000000"/>
                <w:spacing w:val="-3"/>
                <w:sz w:val="24"/>
                <w:szCs w:val="24"/>
              </w:rPr>
            </w:pPr>
            <w:r w:rsidRPr="00CE1558">
              <w:rPr>
                <w:rFonts w:ascii="Times New Roman" w:hAnsi="Times New Roman"/>
                <w:color w:val="000000"/>
                <w:spacing w:val="-3"/>
                <w:sz w:val="24"/>
                <w:szCs w:val="24"/>
              </w:rPr>
              <w:t>1.</w:t>
            </w:r>
            <w:r w:rsidRPr="00CE1558">
              <w:rPr>
                <w:rFonts w:ascii="Times New Roman" w:hAnsi="Times New Roman"/>
                <w:color w:val="000000"/>
                <w:spacing w:val="-3"/>
                <w:sz w:val="24"/>
                <w:szCs w:val="24"/>
              </w:rPr>
              <w:tab/>
              <w:t xml:space="preserve">Pilot projekt, koji će trajati od 2015. do 2016.-2017. </w:t>
            </w:r>
          </w:p>
          <w:p w:rsidR="00501631" w:rsidRPr="00CE1558" w:rsidRDefault="00501631" w:rsidP="00B43B00">
            <w:pPr>
              <w:rPr>
                <w:rFonts w:ascii="Times New Roman" w:hAnsi="Times New Roman"/>
                <w:color w:val="000000"/>
                <w:spacing w:val="-3"/>
                <w:sz w:val="24"/>
                <w:szCs w:val="24"/>
              </w:rPr>
            </w:pPr>
            <w:r w:rsidRPr="00CE1558">
              <w:rPr>
                <w:rFonts w:ascii="Times New Roman" w:hAnsi="Times New Roman"/>
                <w:color w:val="000000"/>
                <w:spacing w:val="-3"/>
                <w:sz w:val="24"/>
                <w:szCs w:val="24"/>
              </w:rPr>
              <w:t>2.</w:t>
            </w:r>
            <w:r w:rsidRPr="00CE1558">
              <w:rPr>
                <w:rFonts w:ascii="Times New Roman" w:hAnsi="Times New Roman"/>
                <w:color w:val="000000"/>
                <w:spacing w:val="-3"/>
                <w:sz w:val="24"/>
                <w:szCs w:val="24"/>
              </w:rPr>
              <w:tab/>
              <w:t>Glavni projekt, 2019. – 2022.</w:t>
            </w:r>
          </w:p>
          <w:p w:rsidR="00501631" w:rsidRPr="00CE1558" w:rsidRDefault="00501631" w:rsidP="00B43B00">
            <w:pPr>
              <w:rPr>
                <w:rFonts w:ascii="Times New Roman" w:hAnsi="Times New Roman"/>
                <w:color w:val="000000"/>
                <w:spacing w:val="-3"/>
                <w:sz w:val="24"/>
                <w:szCs w:val="24"/>
              </w:rPr>
            </w:pPr>
            <w:r w:rsidRPr="00CE1558">
              <w:rPr>
                <w:rFonts w:ascii="Times New Roman" w:hAnsi="Times New Roman"/>
                <w:color w:val="000000"/>
                <w:spacing w:val="-3"/>
                <w:sz w:val="24"/>
                <w:szCs w:val="24"/>
              </w:rPr>
              <w:t xml:space="preserve">Pilot projekt obuhvaćat će sve segmente glavnog e-projekta i pri tome će pokrivati samo 10% osnovnih i srednjih škola u Hrvatskoj. Ovaj pristup omogućit će CARNet-u i ministarstvu da provedu pilot projekt kako bi osigurali da se najbolje utvrđene prakse provedu u sklopu glavnog projekta. Pilot projekt obuhvatit će neprestano procjenjivanje unutarnjih i vanjskih stručnjaka koji će naglasiti nedostatke i prednosti projekta, kako bi osigurali da glavni projekt odgovori na sva bitna pitanja na najlakše ostvariv način unutar procesa informatizacije hrvatskih škola. </w:t>
            </w:r>
          </w:p>
          <w:p w:rsidR="00501631" w:rsidRPr="00CE1558" w:rsidRDefault="00501631" w:rsidP="00B43B00">
            <w:pPr>
              <w:rPr>
                <w:rFonts w:ascii="Times New Roman" w:hAnsi="Times New Roman"/>
                <w:color w:val="000000"/>
                <w:spacing w:val="-3"/>
                <w:sz w:val="24"/>
                <w:szCs w:val="24"/>
              </w:rPr>
            </w:pPr>
            <w:r w:rsidRPr="00CE1558">
              <w:rPr>
                <w:rFonts w:ascii="Times New Roman" w:hAnsi="Times New Roman"/>
                <w:color w:val="000000"/>
                <w:spacing w:val="-3"/>
                <w:sz w:val="24"/>
                <w:szCs w:val="24"/>
              </w:rPr>
              <w:t xml:space="preserve">Planirane intervencije unutar T010 uključivat će opremanje osnovnih i srednjih škola odgovarajućim LAN-ovima (izgradnja lokalne internetske mreže u školama (ciljane lokacije škola) i povezivanje škola ultrabrzim Internetom) i nabava specijalizirane opreme za nastavnike i učenike, kao i ostale srodne opreme IKT-a. </w:t>
            </w:r>
          </w:p>
          <w:p w:rsidR="00501631" w:rsidRDefault="00501631" w:rsidP="00B43B00">
            <w:pPr>
              <w:rPr>
                <w:rFonts w:ascii="Times New Roman" w:hAnsi="Times New Roman"/>
                <w:color w:val="000000"/>
                <w:spacing w:val="-3"/>
                <w:sz w:val="24"/>
                <w:szCs w:val="24"/>
              </w:rPr>
            </w:pPr>
            <w:r w:rsidRPr="00CE1558">
              <w:rPr>
                <w:rFonts w:ascii="Times New Roman" w:hAnsi="Times New Roman"/>
                <w:color w:val="000000"/>
                <w:spacing w:val="-3"/>
                <w:sz w:val="24"/>
                <w:szCs w:val="24"/>
              </w:rPr>
              <w:lastRenderedPageBreak/>
              <w:t>Ovaj bi projekt trebao rezultirati digitalnim pokrićem sveukupnog obrazovnog sustava. Predviđena vrijednost ovoga projekta iznosi 160 milijuna eura (1,2 milijarde kuna), a kako bi se postigli ciljevi predviđeni ovim projektom, osim državnih, neophodna su i dodatna sredstva</w:t>
            </w:r>
          </w:p>
          <w:p w:rsidR="00501631" w:rsidRDefault="00501631" w:rsidP="00B43B00">
            <w:r w:rsidRPr="00CE1558">
              <w:t>Ulaganje u e-Škole također je planirano kroz ESF (OP EHR, IP 10.3) razvojem digitalnih nastavnih materijala, alata i metoda kao i organizacijskih modela, podupirući njihovo korištenje na nacionalnoj razini, kako u osnovnim, tako i u srednjim školama, kao sastavni dio državnog kurikuluma; razvojem digitalnih kompetencija učitelja, nastavnika i profesora, ravnatelja i stručnog osoblja, posebice u pogledu korištenja IKT-a za podučavanje, učenje i sustavnu podršku škola i pojedinih učitelja, nastavnika, profesora i ravnatelja  u školama u uvođenju IKT-a u podučavanje i učenje.</w:t>
            </w:r>
          </w:p>
        </w:tc>
      </w:tr>
    </w:tbl>
    <w:p w:rsidR="00FC3F35" w:rsidRPr="00576C1D" w:rsidRDefault="00FC3F35" w:rsidP="00FC3F35">
      <w:pPr>
        <w:widowControl w:val="0"/>
        <w:shd w:val="clear" w:color="auto" w:fill="FFFFFF"/>
        <w:autoSpaceDE w:val="0"/>
        <w:autoSpaceDN w:val="0"/>
        <w:adjustRightInd w:val="0"/>
        <w:spacing w:before="278" w:after="696" w:line="240" w:lineRule="auto"/>
        <w:ind w:left="643"/>
        <w:rPr>
          <w:rFonts w:ascii="Times New Roman" w:eastAsia="Times New Roman" w:hAnsi="Times New Roman" w:cs="Times New Roman"/>
          <w:sz w:val="20"/>
          <w:szCs w:val="20"/>
          <w:lang w:eastAsia="hr-HR"/>
        </w:rPr>
        <w:sectPr w:rsidR="00FC3F35" w:rsidRPr="00576C1D">
          <w:pgSz w:w="16834" w:h="11909" w:orient="landscape"/>
          <w:pgMar w:top="1370" w:right="541" w:bottom="360" w:left="540" w:header="720" w:footer="720" w:gutter="0"/>
          <w:cols w:space="60"/>
          <w:noEndnote/>
        </w:sectPr>
      </w:pPr>
    </w:p>
    <w:p w:rsidR="009A3B5E" w:rsidRDefault="009A3B5E">
      <w:pPr>
        <w:rPr>
          <w:rFonts w:ascii="Times New Roman" w:eastAsia="Times New Roman" w:hAnsi="Times New Roman" w:cs="Times New Roman"/>
          <w:i/>
          <w:iCs/>
          <w:color w:val="000000"/>
          <w:spacing w:val="1"/>
          <w:sz w:val="24"/>
          <w:szCs w:val="24"/>
          <w:lang w:eastAsia="hr-HR"/>
        </w:rPr>
      </w:pPr>
      <w:r>
        <w:rPr>
          <w:rFonts w:ascii="Times New Roman" w:eastAsia="Times New Roman" w:hAnsi="Times New Roman" w:cs="Times New Roman"/>
          <w:i/>
          <w:iCs/>
          <w:color w:val="000000"/>
          <w:spacing w:val="1"/>
          <w:sz w:val="24"/>
          <w:szCs w:val="24"/>
          <w:lang w:eastAsia="hr-HR"/>
        </w:rPr>
        <w:lastRenderedPageBreak/>
        <w:br w:type="page"/>
      </w:r>
    </w:p>
    <w:p w:rsidR="00FC3F35" w:rsidRPr="00576C1D" w:rsidRDefault="00FC3F35" w:rsidP="00FC3F35">
      <w:pPr>
        <w:widowControl w:val="0"/>
        <w:shd w:val="clear" w:color="auto" w:fill="FFFFFF"/>
        <w:autoSpaceDE w:val="0"/>
        <w:autoSpaceDN w:val="0"/>
        <w:adjustRightInd w:val="0"/>
        <w:spacing w:before="1003"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pacing w:val="1"/>
          <w:sz w:val="24"/>
          <w:szCs w:val="24"/>
          <w:lang w:eastAsia="hr-HR"/>
        </w:rPr>
        <w:lastRenderedPageBreak/>
        <w:t xml:space="preserve">2.A.6.5 </w:t>
      </w:r>
      <w:r w:rsidRPr="00576C1D">
        <w:rPr>
          <w:rFonts w:ascii="Times New Roman" w:eastAsia="Times New Roman" w:hAnsi="Times New Roman" w:cs="Times New Roman"/>
          <w:b/>
          <w:bCs/>
          <w:i/>
          <w:iCs/>
          <w:color w:val="000000"/>
          <w:sz w:val="24"/>
          <w:szCs w:val="24"/>
          <w:lang w:eastAsia="hr-HR"/>
        </w:rPr>
        <w:t>Pokazatelji neposrednih rezultata po investicijskom prioritetu i, po mogućnosti, po kategoriji regije</w:t>
      </w:r>
    </w:p>
    <w:p w:rsidR="00FC3F35" w:rsidRPr="00576C1D" w:rsidRDefault="00FC3F35" w:rsidP="00FC3F35">
      <w:pPr>
        <w:widowControl w:val="0"/>
        <w:shd w:val="clear" w:color="auto" w:fill="FFFFFF"/>
        <w:autoSpaceDE w:val="0"/>
        <w:autoSpaceDN w:val="0"/>
        <w:adjustRightInd w:val="0"/>
        <w:spacing w:before="514" w:after="0" w:line="278" w:lineRule="exact"/>
        <w:ind w:left="538" w:right="88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5: Zajednički i specifični pokazatelji neposrednih rezultata </w:t>
      </w:r>
      <w:r w:rsidRPr="00576C1D">
        <w:rPr>
          <w:rFonts w:ascii="Times New Roman" w:eastAsia="Times New Roman" w:hAnsi="Times New Roman" w:cs="Times New Roman"/>
          <w:bCs/>
          <w:color w:val="000000"/>
          <w:spacing w:val="-1"/>
          <w:sz w:val="24"/>
          <w:szCs w:val="24"/>
          <w:lang w:eastAsia="hr-HR"/>
        </w:rPr>
        <w:t>(po investicijskom prioritetu, podijeljeni na kategorije regija za ESF i, po potrebi, za EFRR)</w:t>
      </w:r>
    </w:p>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12"/>
        <w:gridCol w:w="1373"/>
        <w:gridCol w:w="1555"/>
        <w:gridCol w:w="1565"/>
        <w:gridCol w:w="2554"/>
        <w:gridCol w:w="1555"/>
        <w:gridCol w:w="1555"/>
        <w:gridCol w:w="1565"/>
        <w:gridCol w:w="1277"/>
        <w:gridCol w:w="1238"/>
      </w:tblGrid>
      <w:tr w:rsidR="00FC3F35" w:rsidRPr="00576C1D" w:rsidTr="00501631">
        <w:trPr>
          <w:trHeight w:hRule="exact" w:val="442"/>
        </w:trPr>
        <w:tc>
          <w:tcPr>
            <w:tcW w:w="2285" w:type="dxa"/>
            <w:gridSpan w:val="2"/>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Investicijski prioritet </w:t>
            </w:r>
          </w:p>
        </w:tc>
        <w:tc>
          <w:tcPr>
            <w:tcW w:w="12864" w:type="dxa"/>
            <w:gridSpan w:val="8"/>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10a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 xml:space="preserve">Ulaganje u obrazovanje, vještine i cjeloživotno učenje kroz razvoj infrastrukture za obrazovanje i osposobljavanje </w:t>
            </w:r>
          </w:p>
        </w:tc>
      </w:tr>
      <w:tr w:rsidR="00FC3F35" w:rsidRPr="00576C1D" w:rsidTr="00501631">
        <w:trPr>
          <w:trHeight w:hRule="exact" w:val="442"/>
        </w:trPr>
        <w:tc>
          <w:tcPr>
            <w:tcW w:w="9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1373"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Pokazatelj </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Mjerna jedinica </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(ako je potrebno) </w:t>
            </w:r>
          </w:p>
        </w:tc>
        <w:tc>
          <w:tcPr>
            <w:tcW w:w="4675" w:type="dxa"/>
            <w:gridSpan w:val="3"/>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Ciljana vrijednost (2023.) </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Izvor podataka </w:t>
            </w: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Učestalost izvješćivanja </w:t>
            </w:r>
          </w:p>
        </w:tc>
      </w:tr>
      <w:tr w:rsidR="00FC3F35" w:rsidRPr="00576C1D" w:rsidTr="00501631">
        <w:trPr>
          <w:trHeight w:hRule="exact" w:val="432"/>
        </w:trPr>
        <w:tc>
          <w:tcPr>
            <w:tcW w:w="912"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501631">
        <w:trPr>
          <w:trHeight w:hRule="exact" w:val="979"/>
        </w:trPr>
        <w:tc>
          <w:tcPr>
            <w:tcW w:w="9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10a11</w:t>
            </w:r>
          </w:p>
        </w:tc>
        <w:tc>
          <w:tcPr>
            <w:tcW w:w="1373"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3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Broj osnovnih škola opremljenih IKT opremom </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xml:space="preserve">Manje razvijena </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40,00</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MIS</w:t>
            </w: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501631">
        <w:trPr>
          <w:trHeight w:hRule="exact" w:val="1171"/>
        </w:trPr>
        <w:tc>
          <w:tcPr>
            <w:tcW w:w="9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10a21</w:t>
            </w:r>
          </w:p>
        </w:tc>
        <w:tc>
          <w:tcPr>
            <w:tcW w:w="1373"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202"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obnovljenih/izgrađenih studentskih domova</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xml:space="preserve">Manje razvijena </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6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4,00</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MIS</w:t>
            </w: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501631">
        <w:trPr>
          <w:trHeight w:hRule="exact" w:val="1248"/>
        </w:trPr>
        <w:tc>
          <w:tcPr>
            <w:tcW w:w="912"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302"/>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10a31</w:t>
            </w:r>
          </w:p>
        </w:tc>
        <w:tc>
          <w:tcPr>
            <w:tcW w:w="1373" w:type="dxa"/>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101"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Broj ustanova SOO-a opremljenih specijaliziranom opremom i modernim </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2554"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xml:space="preserve">Manje razvijena </w:t>
            </w: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20,00</w:t>
            </w:r>
          </w:p>
        </w:tc>
        <w:tc>
          <w:tcPr>
            <w:tcW w:w="1277"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MIS</w:t>
            </w:r>
          </w:p>
        </w:tc>
        <w:tc>
          <w:tcPr>
            <w:tcW w:w="1238" w:type="dxa"/>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Godišnje</w:t>
            </w:r>
          </w:p>
        </w:tc>
      </w:tr>
      <w:tr w:rsidR="00FC3F35" w:rsidRPr="00576C1D" w:rsidTr="00FC3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 xml:space="preserve">Investicijski prioritet </w:t>
            </w:r>
          </w:p>
        </w:tc>
        <w:tc>
          <w:tcPr>
            <w:tcW w:w="12864" w:type="dxa"/>
            <w:gridSpan w:val="8"/>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 xml:space="preserve">10a - Ulaganje u obrazovanje, vještine i cjeloživotno učenje kroz razvoj infrastrukture za obrazovanje i osposobljavanje </w:t>
            </w:r>
          </w:p>
        </w:tc>
      </w:tr>
      <w:tr w:rsidR="00FC3F35" w:rsidRPr="00576C1D" w:rsidTr="00FC3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2"/>
        </w:trPr>
        <w:tc>
          <w:tcPr>
            <w:tcW w:w="912"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137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Pokazatelj</w:t>
            </w:r>
          </w:p>
        </w:tc>
        <w:tc>
          <w:tcPr>
            <w:tcW w:w="155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 xml:space="preserve">Mjerna jedinica </w:t>
            </w:r>
          </w:p>
        </w:tc>
        <w:tc>
          <w:tcPr>
            <w:tcW w:w="156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9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Fond</w:t>
            </w:r>
          </w:p>
        </w:tc>
        <w:tc>
          <w:tcPr>
            <w:tcW w:w="25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64" w:right="2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 xml:space="preserve">Kategorija regije (ako je bitno) </w:t>
            </w:r>
          </w:p>
        </w:tc>
        <w:tc>
          <w:tcPr>
            <w:tcW w:w="467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5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8"/>
                <w:szCs w:val="18"/>
                <w:lang w:eastAsia="hr-HR"/>
              </w:rPr>
              <w:t xml:space="preserve">Ciljana vrijednost (2023.) </w:t>
            </w:r>
          </w:p>
        </w:tc>
        <w:tc>
          <w:tcPr>
            <w:tcW w:w="1277"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 xml:space="preserve">Izvor podataka </w:t>
            </w:r>
          </w:p>
        </w:tc>
        <w:tc>
          <w:tcPr>
            <w:tcW w:w="1238"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48"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 xml:space="preserve">Učestalost izvješćivanja </w:t>
            </w:r>
          </w:p>
        </w:tc>
      </w:tr>
      <w:tr w:rsidR="00FC3F35" w:rsidRPr="00576C1D" w:rsidTr="00FC3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2"/>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8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c>
          <w:tcPr>
            <w:tcW w:w="1238"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p>
        </w:tc>
      </w:tr>
      <w:tr w:rsidR="00FC3F35" w:rsidRPr="00576C1D" w:rsidTr="00FC3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3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tehnologijama</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bl>
    <w:p w:rsidR="00FC3F35" w:rsidRPr="00576C1D" w:rsidRDefault="00FC3F35" w:rsidP="00FC3F35">
      <w:pPr>
        <w:widowControl w:val="0"/>
        <w:shd w:val="clear" w:color="auto" w:fill="FFFFFF"/>
        <w:autoSpaceDE w:val="0"/>
        <w:autoSpaceDN w:val="0"/>
        <w:adjustRightInd w:val="0"/>
        <w:spacing w:before="418" w:after="158" w:line="240" w:lineRule="auto"/>
        <w:ind w:left="538"/>
        <w:rPr>
          <w:rFonts w:ascii="Times New Roman" w:eastAsia="Times New Roman" w:hAnsi="Times New Roman" w:cs="Times New Roman"/>
          <w:b/>
          <w:bCs/>
          <w:color w:val="000000"/>
          <w:spacing w:val="-1"/>
          <w:sz w:val="24"/>
          <w:szCs w:val="24"/>
          <w:lang w:eastAsia="hr-HR"/>
        </w:rPr>
      </w:pPr>
    </w:p>
    <w:p w:rsidR="00993FEE" w:rsidRDefault="00FC3F35" w:rsidP="00993FEE">
      <w:pPr>
        <w:widowControl w:val="0"/>
        <w:shd w:val="clear" w:color="auto" w:fill="FFFFFF"/>
        <w:autoSpaceDE w:val="0"/>
        <w:autoSpaceDN w:val="0"/>
        <w:adjustRightInd w:val="0"/>
        <w:spacing w:before="418" w:after="158" w:line="240" w:lineRule="auto"/>
        <w:ind w:left="538"/>
        <w:rPr>
          <w:rFonts w:ascii="Times New Roman" w:eastAsia="Times New Roman" w:hAnsi="Times New Roman" w:cs="Times New Roman"/>
          <w:b/>
          <w:bCs/>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 xml:space="preserve">2.A.7 Socijalne inovacije, međudržavna suradnja i doprinos tematskim ciljevima 1-7 </w:t>
      </w:r>
    </w:p>
    <w:tbl>
      <w:tblPr>
        <w:tblStyle w:val="TableGrid"/>
        <w:tblW w:w="0" w:type="auto"/>
        <w:tblLook w:val="04A0" w:firstRow="1" w:lastRow="0" w:firstColumn="1" w:lastColumn="0" w:noHBand="0" w:noVBand="1"/>
      </w:tblPr>
      <w:tblGrid>
        <w:gridCol w:w="1575"/>
        <w:gridCol w:w="13701"/>
      </w:tblGrid>
      <w:tr w:rsidR="00993FEE" w:rsidTr="00993FEE">
        <w:tc>
          <w:tcPr>
            <w:tcW w:w="1575" w:type="dxa"/>
          </w:tcPr>
          <w:p w:rsidR="00993FEE" w:rsidRDefault="00993FEE" w:rsidP="00B43B00">
            <w:r w:rsidRPr="00576C1D">
              <w:rPr>
                <w:rFonts w:ascii="Times New Roman" w:hAnsi="Times New Roman"/>
                <w:color w:val="000000"/>
                <w:spacing w:val="-4"/>
                <w:sz w:val="18"/>
                <w:szCs w:val="18"/>
              </w:rPr>
              <w:t>Prioritetna os</w:t>
            </w:r>
          </w:p>
        </w:tc>
        <w:tc>
          <w:tcPr>
            <w:tcW w:w="13701" w:type="dxa"/>
          </w:tcPr>
          <w:p w:rsidR="00993FEE" w:rsidRDefault="00993FEE" w:rsidP="00B43B00">
            <w:r w:rsidRPr="00576C1D">
              <w:rPr>
                <w:rFonts w:ascii="Times New Roman" w:hAnsi="Times New Roman"/>
                <w:color w:val="000000"/>
                <w:spacing w:val="-4"/>
                <w:sz w:val="18"/>
                <w:szCs w:val="18"/>
              </w:rPr>
              <w:t>9 – Obrazovanje, vještine i cjeloživotno učenje</w:t>
            </w:r>
          </w:p>
        </w:tc>
      </w:tr>
      <w:tr w:rsidR="00993FEE" w:rsidTr="00993FEE">
        <w:trPr>
          <w:trHeight w:val="396"/>
        </w:trPr>
        <w:tc>
          <w:tcPr>
            <w:tcW w:w="15276" w:type="dxa"/>
            <w:gridSpan w:val="2"/>
          </w:tcPr>
          <w:p w:rsidR="00993FEE" w:rsidRDefault="00993FEE" w:rsidP="00B43B00"/>
        </w:tc>
      </w:tr>
    </w:tbl>
    <w:p w:rsidR="00FC3F35" w:rsidRPr="00576C1D" w:rsidRDefault="00FC3F35" w:rsidP="00993FEE">
      <w:pPr>
        <w:widowControl w:val="0"/>
        <w:shd w:val="clear" w:color="auto" w:fill="FFFFFF"/>
        <w:autoSpaceDE w:val="0"/>
        <w:autoSpaceDN w:val="0"/>
        <w:adjustRightInd w:val="0"/>
        <w:spacing w:before="418" w:after="158" w:line="240" w:lineRule="auto"/>
        <w:ind w:left="538"/>
        <w:rPr>
          <w:rFonts w:ascii="Times New Roman" w:eastAsia="Times New Roman" w:hAnsi="Times New Roman" w:cs="Times New Roman"/>
          <w:b/>
          <w:bCs/>
          <w:color w:val="000000"/>
          <w:spacing w:val="-2"/>
          <w:sz w:val="24"/>
          <w:szCs w:val="24"/>
          <w:lang w:eastAsia="hr-HR"/>
        </w:rPr>
      </w:pPr>
      <w:r w:rsidRPr="00576C1D">
        <w:rPr>
          <w:rFonts w:ascii="Times New Roman" w:eastAsia="Times New Roman" w:hAnsi="Times New Roman" w:cs="Times New Roman"/>
          <w:b/>
          <w:bCs/>
          <w:color w:val="000000"/>
          <w:spacing w:val="-2"/>
          <w:sz w:val="24"/>
          <w:szCs w:val="24"/>
          <w:lang w:eastAsia="hr-HR"/>
        </w:rPr>
        <w:t xml:space="preserve">2.A.8 Okvir uspješnosti </w:t>
      </w:r>
    </w:p>
    <w:p w:rsidR="00FC3F35" w:rsidRPr="00576C1D" w:rsidRDefault="00FC3F35" w:rsidP="00FC3F35">
      <w:pPr>
        <w:widowControl w:val="0"/>
        <w:shd w:val="clear" w:color="auto" w:fill="FFFFFF"/>
        <w:autoSpaceDE w:val="0"/>
        <w:autoSpaceDN w:val="0"/>
        <w:adjustRightInd w:val="0"/>
        <w:spacing w:after="0" w:line="240" w:lineRule="auto"/>
        <w:ind w:left="539"/>
        <w:rPr>
          <w:rFonts w:ascii="Times New Roman" w:eastAsia="Times New Roman" w:hAnsi="Times New Roman" w:cs="Times New Roman"/>
          <w:sz w:val="24"/>
          <w:szCs w:val="24"/>
          <w:lang w:eastAsia="hr-HR"/>
        </w:rPr>
      </w:pPr>
      <w:r w:rsidRPr="00576C1D">
        <w:rPr>
          <w:rFonts w:ascii="Times New Roman" w:eastAsia="Times New Roman" w:hAnsi="Times New Roman" w:cs="Times New Roman"/>
          <w:b/>
          <w:sz w:val="24"/>
          <w:szCs w:val="24"/>
          <w:lang w:eastAsia="hr-HR"/>
        </w:rPr>
        <w:t>Tablica 6: Okvir uspješnosti prioritetne osi</w:t>
      </w:r>
      <w:r w:rsidRPr="00576C1D">
        <w:rPr>
          <w:rFonts w:ascii="Times New Roman" w:eastAsia="Times New Roman" w:hAnsi="Times New Roman" w:cs="Times New Roman"/>
          <w:sz w:val="24"/>
          <w:szCs w:val="24"/>
          <w:lang w:eastAsia="hr-HR"/>
        </w:rPr>
        <w:t xml:space="preserve"> (po fondu i, za EFRR i ESF, po kategoriji regije)</w:t>
      </w:r>
    </w:p>
    <w:p w:rsidR="00FC3F35" w:rsidRPr="00576C1D" w:rsidRDefault="00FC3F35" w:rsidP="00FC3F35">
      <w:pPr>
        <w:widowControl w:val="0"/>
        <w:autoSpaceDE w:val="0"/>
        <w:autoSpaceDN w:val="0"/>
        <w:adjustRightInd w:val="0"/>
        <w:spacing w:after="562"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662"/>
        <w:gridCol w:w="710"/>
        <w:gridCol w:w="854"/>
        <w:gridCol w:w="1680"/>
        <w:gridCol w:w="1200"/>
        <w:gridCol w:w="960"/>
        <w:gridCol w:w="1008"/>
        <w:gridCol w:w="1018"/>
        <w:gridCol w:w="1018"/>
        <w:gridCol w:w="1018"/>
        <w:gridCol w:w="1008"/>
        <w:gridCol w:w="1018"/>
        <w:gridCol w:w="902"/>
        <w:gridCol w:w="1181"/>
      </w:tblGrid>
      <w:tr w:rsidR="00FC3F35" w:rsidRPr="00576C1D" w:rsidTr="00FC3F35">
        <w:trPr>
          <w:trHeight w:hRule="exact" w:val="355"/>
        </w:trPr>
        <w:tc>
          <w:tcPr>
            <w:tcW w:w="91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72"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720" w:type="dxa"/>
            <w:gridSpan w:val="6"/>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02"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365"/>
        </w:trPr>
        <w:tc>
          <w:tcPr>
            <w:tcW w:w="228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1"/>
                <w:sz w:val="10"/>
                <w:szCs w:val="10"/>
                <w:lang w:eastAsia="hr-HR"/>
              </w:rPr>
              <w:t xml:space="preserve">Prioritetna os </w:t>
            </w:r>
          </w:p>
        </w:tc>
        <w:tc>
          <w:tcPr>
            <w:tcW w:w="12865" w:type="dxa"/>
            <w:gridSpan w:val="1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9 </w:t>
            </w:r>
            <w:r w:rsidRPr="00576C1D">
              <w:rPr>
                <w:rFonts w:ascii="Times New Roman" w:eastAsia="Times New Roman" w:hAnsi="Times New Roman" w:cs="Times New Roman"/>
                <w:color w:val="000000"/>
                <w:spacing w:val="-1"/>
                <w:sz w:val="10"/>
                <w:szCs w:val="10"/>
                <w:lang w:eastAsia="hr-HR"/>
              </w:rPr>
              <w:t xml:space="preserve">- </w:t>
            </w:r>
            <w:r w:rsidRPr="00576C1D">
              <w:rPr>
                <w:rFonts w:ascii="Times New Roman" w:eastAsia="Times New Roman" w:hAnsi="Times New Roman" w:cs="Times New Roman"/>
                <w:b/>
                <w:bCs/>
                <w:color w:val="000000"/>
                <w:spacing w:val="-1"/>
                <w:sz w:val="10"/>
                <w:szCs w:val="10"/>
                <w:lang w:eastAsia="hr-HR"/>
              </w:rPr>
              <w:t xml:space="preserve">Obrazovanje, vještine i cjeloživotno učenje </w:t>
            </w:r>
          </w:p>
        </w:tc>
      </w:tr>
      <w:tr w:rsidR="00FC3F35" w:rsidRPr="00576C1D" w:rsidTr="00FC3F35">
        <w:trPr>
          <w:trHeight w:hRule="exact" w:val="365"/>
        </w:trPr>
        <w:tc>
          <w:tcPr>
            <w:tcW w:w="91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z w:val="10"/>
                <w:szCs w:val="10"/>
                <w:lang w:eastAsia="hr-HR"/>
              </w:rPr>
              <w:t>Oznaka</w:t>
            </w:r>
          </w:p>
        </w:tc>
        <w:tc>
          <w:tcPr>
            <w:tcW w:w="66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2"/>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korak provedbe</w:t>
            </w:r>
          </w:p>
        </w:tc>
        <w:tc>
          <w:tcPr>
            <w:tcW w:w="168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Mjerna jedinica, tamo gdje je prikladno </w:t>
            </w:r>
          </w:p>
        </w:tc>
        <w:tc>
          <w:tcPr>
            <w:tcW w:w="120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 xml:space="preserve">Kategorija regije </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vMerge w:val="restart"/>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Izvor podataka </w:t>
            </w:r>
          </w:p>
        </w:tc>
        <w:tc>
          <w:tcPr>
            <w:tcW w:w="1181"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značaja pokazatelja, po potrebi</w:t>
            </w:r>
          </w:p>
        </w:tc>
      </w:tr>
      <w:tr w:rsidR="00FC3F35" w:rsidRPr="00576C1D" w:rsidTr="00FC3F35">
        <w:trPr>
          <w:trHeight w:hRule="exact" w:val="365"/>
        </w:trPr>
        <w:tc>
          <w:tcPr>
            <w:tcW w:w="91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2"/>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M</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3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U</w:t>
            </w:r>
          </w:p>
        </w:tc>
        <w:tc>
          <w:tcPr>
            <w:tcW w:w="902"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0"/>
                <w:szCs w:val="20"/>
                <w:lang w:eastAsia="hr-HR"/>
              </w:rPr>
            </w:pPr>
          </w:p>
        </w:tc>
        <w:tc>
          <w:tcPr>
            <w:tcW w:w="1181"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FC3F35">
        <w:trPr>
          <w:trHeight w:hRule="exact" w:val="1056"/>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PF31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F</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 xml:space="preserve">Ukupan iznos odobrenih rashoda opravdanih troškova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milijun EUR</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EFRR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Manje razvijena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66.914,913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305.782.107,00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MZOŠ</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48"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Kontrolna točka predstavlja pravilo </w:t>
            </w:r>
            <w:r w:rsidRPr="00576C1D">
              <w:rPr>
                <w:rFonts w:ascii="Times New Roman" w:eastAsia="Times New Roman" w:hAnsi="Times New Roman" w:cs="Times New Roman"/>
                <w:color w:val="000000"/>
                <w:sz w:val="10"/>
                <w:szCs w:val="10"/>
                <w:lang w:eastAsia="hr-HR"/>
              </w:rPr>
              <w:t>N+3 za PO umanjujući za 6%</w:t>
            </w:r>
          </w:p>
          <w:p w:rsidR="00FC3F35" w:rsidRPr="00576C1D" w:rsidRDefault="00FC3F35" w:rsidP="00FC3F35">
            <w:pPr>
              <w:widowControl w:val="0"/>
              <w:shd w:val="clear" w:color="auto" w:fill="FFFFFF"/>
              <w:autoSpaceDE w:val="0"/>
              <w:autoSpaceDN w:val="0"/>
              <w:adjustRightInd w:val="0"/>
              <w:spacing w:after="0" w:line="115" w:lineRule="exact"/>
              <w:ind w:right="48"/>
              <w:rPr>
                <w:rFonts w:ascii="Times New Roman" w:eastAsia="Times New Roman" w:hAnsi="Times New Roman" w:cs="Times New Roman"/>
                <w:color w:val="000000"/>
                <w:spacing w:val="-2"/>
                <w:sz w:val="10"/>
                <w:szCs w:val="10"/>
                <w:lang w:eastAsia="hr-HR"/>
              </w:rPr>
            </w:pPr>
            <w:r w:rsidRPr="00576C1D">
              <w:rPr>
                <w:rFonts w:ascii="Times New Roman" w:eastAsia="Times New Roman" w:hAnsi="Times New Roman" w:cs="Times New Roman"/>
                <w:color w:val="000000"/>
                <w:sz w:val="10"/>
                <w:szCs w:val="10"/>
                <w:lang w:eastAsia="hr-HR"/>
              </w:rPr>
              <w:t xml:space="preserve">(odnosno ukupnu alokaciju za 2014. </w:t>
            </w:r>
            <w:r w:rsidRPr="00576C1D">
              <w:rPr>
                <w:rFonts w:ascii="Times New Roman" w:eastAsia="Times New Roman" w:hAnsi="Times New Roman" w:cs="Times New Roman"/>
                <w:color w:val="000000"/>
                <w:spacing w:val="-2"/>
                <w:sz w:val="10"/>
                <w:szCs w:val="10"/>
                <w:lang w:eastAsia="hr-HR"/>
              </w:rPr>
              <w:t>i 2015. neto od 6%).</w:t>
            </w:r>
          </w:p>
          <w:p w:rsidR="00FC3F35" w:rsidRPr="00576C1D" w:rsidRDefault="00FC3F35" w:rsidP="00FC3F35">
            <w:pPr>
              <w:widowControl w:val="0"/>
              <w:shd w:val="clear" w:color="auto" w:fill="FFFFFF"/>
              <w:autoSpaceDE w:val="0"/>
              <w:autoSpaceDN w:val="0"/>
              <w:adjustRightInd w:val="0"/>
              <w:spacing w:after="0" w:line="115" w:lineRule="exact"/>
              <w:ind w:right="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sz w:val="20"/>
                <w:szCs w:val="20"/>
                <w:lang w:eastAsia="hr-HR"/>
              </w:rPr>
              <w:br/>
            </w:r>
          </w:p>
        </w:tc>
      </w:tr>
      <w:tr w:rsidR="00FC3F35" w:rsidRPr="00576C1D" w:rsidTr="00FC3F35">
        <w:trPr>
          <w:trHeight w:hRule="exact" w:val="1402"/>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0"/>
                <w:szCs w:val="10"/>
                <w:lang w:eastAsia="hr-HR"/>
              </w:rPr>
              <w:t>10a21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110"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Broj obnovljenih/izgrađenih studentskih domova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EFRR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Manje razvijena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4,00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15" w:lineRule="exact"/>
              <w:ind w:right="24"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 xml:space="preserve">Odabrana su dva izlazna pokazatelja budući da pokrivaju većinu sredstava pod Prioritetnom osi 9. Točnije, </w:t>
            </w:r>
            <w:r w:rsidRPr="00576C1D">
              <w:rPr>
                <w:rFonts w:ascii="Times New Roman" w:eastAsia="Times New Roman" w:hAnsi="Times New Roman" w:cs="Times New Roman"/>
                <w:color w:val="000000"/>
                <w:spacing w:val="-2"/>
                <w:sz w:val="10"/>
                <w:szCs w:val="10"/>
                <w:lang w:eastAsia="hr-HR"/>
              </w:rPr>
              <w:t xml:space="preserve">specifični cilj </w:t>
            </w:r>
            <w:r w:rsidRPr="00576C1D">
              <w:rPr>
                <w:rFonts w:ascii="Times New Roman" w:eastAsia="Times New Roman" w:hAnsi="Times New Roman" w:cs="Times New Roman"/>
                <w:color w:val="000000"/>
                <w:spacing w:val="-1"/>
                <w:sz w:val="10"/>
                <w:szCs w:val="10"/>
                <w:lang w:eastAsia="hr-HR"/>
              </w:rPr>
              <w:t>s PO-om posvećenom sektoru VO-a i digitalno zrelim školama pokriva više od 64% ukupno alociranih sredstava PO-u 9.</w:t>
            </w:r>
          </w:p>
        </w:tc>
      </w:tr>
      <w:tr w:rsidR="00993FEE" w:rsidRPr="00576C1D" w:rsidTr="00B43B00">
        <w:trPr>
          <w:trHeight w:hRule="exact" w:val="374"/>
        </w:trPr>
        <w:tc>
          <w:tcPr>
            <w:tcW w:w="2284" w:type="dxa"/>
            <w:gridSpan w:val="3"/>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Prioritetna os </w:t>
            </w:r>
          </w:p>
        </w:tc>
        <w:tc>
          <w:tcPr>
            <w:tcW w:w="12865" w:type="dxa"/>
            <w:gridSpan w:val="12"/>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9 </w:t>
            </w:r>
            <w:r w:rsidRPr="00576C1D">
              <w:rPr>
                <w:rFonts w:ascii="Times New Roman" w:eastAsia="Times New Roman" w:hAnsi="Times New Roman" w:cs="Times New Roman"/>
                <w:color w:val="000000"/>
                <w:spacing w:val="-1"/>
                <w:sz w:val="10"/>
                <w:szCs w:val="10"/>
                <w:lang w:eastAsia="hr-HR"/>
              </w:rPr>
              <w:t xml:space="preserve">- </w:t>
            </w:r>
            <w:r w:rsidRPr="00576C1D">
              <w:rPr>
                <w:rFonts w:ascii="Times New Roman" w:eastAsia="Times New Roman" w:hAnsi="Times New Roman" w:cs="Times New Roman"/>
                <w:b/>
                <w:bCs/>
                <w:color w:val="000000"/>
                <w:spacing w:val="-1"/>
                <w:sz w:val="10"/>
                <w:szCs w:val="10"/>
                <w:lang w:eastAsia="hr-HR"/>
              </w:rPr>
              <w:t xml:space="preserve">Obrazovanje, vještine i cjeloživotno učenje </w:t>
            </w:r>
          </w:p>
        </w:tc>
      </w:tr>
      <w:tr w:rsidR="00993FEE" w:rsidRPr="00576C1D" w:rsidTr="00B43B00">
        <w:trPr>
          <w:trHeight w:hRule="exact" w:val="365"/>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Oznaka</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5" w:lineRule="exact"/>
              <w:ind w:righ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Vrsta pokazatelja</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5" w:lineRule="exact"/>
              <w:ind w:right="48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Pokazatelj ili ključni korak provođenja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5" w:lineRule="exact"/>
              <w:ind w:right="36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Mjerna jedinica, tamo gdje je prikladno </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0"/>
                <w:szCs w:val="10"/>
                <w:lang w:eastAsia="hr-HR"/>
              </w:rPr>
              <w:t>Fond</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5" w:lineRule="exact"/>
              <w:ind w:right="230" w:firstLine="5"/>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 xml:space="preserve">Kategorija regije </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10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Kontrolna točka za 2018.</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101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0"/>
                <w:szCs w:val="10"/>
                <w:lang w:eastAsia="hr-HR"/>
              </w:rPr>
              <w:t>Konačni cilj (2023.)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0"/>
                <w:szCs w:val="10"/>
                <w:lang w:eastAsia="hr-HR"/>
              </w:rPr>
              <w:t xml:space="preserve">Izvor podataka </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5" w:lineRule="exact"/>
              <w:ind w:righ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Objašnjenje značaja pokazatelja, po potrebi</w:t>
            </w:r>
          </w:p>
        </w:tc>
      </w:tr>
      <w:tr w:rsidR="00993FEE" w:rsidRPr="00576C1D" w:rsidTr="00B43B00">
        <w:trPr>
          <w:trHeight w:hRule="exact" w:val="240"/>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993FEE" w:rsidRPr="00576C1D" w:rsidTr="00B43B00">
        <w:trPr>
          <w:trHeight w:hRule="exact" w:val="2438"/>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0"/>
                <w:szCs w:val="10"/>
                <w:lang w:eastAsia="hr-HR"/>
              </w:rPr>
              <w:t>10a31</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0</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5" w:lineRule="exact"/>
              <w:ind w:right="221"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Broj ustanova SOO-a opremljenih specijaliziranom opremom i modernim tehnologijama</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broj</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EFRR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Manje razvijena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5,00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57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0"/>
                <w:szCs w:val="10"/>
                <w:lang w:eastAsia="hr-HR"/>
              </w:rPr>
              <w:t>20,00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0" w:lineRule="exact"/>
              <w:ind w:right="19" w:hanging="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Odabrana su dva izlazna pokazatelja budući da pokrivaju većinu sredstava pod Prioritetnom osi 9. Točnije, specifični cilj s PO-om posvećenom sektoru VO-a i digitalno zrelim školama pokriva više od 64% ukupno alociranih sredstava PO-a 9. Ključni korak provođenja određen je uzimajući u obzir da su takve intervencije u javnome sektoru iznimno zahtjevne i složene</w:t>
            </w:r>
            <w:r w:rsidRPr="00576C1D">
              <w:rPr>
                <w:rFonts w:ascii="Times New Roman" w:eastAsia="Times New Roman" w:hAnsi="Times New Roman" w:cs="Times New Roman"/>
                <w:color w:val="000000"/>
                <w:spacing w:val="-2"/>
                <w:sz w:val="10"/>
                <w:szCs w:val="10"/>
                <w:lang w:eastAsia="hr-HR"/>
              </w:rPr>
              <w:t>.</w:t>
            </w:r>
          </w:p>
        </w:tc>
      </w:tr>
      <w:tr w:rsidR="00993FEE" w:rsidRPr="00576C1D" w:rsidTr="00B43B00">
        <w:trPr>
          <w:trHeight w:hRule="exact" w:val="2448"/>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0"/>
                <w:szCs w:val="10"/>
                <w:lang w:eastAsia="hr-HR"/>
              </w:rPr>
              <w:lastRenderedPageBreak/>
              <w:t>10.3</w:t>
            </w:r>
          </w:p>
        </w:tc>
        <w:tc>
          <w:tcPr>
            <w:tcW w:w="66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I</w:t>
            </w:r>
          </w:p>
        </w:tc>
        <w:tc>
          <w:tcPr>
            <w:tcW w:w="1564" w:type="dxa"/>
            <w:gridSpan w:val="2"/>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5" w:lineRule="exact"/>
              <w:ind w:right="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Radovi započeti na postotku odabranih lokacija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EFRR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0"/>
                <w:szCs w:val="10"/>
                <w:lang w:eastAsia="hr-HR"/>
              </w:rPr>
              <w:t xml:space="preserve">Manje razvijena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69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0"/>
                <w:szCs w:val="10"/>
                <w:lang w:eastAsia="hr-HR"/>
              </w:rPr>
              <w:t>50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ind w:left="52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0"/>
                <w:szCs w:val="10"/>
                <w:lang w:eastAsia="hr-HR"/>
              </w:rPr>
              <w:t>100,00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ISU</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93FEE" w:rsidRPr="00576C1D" w:rsidRDefault="00993FEE" w:rsidP="00B43B00">
            <w:pPr>
              <w:widowControl w:val="0"/>
              <w:shd w:val="clear" w:color="auto" w:fill="FFFFFF"/>
              <w:autoSpaceDE w:val="0"/>
              <w:autoSpaceDN w:val="0"/>
              <w:adjustRightInd w:val="0"/>
              <w:spacing w:after="0" w:line="115" w:lineRule="exact"/>
              <w:ind w:right="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0"/>
                <w:szCs w:val="10"/>
                <w:lang w:eastAsia="hr-HR"/>
              </w:rPr>
              <w:t>Odabrana su dva izlazna pokazatelja budući da pokrivaju većinu sredstava pod Prioritetnom osi 9. Točnije, specifični cilj s PO-om posvećenom sektoru VO-a i digitalno zrelim školama pokriva više od 64% ukupno alociranih sredstava PO-a 9. Ključni korak provođenja određen je uzimajući u obzir da su takve intervencije u javnome sektoru iznimno zahtjevne i složene</w:t>
            </w:r>
            <w:r w:rsidRPr="00576C1D">
              <w:rPr>
                <w:rFonts w:ascii="Times New Roman" w:eastAsia="Times New Roman" w:hAnsi="Times New Roman" w:cs="Times New Roman"/>
                <w:color w:val="000000"/>
                <w:spacing w:val="-2"/>
                <w:sz w:val="10"/>
                <w:szCs w:val="10"/>
                <w:lang w:eastAsia="hr-HR"/>
              </w:rPr>
              <w:t>.</w:t>
            </w:r>
          </w:p>
        </w:tc>
      </w:tr>
    </w:tbl>
    <w:p w:rsidR="00FC3F35"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993FEE" w:rsidRDefault="00993FEE"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993FEE" w:rsidRDefault="00993FEE">
      <w:pP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br w:type="page"/>
      </w:r>
    </w:p>
    <w:p w:rsidR="00FC3F35" w:rsidRPr="00576C1D" w:rsidRDefault="00FC3F35" w:rsidP="00FC3F35">
      <w:pPr>
        <w:widowControl w:val="0"/>
        <w:shd w:val="clear" w:color="auto" w:fill="FFFFFF"/>
        <w:autoSpaceDE w:val="0"/>
        <w:autoSpaceDN w:val="0"/>
        <w:adjustRightInd w:val="0"/>
        <w:spacing w:before="451" w:after="0" w:line="240" w:lineRule="auto"/>
        <w:ind w:left="53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Dodatne kvalitativne informacije o okviru uspješnosti </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b/>
          <w:bCs/>
          <w:color w:val="000000"/>
          <w:sz w:val="24"/>
          <w:szCs w:val="24"/>
          <w:lang w:eastAsia="hr-HR"/>
        </w:rPr>
      </w:pPr>
      <w:r w:rsidRPr="00576C1D">
        <w:rPr>
          <w:rFonts w:ascii="Times New Roman" w:eastAsia="Times New Roman" w:hAnsi="Times New Roman" w:cs="Times New Roman"/>
          <w:b/>
          <w:bCs/>
          <w:color w:val="000000"/>
          <w:sz w:val="24"/>
          <w:szCs w:val="24"/>
          <w:lang w:eastAsia="hr-HR"/>
        </w:rPr>
        <w:t xml:space="preserve">2.A.9 Kategorije intervencije </w:t>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24"/>
          <w:szCs w:val="24"/>
          <w:lang w:eastAsia="hr-HR"/>
        </w:rPr>
        <w:t>Kategorije intervencije koje odgovaraju sadržaju prioritetne osi temeljem nomenklature koju je usvojilo Vijeće te indikativna analiza potpore Unije.</w:t>
      </w:r>
    </w:p>
    <w:p w:rsidR="00FC3F35" w:rsidRPr="00576C1D" w:rsidRDefault="00FC3F35" w:rsidP="00FC3F35">
      <w:pPr>
        <w:widowControl w:val="0"/>
        <w:shd w:val="clear" w:color="auto" w:fill="FFFFFF"/>
        <w:autoSpaceDE w:val="0"/>
        <w:autoSpaceDN w:val="0"/>
        <w:adjustRightInd w:val="0"/>
        <w:spacing w:after="0" w:line="514" w:lineRule="exact"/>
        <w:ind w:left="542" w:right="1105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6"/>
          <w:szCs w:val="26"/>
          <w:lang w:eastAsia="hr-HR"/>
        </w:rPr>
        <w:t>Tablice 7 - 11: Kategorije intervencije; Tablica 7</w:t>
      </w:r>
      <w:r w:rsidRPr="00576C1D">
        <w:rPr>
          <w:rFonts w:ascii="Times New Roman" w:eastAsia="Times New Roman" w:hAnsi="Times New Roman" w:cs="Times New Roman"/>
          <w:color w:val="000000"/>
          <w:spacing w:val="-4"/>
          <w:lang w:eastAsia="hr-HR"/>
        </w:rPr>
        <w:t xml:space="preserve">: Dimenzija 1 – Polje intervencije </w:t>
      </w: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1786"/>
        <w:gridCol w:w="9178"/>
        <w:gridCol w:w="1997"/>
      </w:tblGrid>
      <w:tr w:rsidR="00FC3F35" w:rsidRPr="00576C1D" w:rsidTr="00FC3F35">
        <w:trPr>
          <w:trHeight w:hRule="exact" w:val="451"/>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Prioritetna os </w:t>
            </w:r>
          </w:p>
        </w:tc>
        <w:tc>
          <w:tcPr>
            <w:tcW w:w="12961"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9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 xml:space="preserve">Obrazovanje, vještine i cjeloživotno učenje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Šifra</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Iznos u eurima</w:t>
            </w:r>
          </w:p>
        </w:tc>
      </w:tr>
      <w:tr w:rsidR="00FC3F35" w:rsidRPr="00576C1D" w:rsidTr="00FC3F35">
        <w:trPr>
          <w:trHeight w:hRule="exact" w:val="614"/>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right="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048. IKT : Drugi tipovi IKT infrastrukture/ velikih računalnih resursa/opreme (uključujući e-infrastrukturu, podatkovna središta i senzore; također gdje su uklopljeni u druge infrastrukture kao što su zgrade za istraživanja, infrastruktura za zaštitu okoliša i društvenu infrastrukturu)</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91.914.791,00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049. obrazovna infrastruktura za tercijarno obrazovanje </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105.000.000,00</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050. Obrazovna infrastruktura za strukovno obrazovanje i osposobljavanje te za obrazovanje odraslih</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63.000.000,00</w:t>
            </w:r>
          </w:p>
        </w:tc>
      </w:tr>
    </w:tbl>
    <w:p w:rsidR="00FC3F35" w:rsidRPr="00576C1D" w:rsidRDefault="00FC3F35" w:rsidP="009A3B5E">
      <w:pPr>
        <w:widowControl w:val="0"/>
        <w:shd w:val="clear" w:color="auto" w:fill="FFFFFF"/>
        <w:autoSpaceDE w:val="0"/>
        <w:autoSpaceDN w:val="0"/>
        <w:adjustRightInd w:val="0"/>
        <w:spacing w:before="120" w:after="0" w:line="240" w:lineRule="auto"/>
        <w:ind w:left="5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lang w:eastAsia="hr-HR"/>
        </w:rPr>
        <w:t xml:space="preserve">Tablica 8: Dimenzija 2 – Način financiranja </w:t>
      </w:r>
    </w:p>
    <w:p w:rsidR="00FC3F35" w:rsidRPr="00576C1D" w:rsidRDefault="00FC3F35" w:rsidP="00FC3F35">
      <w:pPr>
        <w:widowControl w:val="0"/>
        <w:autoSpaceDE w:val="0"/>
        <w:autoSpaceDN w:val="0"/>
        <w:adjustRightInd w:val="0"/>
        <w:spacing w:after="48" w:line="1" w:lineRule="exact"/>
        <w:rPr>
          <w:rFonts w:ascii="Times New Roman" w:eastAsia="Times New Roman" w:hAnsi="Times New Roman" w:cs="Times New Roman"/>
          <w:sz w:val="2"/>
          <w:szCs w:val="2"/>
          <w:lang w:eastAsia="hr-HR"/>
        </w:rPr>
      </w:pPr>
    </w:p>
    <w:tbl>
      <w:tblPr>
        <w:tblW w:w="15309" w:type="dxa"/>
        <w:tblInd w:w="40" w:type="dxa"/>
        <w:tblLayout w:type="fixed"/>
        <w:tblCellMar>
          <w:left w:w="40" w:type="dxa"/>
          <w:right w:w="40" w:type="dxa"/>
        </w:tblCellMar>
        <w:tblLook w:val="0000" w:firstRow="0" w:lastRow="0" w:firstColumn="0" w:lastColumn="0" w:noHBand="0" w:noVBand="0"/>
      </w:tblPr>
      <w:tblGrid>
        <w:gridCol w:w="800"/>
        <w:gridCol w:w="4999"/>
        <w:gridCol w:w="548"/>
        <w:gridCol w:w="2437"/>
        <w:gridCol w:w="4914"/>
        <w:gridCol w:w="1611"/>
      </w:tblGrid>
      <w:tr w:rsidR="00FC3F35" w:rsidRPr="00576C1D" w:rsidTr="00993FEE">
        <w:trPr>
          <w:trHeight w:hRule="exact" w:val="442"/>
        </w:trPr>
        <w:tc>
          <w:tcPr>
            <w:tcW w:w="979"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Prioritetna os </w:t>
            </w:r>
          </w:p>
        </w:tc>
        <w:tc>
          <w:tcPr>
            <w:tcW w:w="6251"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05" w:right="-381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9 </w:t>
            </w:r>
            <w:r w:rsidRPr="00576C1D">
              <w:rPr>
                <w:rFonts w:ascii="Times New Roman" w:eastAsia="Times New Roman" w:hAnsi="Times New Roman" w:cs="Times New Roman"/>
                <w:color w:val="000000"/>
                <w:spacing w:val="1"/>
                <w:sz w:val="16"/>
                <w:szCs w:val="16"/>
                <w:lang w:eastAsia="hr-HR"/>
              </w:rPr>
              <w:t xml:space="preserve">- </w:t>
            </w:r>
            <w:r w:rsidRPr="00576C1D">
              <w:rPr>
                <w:rFonts w:ascii="Times New Roman" w:eastAsia="Times New Roman" w:hAnsi="Times New Roman" w:cs="Times New Roman"/>
                <w:b/>
                <w:bCs/>
                <w:color w:val="000000"/>
                <w:spacing w:val="-1"/>
                <w:sz w:val="16"/>
                <w:szCs w:val="16"/>
                <w:lang w:eastAsia="hr-HR"/>
              </w:rPr>
              <w:t>Obrazovanje, vještine i cjeloživotno učenje</w:t>
            </w:r>
          </w:p>
        </w:tc>
        <w:tc>
          <w:tcPr>
            <w:tcW w:w="3696"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144"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993FEE">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6251"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66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34"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14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6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Šifra </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Iznos u eurima</w:t>
            </w:r>
          </w:p>
        </w:tc>
      </w:tr>
      <w:tr w:rsidR="00FC3F35" w:rsidRPr="00576C1D" w:rsidTr="00993FEE">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6251"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662"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034"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01. Bespovratna sredstva </w:t>
            </w:r>
          </w:p>
        </w:tc>
        <w:tc>
          <w:tcPr>
            <w:tcW w:w="614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259.914.791,00</w:t>
            </w:r>
          </w:p>
        </w:tc>
      </w:tr>
    </w:tbl>
    <w:p w:rsidR="00FC3F35" w:rsidRPr="00576C1D" w:rsidRDefault="00FC3F35" w:rsidP="00FC3F35">
      <w:pPr>
        <w:widowControl w:val="0"/>
        <w:autoSpaceDE w:val="0"/>
        <w:autoSpaceDN w:val="0"/>
        <w:adjustRightInd w:val="0"/>
        <w:spacing w:after="480" w:line="1" w:lineRule="exact"/>
        <w:rPr>
          <w:rFonts w:ascii="Times New Roman" w:eastAsia="Times New Roman" w:hAnsi="Times New Roman" w:cs="Times New Roman"/>
          <w:sz w:val="2"/>
          <w:szCs w:val="2"/>
          <w:lang w:eastAsia="hr-HR"/>
        </w:rPr>
      </w:pPr>
    </w:p>
    <w:tbl>
      <w:tblPr>
        <w:tblW w:w="14743" w:type="dxa"/>
        <w:tblInd w:w="-102" w:type="dxa"/>
        <w:tblLayout w:type="fixed"/>
        <w:tblCellMar>
          <w:left w:w="40" w:type="dxa"/>
          <w:right w:w="40" w:type="dxa"/>
        </w:tblCellMar>
        <w:tblLook w:val="0000" w:firstRow="0" w:lastRow="0" w:firstColumn="0" w:lastColumn="0" w:noHBand="0" w:noVBand="0"/>
      </w:tblPr>
      <w:tblGrid>
        <w:gridCol w:w="982"/>
        <w:gridCol w:w="1018"/>
        <w:gridCol w:w="3419"/>
        <w:gridCol w:w="589"/>
        <w:gridCol w:w="2421"/>
        <w:gridCol w:w="4896"/>
        <w:gridCol w:w="1418"/>
      </w:tblGrid>
      <w:tr w:rsidR="00FC3F35" w:rsidRPr="00576C1D" w:rsidTr="009A3B5E">
        <w:trPr>
          <w:trHeight w:hRule="exact" w:val="259"/>
        </w:trPr>
        <w:tc>
          <w:tcPr>
            <w:tcW w:w="5419" w:type="dxa"/>
            <w:gridSpan w:val="3"/>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lang w:eastAsia="hr-HR"/>
              </w:rPr>
              <w:t>Tablica 9: Dimenzija 3 - Vrsta područja</w:t>
            </w:r>
          </w:p>
        </w:tc>
        <w:tc>
          <w:tcPr>
            <w:tcW w:w="589"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421"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89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418"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9A3B5E">
        <w:trPr>
          <w:trHeight w:hRule="exact" w:val="432"/>
        </w:trPr>
        <w:tc>
          <w:tcPr>
            <w:tcW w:w="200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Prioritetna os </w:t>
            </w:r>
          </w:p>
        </w:tc>
        <w:tc>
          <w:tcPr>
            <w:tcW w:w="3419"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 xml:space="preserve">9- </w:t>
            </w:r>
            <w:r w:rsidRPr="00576C1D">
              <w:rPr>
                <w:rFonts w:ascii="Times New Roman" w:eastAsia="Times New Roman" w:hAnsi="Times New Roman" w:cs="Times New Roman"/>
                <w:b/>
                <w:bCs/>
                <w:color w:val="000000"/>
                <w:spacing w:val="-1"/>
                <w:sz w:val="16"/>
                <w:szCs w:val="16"/>
                <w:lang w:eastAsia="hr-HR"/>
              </w:rPr>
              <w:t>Obrazovanje, vještine i cjeloživotno učenje</w:t>
            </w:r>
            <w:r w:rsidRPr="00576C1D">
              <w:rPr>
                <w:rFonts w:ascii="Times New Roman" w:eastAsia="Times New Roman" w:hAnsi="Times New Roman" w:cs="Times New Roman"/>
                <w:b/>
                <w:bCs/>
                <w:color w:val="000000"/>
                <w:spacing w:val="4"/>
                <w:sz w:val="16"/>
                <w:szCs w:val="16"/>
                <w:lang w:eastAsia="hr-HR"/>
              </w:rPr>
              <w:t>,</w:t>
            </w:r>
          </w:p>
        </w:tc>
        <w:tc>
          <w:tcPr>
            <w:tcW w:w="3010" w:type="dxa"/>
            <w:gridSpan w:val="2"/>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760"/>
              <w:rPr>
                <w:rFonts w:ascii="Times New Roman" w:eastAsia="Times New Roman" w:hAnsi="Times New Roman" w:cs="Times New Roman"/>
                <w:sz w:val="20"/>
                <w:szCs w:val="20"/>
                <w:lang w:eastAsia="hr-HR"/>
              </w:rPr>
            </w:pPr>
          </w:p>
        </w:tc>
        <w:tc>
          <w:tcPr>
            <w:tcW w:w="4896"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418"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9A3B5E">
        <w:trPr>
          <w:trHeight w:hRule="exact" w:val="432"/>
        </w:trPr>
        <w:tc>
          <w:tcPr>
            <w:tcW w:w="98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4437"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589"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421"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896"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4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Šifra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Iznos u eurima</w:t>
            </w:r>
          </w:p>
        </w:tc>
      </w:tr>
      <w:tr w:rsidR="00FC3F35" w:rsidRPr="00576C1D" w:rsidTr="009A3B5E">
        <w:trPr>
          <w:trHeight w:hRule="exact" w:val="451"/>
        </w:trPr>
        <w:tc>
          <w:tcPr>
            <w:tcW w:w="982"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4437" w:type="dxa"/>
            <w:gridSpan w:val="2"/>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589"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2421"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6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xml:space="preserve">07. Nije primjenjivo </w:t>
            </w:r>
          </w:p>
        </w:tc>
        <w:tc>
          <w:tcPr>
            <w:tcW w:w="4896"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9A3B5E">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259.914.791,00</w:t>
            </w:r>
          </w:p>
        </w:tc>
      </w:tr>
    </w:tbl>
    <w:p w:rsidR="00FC3F35" w:rsidRDefault="00FC3F35" w:rsidP="00FC3F35">
      <w:pPr>
        <w:widowControl w:val="0"/>
        <w:shd w:val="clear" w:color="auto" w:fill="FFFFFF"/>
        <w:autoSpaceDE w:val="0"/>
        <w:autoSpaceDN w:val="0"/>
        <w:adjustRightInd w:val="0"/>
        <w:spacing w:before="422" w:after="158" w:line="240" w:lineRule="auto"/>
        <w:ind w:left="542"/>
        <w:rPr>
          <w:rFonts w:ascii="Times New Roman" w:eastAsia="Times New Roman" w:hAnsi="Times New Roman" w:cs="Times New Roman"/>
          <w:color w:val="000000"/>
          <w:spacing w:val="-4"/>
          <w:lang w:eastAsia="hr-HR"/>
        </w:rPr>
      </w:pPr>
      <w:r w:rsidRPr="00576C1D">
        <w:rPr>
          <w:rFonts w:ascii="Times New Roman" w:eastAsia="Times New Roman" w:hAnsi="Times New Roman" w:cs="Times New Roman"/>
          <w:color w:val="000000"/>
          <w:spacing w:val="-5"/>
          <w:lang w:eastAsia="hr-HR"/>
        </w:rPr>
        <w:lastRenderedPageBreak/>
        <w:t xml:space="preserve">Tablica 10: Dimenzija 4 – </w:t>
      </w:r>
      <w:r w:rsidRPr="00576C1D">
        <w:rPr>
          <w:rFonts w:ascii="Times New Roman" w:eastAsia="Times New Roman" w:hAnsi="Times New Roman" w:cs="Times New Roman"/>
          <w:color w:val="000000"/>
          <w:spacing w:val="-4"/>
          <w:lang w:eastAsia="hr-HR"/>
        </w:rPr>
        <w:t>Mehanizmi teritorijalne provedbe</w:t>
      </w:r>
    </w:p>
    <w:tbl>
      <w:tblPr>
        <w:tblStyle w:val="TableGrid"/>
        <w:tblW w:w="14709" w:type="dxa"/>
        <w:tblLook w:val="04A0" w:firstRow="1" w:lastRow="0" w:firstColumn="1" w:lastColumn="0" w:noHBand="0" w:noVBand="1"/>
      </w:tblPr>
      <w:tblGrid>
        <w:gridCol w:w="1505"/>
        <w:gridCol w:w="13204"/>
      </w:tblGrid>
      <w:tr w:rsidR="00993FEE" w:rsidTr="009A3B5E">
        <w:tc>
          <w:tcPr>
            <w:tcW w:w="1505" w:type="dxa"/>
          </w:tcPr>
          <w:p w:rsidR="00993FEE" w:rsidRDefault="00993FEE" w:rsidP="00B43B00">
            <w:r w:rsidRPr="00576C1D">
              <w:rPr>
                <w:rFonts w:ascii="Times New Roman" w:hAnsi="Times New Roman"/>
                <w:color w:val="000000"/>
                <w:spacing w:val="-4"/>
                <w:sz w:val="18"/>
                <w:szCs w:val="18"/>
              </w:rPr>
              <w:t>Prioritetna os</w:t>
            </w:r>
          </w:p>
        </w:tc>
        <w:tc>
          <w:tcPr>
            <w:tcW w:w="13204" w:type="dxa"/>
          </w:tcPr>
          <w:p w:rsidR="00993FEE" w:rsidRDefault="00993FEE" w:rsidP="00B43B00">
            <w:r w:rsidRPr="00576C1D">
              <w:rPr>
                <w:rFonts w:ascii="Times New Roman" w:hAnsi="Times New Roman"/>
                <w:color w:val="000000"/>
                <w:spacing w:val="-4"/>
                <w:sz w:val="18"/>
                <w:szCs w:val="18"/>
              </w:rPr>
              <w:t>9 – Obrazovanje, vještine i cjeloživotno učenje</w:t>
            </w:r>
          </w:p>
        </w:tc>
      </w:tr>
      <w:tr w:rsidR="00993FEE" w:rsidTr="009A3B5E">
        <w:trPr>
          <w:trHeight w:val="342"/>
        </w:trPr>
        <w:tc>
          <w:tcPr>
            <w:tcW w:w="14709" w:type="dxa"/>
            <w:gridSpan w:val="2"/>
          </w:tcPr>
          <w:p w:rsidR="00993FEE" w:rsidRDefault="00993FEE" w:rsidP="00B43B00"/>
        </w:tc>
      </w:tr>
    </w:tbl>
    <w:p w:rsidR="00993FEE" w:rsidRDefault="00993FEE" w:rsidP="009A3B5E">
      <w:pPr>
        <w:widowControl w:val="0"/>
        <w:shd w:val="clear" w:color="auto" w:fill="FFFFFF"/>
        <w:autoSpaceDE w:val="0"/>
        <w:autoSpaceDN w:val="0"/>
        <w:adjustRightInd w:val="0"/>
        <w:spacing w:after="0" w:line="240" w:lineRule="auto"/>
        <w:ind w:left="544"/>
        <w:rPr>
          <w:rFonts w:ascii="Times New Roman" w:eastAsia="Times New Roman" w:hAnsi="Times New Roman" w:cs="Times New Roman"/>
          <w:color w:val="000000"/>
          <w:spacing w:val="-4"/>
          <w:lang w:eastAsia="hr-HR"/>
        </w:rPr>
      </w:pPr>
    </w:p>
    <w:tbl>
      <w:tblPr>
        <w:tblW w:w="14743" w:type="dxa"/>
        <w:tblInd w:w="-102" w:type="dxa"/>
        <w:tblLayout w:type="fixed"/>
        <w:tblCellMar>
          <w:left w:w="40" w:type="dxa"/>
          <w:right w:w="40" w:type="dxa"/>
        </w:tblCellMar>
        <w:tblLook w:val="0000" w:firstRow="0" w:lastRow="0" w:firstColumn="0" w:lastColumn="0" w:noHBand="0" w:noVBand="0"/>
      </w:tblPr>
      <w:tblGrid>
        <w:gridCol w:w="1121"/>
        <w:gridCol w:w="1210"/>
        <w:gridCol w:w="1786"/>
        <w:gridCol w:w="9178"/>
        <w:gridCol w:w="1448"/>
      </w:tblGrid>
      <w:tr w:rsidR="00FC3F35" w:rsidRPr="00576C1D" w:rsidTr="009A3B5E">
        <w:trPr>
          <w:trHeight w:hRule="exact" w:val="442"/>
        </w:trPr>
        <w:tc>
          <w:tcPr>
            <w:tcW w:w="112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Šifra </w:t>
            </w:r>
          </w:p>
        </w:tc>
        <w:tc>
          <w:tcPr>
            <w:tcW w:w="144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Iznos u eurima </w:t>
            </w:r>
          </w:p>
        </w:tc>
      </w:tr>
      <w:tr w:rsidR="00FC3F35" w:rsidRPr="00576C1D" w:rsidTr="009A3B5E">
        <w:trPr>
          <w:trHeight w:hRule="exact" w:val="432"/>
        </w:trPr>
        <w:tc>
          <w:tcPr>
            <w:tcW w:w="112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5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 xml:space="preserve">07. Nije primjenjivo </w:t>
            </w:r>
          </w:p>
        </w:tc>
        <w:tc>
          <w:tcPr>
            <w:tcW w:w="144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6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259.914.791,00</w:t>
            </w:r>
          </w:p>
        </w:tc>
      </w:tr>
      <w:tr w:rsidR="00FC3F35" w:rsidRPr="00576C1D" w:rsidTr="009A3B5E">
        <w:trPr>
          <w:trHeight w:hRule="exact" w:val="768"/>
        </w:trPr>
        <w:tc>
          <w:tcPr>
            <w:tcW w:w="14743" w:type="dxa"/>
            <w:gridSpan w:val="5"/>
            <w:tcBorders>
              <w:top w:val="single" w:sz="6" w:space="0" w:color="auto"/>
              <w:left w:val="nil"/>
              <w:bottom w:val="single" w:sz="6" w:space="0" w:color="auto"/>
              <w:right w:val="nil"/>
            </w:tcBorders>
            <w:shd w:val="clear" w:color="auto" w:fill="FFFFFF"/>
          </w:tcPr>
          <w:p w:rsidR="009A3B5E" w:rsidRDefault="009A3B5E"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20"/>
                <w:szCs w:val="20"/>
                <w:lang w:eastAsia="hr-HR"/>
              </w:rPr>
              <w:t>Tablica 11: Dimenzija 6 – Sporedni predmet Europskog socijalnog fonda (samo Europski socijalni fond i Inicijativa za zapošljavanje mladih)</w:t>
            </w:r>
          </w:p>
        </w:tc>
      </w:tr>
      <w:tr w:rsidR="00FC3F35" w:rsidRPr="00576C1D" w:rsidTr="009A3B5E">
        <w:trPr>
          <w:trHeight w:hRule="exact" w:val="442"/>
        </w:trPr>
        <w:tc>
          <w:tcPr>
            <w:tcW w:w="2331"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Prioritetna os </w:t>
            </w:r>
          </w:p>
        </w:tc>
        <w:tc>
          <w:tcPr>
            <w:tcW w:w="12412"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9 - Obrazovanje, vještine i cjeloživotno učenje </w:t>
            </w:r>
          </w:p>
        </w:tc>
      </w:tr>
      <w:tr w:rsidR="00FC3F35" w:rsidRPr="00576C1D" w:rsidTr="009A3B5E">
        <w:trPr>
          <w:trHeight w:hRule="exact" w:val="442"/>
        </w:trPr>
        <w:tc>
          <w:tcPr>
            <w:tcW w:w="112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4"/>
                <w:sz w:val="16"/>
                <w:szCs w:val="16"/>
                <w:lang w:eastAsia="hr-HR"/>
              </w:rPr>
              <w:t>Fond</w:t>
            </w:r>
          </w:p>
        </w:tc>
        <w:tc>
          <w:tcPr>
            <w:tcW w:w="299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4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917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01"/>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Šifra </w:t>
            </w:r>
          </w:p>
        </w:tc>
        <w:tc>
          <w:tcPr>
            <w:tcW w:w="1448"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5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eurima </w:t>
            </w:r>
          </w:p>
        </w:tc>
      </w:tr>
    </w:tbl>
    <w:p w:rsidR="009A3B5E" w:rsidRDefault="009A3B5E" w:rsidP="009A3B5E">
      <w:pPr>
        <w:widowControl w:val="0"/>
        <w:shd w:val="clear" w:color="auto" w:fill="FFFFFF"/>
        <w:autoSpaceDE w:val="0"/>
        <w:autoSpaceDN w:val="0"/>
        <w:adjustRightInd w:val="0"/>
        <w:spacing w:after="240" w:line="278" w:lineRule="exact"/>
        <w:ind w:left="1395" w:hanging="856"/>
        <w:rPr>
          <w:rFonts w:ascii="Times New Roman" w:eastAsia="Times New Roman" w:hAnsi="Times New Roman" w:cs="Times New Roman"/>
          <w:b/>
          <w:bCs/>
          <w:color w:val="000000"/>
          <w:spacing w:val="5"/>
          <w:sz w:val="24"/>
          <w:szCs w:val="24"/>
          <w:lang w:eastAsia="hr-HR"/>
        </w:rPr>
      </w:pPr>
    </w:p>
    <w:p w:rsidR="00FC3F35" w:rsidRPr="00576C1D" w:rsidRDefault="00FC3F35" w:rsidP="009A3B5E">
      <w:pPr>
        <w:widowControl w:val="0"/>
        <w:shd w:val="clear" w:color="auto" w:fill="FFFFFF"/>
        <w:autoSpaceDE w:val="0"/>
        <w:autoSpaceDN w:val="0"/>
        <w:adjustRightInd w:val="0"/>
        <w:spacing w:after="240" w:line="278" w:lineRule="exact"/>
        <w:ind w:left="1395" w:hanging="85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24"/>
          <w:szCs w:val="24"/>
          <w:lang w:eastAsia="hr-HR"/>
        </w:rPr>
        <w:t xml:space="preserve">2.A.10 Sažetak planiranog korištenja tehničke pomoći uključujući, po potrebi, aktivnosti kojima se jača administrativni kapacitet nadležnih tijela uključenih u kontrolu i upravljanje programima i korisnicima </w:t>
      </w:r>
      <w:r w:rsidRPr="00576C1D">
        <w:rPr>
          <w:rFonts w:ascii="Times New Roman" w:eastAsia="Times New Roman" w:hAnsi="Times New Roman" w:cs="Times New Roman"/>
          <w:bCs/>
          <w:color w:val="000000"/>
          <w:spacing w:val="5"/>
          <w:sz w:val="24"/>
          <w:szCs w:val="24"/>
          <w:lang w:eastAsia="hr-HR"/>
        </w:rPr>
        <w:t>(po potrebi) (po prioritetnoj osi)</w:t>
      </w:r>
    </w:p>
    <w:tbl>
      <w:tblPr>
        <w:tblStyle w:val="TableGrid"/>
        <w:tblW w:w="14709" w:type="dxa"/>
        <w:tblLook w:val="04A0" w:firstRow="1" w:lastRow="0" w:firstColumn="1" w:lastColumn="0" w:noHBand="0" w:noVBand="1"/>
      </w:tblPr>
      <w:tblGrid>
        <w:gridCol w:w="2809"/>
        <w:gridCol w:w="11900"/>
      </w:tblGrid>
      <w:tr w:rsidR="00993FEE" w:rsidTr="009A3B5E">
        <w:tc>
          <w:tcPr>
            <w:tcW w:w="2809" w:type="dxa"/>
          </w:tcPr>
          <w:p w:rsidR="00993FEE" w:rsidRDefault="00993FEE" w:rsidP="00B43B00">
            <w:r w:rsidRPr="00576C1D">
              <w:rPr>
                <w:rFonts w:ascii="Times New Roman" w:hAnsi="Times New Roman"/>
                <w:color w:val="000000"/>
                <w:spacing w:val="-4"/>
                <w:sz w:val="18"/>
                <w:szCs w:val="18"/>
              </w:rPr>
              <w:t>Prioritetna os</w:t>
            </w:r>
          </w:p>
        </w:tc>
        <w:tc>
          <w:tcPr>
            <w:tcW w:w="11900" w:type="dxa"/>
          </w:tcPr>
          <w:p w:rsidR="00993FEE" w:rsidRDefault="00993FEE" w:rsidP="00B43B00">
            <w:r w:rsidRPr="00576C1D">
              <w:rPr>
                <w:rFonts w:ascii="Times New Roman" w:hAnsi="Times New Roman"/>
                <w:color w:val="000000"/>
                <w:spacing w:val="-4"/>
                <w:sz w:val="18"/>
                <w:szCs w:val="18"/>
              </w:rPr>
              <w:t>9 – Obrazovanje, vještine i cjeloživotno učenje</w:t>
            </w:r>
          </w:p>
        </w:tc>
      </w:tr>
      <w:tr w:rsidR="00993FEE" w:rsidTr="009A3B5E">
        <w:trPr>
          <w:trHeight w:val="915"/>
        </w:trPr>
        <w:tc>
          <w:tcPr>
            <w:tcW w:w="14709" w:type="dxa"/>
            <w:gridSpan w:val="2"/>
          </w:tcPr>
          <w:p w:rsidR="00993FEE" w:rsidRDefault="00993FEE" w:rsidP="00B43B00">
            <w:r w:rsidRPr="001946A3">
              <w:t>Pod specifičnim ciljevima 10.1.1, 10.1.2 i 10.1.3, od ključne je važnosti osigurati podršku za pojačavanje kapaciteta potencijalnih korisnika u pripremi visokokvalitetnih projekata kako bi mogli primiti podršku od EFRR-a za ulaganja u opremu za obrazovanje i infrastrukturu. Predviđeni korisnici nemaju potrebni kapacitet i vještine da sami kvalitetno pripreme dokumentaciju za infrastrukturne projekte sa svom popratnom tehničkom dokumentacijom, kako bi se prijavili i ostvarili sredstva za infrastrukturna ulaganja. Ovom će se akcijom osigurati pravovremeno i učinkovito upravljanje infrastrukturnim projektima u razdoblju od 2014. do 2020.</w:t>
            </w:r>
          </w:p>
        </w:tc>
      </w:tr>
    </w:tbl>
    <w:p w:rsidR="009A3B5E" w:rsidRDefault="009A3B5E">
      <w:pPr>
        <w:rPr>
          <w:rFonts w:ascii="Times New Roman" w:eastAsia="Times New Roman" w:hAnsi="Times New Roman" w:cs="Times New Roman"/>
          <w:color w:val="000000"/>
          <w:spacing w:val="1"/>
          <w:sz w:val="24"/>
          <w:szCs w:val="24"/>
          <w:lang w:eastAsia="hr-HR"/>
        </w:rPr>
      </w:pPr>
      <w:r>
        <w:rPr>
          <w:rFonts w:ascii="Times New Roman" w:eastAsia="Times New Roman" w:hAnsi="Times New Roman" w:cs="Times New Roman"/>
          <w:color w:val="000000"/>
          <w:spacing w:val="1"/>
          <w:sz w:val="24"/>
          <w:szCs w:val="24"/>
          <w:lang w:eastAsia="hr-HR"/>
        </w:rPr>
        <w:br w:type="page"/>
      </w: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lastRenderedPageBreak/>
        <w:t>2.B O</w:t>
      </w:r>
      <w:r w:rsidRPr="00576C1D">
        <w:rPr>
          <w:rFonts w:ascii="Times New Roman" w:eastAsia="Times New Roman" w:hAnsi="Times New Roman" w:cs="Times New Roman"/>
          <w:smallCaps/>
          <w:color w:val="000000"/>
          <w:spacing w:val="1"/>
          <w:sz w:val="24"/>
          <w:szCs w:val="24"/>
          <w:lang w:eastAsia="hr-HR"/>
        </w:rPr>
        <w:t xml:space="preserve">pis prioritetne osi za tehničku podršku </w:t>
      </w:r>
    </w:p>
    <w:p w:rsidR="00FC3F35" w:rsidRDefault="00FC3F35" w:rsidP="00FC3F35">
      <w:pPr>
        <w:widowControl w:val="0"/>
        <w:shd w:val="clear" w:color="auto" w:fill="FFFFFF"/>
        <w:autoSpaceDE w:val="0"/>
        <w:autoSpaceDN w:val="0"/>
        <w:adjustRightInd w:val="0"/>
        <w:spacing w:before="427" w:after="240" w:line="240" w:lineRule="auto"/>
        <w:ind w:left="538"/>
        <w:rPr>
          <w:rFonts w:ascii="Times New Roman" w:eastAsia="Times New Roman" w:hAnsi="Times New Roman" w:cs="Times New Roman"/>
          <w:color w:val="000000"/>
          <w:spacing w:val="3"/>
          <w:sz w:val="24"/>
          <w:szCs w:val="24"/>
          <w:lang w:eastAsia="hr-HR"/>
        </w:rPr>
      </w:pPr>
      <w:r w:rsidRPr="00576C1D">
        <w:rPr>
          <w:rFonts w:ascii="Times New Roman" w:eastAsia="Times New Roman" w:hAnsi="Times New Roman" w:cs="Times New Roman"/>
          <w:color w:val="000000"/>
          <w:spacing w:val="3"/>
          <w:sz w:val="24"/>
          <w:szCs w:val="24"/>
          <w:lang w:eastAsia="hr-HR"/>
        </w:rPr>
        <w:t xml:space="preserve">2.B.1 Prioritetna os </w:t>
      </w:r>
    </w:p>
    <w:tbl>
      <w:tblPr>
        <w:tblStyle w:val="TableGrid"/>
        <w:tblW w:w="14459" w:type="dxa"/>
        <w:tblInd w:w="250" w:type="dxa"/>
        <w:tblLook w:val="04A0" w:firstRow="1" w:lastRow="0" w:firstColumn="1" w:lastColumn="0" w:noHBand="0" w:noVBand="1"/>
      </w:tblPr>
      <w:tblGrid>
        <w:gridCol w:w="1289"/>
        <w:gridCol w:w="13170"/>
      </w:tblGrid>
      <w:tr w:rsidR="00993FEE" w:rsidTr="009A3B5E">
        <w:tc>
          <w:tcPr>
            <w:tcW w:w="1289" w:type="dxa"/>
          </w:tcPr>
          <w:p w:rsidR="00993FEE" w:rsidRDefault="00993FEE" w:rsidP="00B43B00">
            <w:r w:rsidRPr="00997F44">
              <w:rPr>
                <w:rFonts w:ascii="Times New Roman" w:hAnsi="Times New Roman"/>
                <w:color w:val="000000"/>
                <w:w w:val="105"/>
                <w:sz w:val="16"/>
                <w:szCs w:val="16"/>
              </w:rPr>
              <w:t>Oznaka prioritetne osi</w:t>
            </w:r>
          </w:p>
        </w:tc>
        <w:tc>
          <w:tcPr>
            <w:tcW w:w="13170" w:type="dxa"/>
          </w:tcPr>
          <w:p w:rsidR="00993FEE" w:rsidRDefault="00993FEE" w:rsidP="00B43B00">
            <w:r>
              <w:t>10</w:t>
            </w:r>
          </w:p>
        </w:tc>
      </w:tr>
      <w:tr w:rsidR="00993FEE" w:rsidTr="009A3B5E">
        <w:tc>
          <w:tcPr>
            <w:tcW w:w="1289" w:type="dxa"/>
          </w:tcPr>
          <w:p w:rsidR="00993FEE" w:rsidRDefault="00993FEE" w:rsidP="00B43B00">
            <w:r w:rsidRPr="00576C1D">
              <w:rPr>
                <w:rFonts w:ascii="Times New Roman" w:hAnsi="Times New Roman"/>
                <w:b/>
                <w:bCs/>
                <w:color w:val="000000"/>
                <w:spacing w:val="-2"/>
                <w:sz w:val="18"/>
                <w:szCs w:val="18"/>
              </w:rPr>
              <w:t>Naziv prioritetne osi</w:t>
            </w:r>
          </w:p>
        </w:tc>
        <w:tc>
          <w:tcPr>
            <w:tcW w:w="13170" w:type="dxa"/>
          </w:tcPr>
          <w:p w:rsidR="00993FEE" w:rsidRDefault="00993FEE" w:rsidP="00B43B00">
            <w:r w:rsidRPr="00576C1D">
              <w:rPr>
                <w:rFonts w:ascii="Times New Roman" w:hAnsi="Times New Roman"/>
                <w:color w:val="000000"/>
                <w:spacing w:val="-2"/>
              </w:rPr>
              <w:t>Tehnička pomoć</w:t>
            </w:r>
          </w:p>
        </w:tc>
      </w:tr>
    </w:tbl>
    <w:p w:rsidR="00FC3F35" w:rsidRPr="00576C1D" w:rsidRDefault="00FC3F35" w:rsidP="00FC3F35">
      <w:pPr>
        <w:widowControl w:val="0"/>
        <w:shd w:val="clear" w:color="auto" w:fill="FFFFFF"/>
        <w:autoSpaceDE w:val="0"/>
        <w:autoSpaceDN w:val="0"/>
        <w:adjustRightInd w:val="0"/>
        <w:spacing w:before="451" w:after="0" w:line="394" w:lineRule="exact"/>
        <w:ind w:left="538" w:right="3974"/>
        <w:rPr>
          <w:rFonts w:ascii="Times New Roman" w:eastAsia="Times New Roman" w:hAnsi="Times New Roman" w:cs="Times New Roman"/>
          <w:color w:val="000000"/>
          <w:spacing w:val="4"/>
          <w:sz w:val="24"/>
          <w:szCs w:val="24"/>
          <w:lang w:eastAsia="hr-HR"/>
        </w:rPr>
      </w:pPr>
      <w:r w:rsidRPr="00576C1D">
        <w:rPr>
          <w:rFonts w:ascii="Times New Roman" w:eastAsia="Times New Roman" w:hAnsi="Times New Roman" w:cs="Times New Roman"/>
          <w:color w:val="000000"/>
          <w:spacing w:val="4"/>
          <w:sz w:val="24"/>
          <w:szCs w:val="24"/>
          <w:lang w:eastAsia="hr-HR"/>
        </w:rPr>
        <w:t>2.B.2 Opravdanost uvođenja prioritetne osi koja pokriva više od jedne kategorije regije (po potrebi)</w:t>
      </w:r>
    </w:p>
    <w:p w:rsidR="00FC3F35" w:rsidRPr="00576C1D" w:rsidRDefault="00FC3F35" w:rsidP="00FC3F35">
      <w:pPr>
        <w:widowControl w:val="0"/>
        <w:shd w:val="clear" w:color="auto" w:fill="FFFFFF"/>
        <w:autoSpaceDE w:val="0"/>
        <w:autoSpaceDN w:val="0"/>
        <w:adjustRightInd w:val="0"/>
        <w:spacing w:before="451" w:after="0" w:line="394" w:lineRule="exact"/>
        <w:ind w:left="538" w:right="397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24"/>
          <w:szCs w:val="24"/>
          <w:lang w:eastAsia="hr-HR"/>
        </w:rPr>
        <w:t xml:space="preserve">2.B.3 Fond i kategorija regije </w:t>
      </w:r>
    </w:p>
    <w:p w:rsidR="00FC3F35" w:rsidRPr="00576C1D" w:rsidRDefault="00FC3F35" w:rsidP="00FC3F35">
      <w:pPr>
        <w:widowControl w:val="0"/>
        <w:autoSpaceDE w:val="0"/>
        <w:autoSpaceDN w:val="0"/>
        <w:adjustRightInd w:val="0"/>
        <w:spacing w:after="86" w:line="1" w:lineRule="exact"/>
        <w:rPr>
          <w:rFonts w:ascii="Times New Roman" w:eastAsia="Times New Roman" w:hAnsi="Times New Roman" w:cs="Times New Roman"/>
          <w:sz w:val="2"/>
          <w:szCs w:val="2"/>
          <w:lang w:eastAsia="hr-HR"/>
        </w:rPr>
      </w:pPr>
    </w:p>
    <w:tbl>
      <w:tblPr>
        <w:tblW w:w="14601" w:type="dxa"/>
        <w:tblInd w:w="40" w:type="dxa"/>
        <w:tblLayout w:type="fixed"/>
        <w:tblCellMar>
          <w:left w:w="40" w:type="dxa"/>
          <w:right w:w="40" w:type="dxa"/>
        </w:tblCellMar>
        <w:tblLook w:val="0000" w:firstRow="0" w:lastRow="0" w:firstColumn="0" w:lastColumn="0" w:noHBand="0" w:noVBand="0"/>
      </w:tblPr>
      <w:tblGrid>
        <w:gridCol w:w="970"/>
        <w:gridCol w:w="9600"/>
        <w:gridCol w:w="4031"/>
      </w:tblGrid>
      <w:tr w:rsidR="00FC3F35" w:rsidRPr="00576C1D" w:rsidTr="009A3B5E">
        <w:trPr>
          <w:trHeight w:hRule="exact" w:val="634"/>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04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403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7" w:lineRule="exact"/>
              <w:ind w:left="91" w:right="115"/>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Izračunska osnova (ukupni prihvatljivi rashodi ili prihvatljivi javni rashodi)</w:t>
            </w:r>
          </w:p>
        </w:tc>
      </w:tr>
      <w:tr w:rsidR="00FC3F35" w:rsidRPr="00576C1D" w:rsidTr="009A3B5E">
        <w:trPr>
          <w:trHeight w:hRule="exact" w:val="470"/>
        </w:trPr>
        <w:tc>
          <w:tcPr>
            <w:tcW w:w="9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 xml:space="preserve">EFRR </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403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8"/>
                <w:szCs w:val="18"/>
                <w:lang w:eastAsia="hr-HR"/>
              </w:rPr>
              <w:t>Ukupno</w:t>
            </w:r>
          </w:p>
        </w:tc>
      </w:tr>
    </w:tbl>
    <w:p w:rsidR="00FC3F35" w:rsidRPr="00576C1D" w:rsidRDefault="00FC3F35" w:rsidP="00FC3F35">
      <w:pPr>
        <w:widowControl w:val="0"/>
        <w:shd w:val="clear" w:color="auto" w:fill="FFFFFF"/>
        <w:autoSpaceDE w:val="0"/>
        <w:autoSpaceDN w:val="0"/>
        <w:adjustRightInd w:val="0"/>
        <w:spacing w:before="418"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24"/>
          <w:szCs w:val="24"/>
          <w:lang w:eastAsia="hr-HR"/>
        </w:rPr>
        <w:t>2.B.4 Specifični ciljevi i očekivani rezultati</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14601" w:type="dxa"/>
        <w:tblInd w:w="40" w:type="dxa"/>
        <w:tblLayout w:type="fixed"/>
        <w:tblCellMar>
          <w:left w:w="40" w:type="dxa"/>
          <w:right w:w="40" w:type="dxa"/>
        </w:tblCellMar>
        <w:tblLook w:val="0000" w:firstRow="0" w:lastRow="0" w:firstColumn="0" w:lastColumn="0" w:noHBand="0" w:noVBand="0"/>
      </w:tblPr>
      <w:tblGrid>
        <w:gridCol w:w="979"/>
        <w:gridCol w:w="3859"/>
        <w:gridCol w:w="9763"/>
      </w:tblGrid>
      <w:tr w:rsidR="00FC3F35" w:rsidRPr="00576C1D" w:rsidTr="009A3B5E">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Specifični cilj </w:t>
            </w:r>
          </w:p>
        </w:tc>
        <w:tc>
          <w:tcPr>
            <w:tcW w:w="976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Rezultati koje država članica želi ostvariti uz podršku Europske unije</w:t>
            </w:r>
          </w:p>
        </w:tc>
      </w:tr>
      <w:tr w:rsidR="00FC3F35" w:rsidRPr="00576C1D" w:rsidTr="009A3B5E">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TA1</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right="43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Osigurana učinkovita koordinacija i korištenje sredstava kohezijske politike u Hrvatskoj </w:t>
            </w:r>
          </w:p>
        </w:tc>
        <w:tc>
          <w:tcPr>
            <w:tcW w:w="976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2176D9" w:rsidP="00FC3F35">
            <w:pPr>
              <w:widowControl w:val="0"/>
              <w:shd w:val="clear" w:color="auto" w:fill="FFFFFF"/>
              <w:autoSpaceDE w:val="0"/>
              <w:autoSpaceDN w:val="0"/>
              <w:adjustRightInd w:val="0"/>
              <w:spacing w:after="0" w:line="278" w:lineRule="exact"/>
              <w:ind w:right="101"/>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pacing w:val="-1"/>
                <w:sz w:val="24"/>
                <w:szCs w:val="24"/>
                <w:lang w:eastAsia="hr-HR"/>
              </w:rPr>
              <w:t xml:space="preserve">Sveukupno </w:t>
            </w:r>
            <w:r w:rsidR="00FC3F35" w:rsidRPr="00576C1D">
              <w:rPr>
                <w:rFonts w:ascii="Times New Roman" w:eastAsia="Times New Roman" w:hAnsi="Times New Roman" w:cs="Times New Roman"/>
                <w:color w:val="000000"/>
                <w:spacing w:val="-1"/>
                <w:sz w:val="24"/>
                <w:szCs w:val="24"/>
                <w:lang w:eastAsia="hr-HR"/>
              </w:rPr>
              <w:t xml:space="preserve">jačanje kapaciteta za upravljanje, pripremu, evaluaciju i kontrolu (uključujući aktivnosti koje podržavaju suzbijanje korupcije i sprječavanje prevara) OP-a ključan je uvjet za uspješno provođenje OP-a, a time i za postizanje ciljeva postavljenih pod svakom prioritetnom osi i za pridonošenje postizanju ciljeva postavljenih u strateškim dokumentima. </w:t>
            </w:r>
          </w:p>
        </w:tc>
      </w:tr>
      <w:tr w:rsidR="00FC3F35" w:rsidRPr="00576C1D" w:rsidTr="009A3B5E">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8"/>
                <w:sz w:val="18"/>
                <w:szCs w:val="18"/>
                <w:lang w:eastAsia="hr-HR"/>
              </w:rPr>
              <w:t xml:space="preserve">Specifični cilj </w:t>
            </w:r>
          </w:p>
        </w:tc>
        <w:tc>
          <w:tcPr>
            <w:tcW w:w="976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 xml:space="preserve">Rezultati koje država članica želi ostvariti uz podršku Europske unije </w:t>
            </w:r>
          </w:p>
        </w:tc>
      </w:tr>
      <w:tr w:rsidR="00FC3F35" w:rsidRPr="00576C1D" w:rsidTr="009A3B5E">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763" w:type="dxa"/>
            <w:tcBorders>
              <w:top w:val="single" w:sz="6" w:space="0" w:color="auto"/>
              <w:left w:val="single" w:sz="6" w:space="0" w:color="auto"/>
              <w:bottom w:val="single" w:sz="6" w:space="0" w:color="auto"/>
              <w:right w:val="single" w:sz="6" w:space="0" w:color="auto"/>
            </w:tcBorders>
            <w:shd w:val="clear" w:color="auto" w:fill="FFFFFF"/>
          </w:tcPr>
          <w:p w:rsidR="002176D9" w:rsidRPr="002176D9" w:rsidRDefault="002176D9" w:rsidP="002176D9">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r w:rsidRPr="002176D9" w:rsidDel="0006123F">
              <w:rPr>
                <w:rFonts w:ascii="Times New Roman" w:eastAsia="Times New Roman" w:hAnsi="Times New Roman" w:cs="Times New Roman"/>
                <w:color w:val="000000"/>
                <w:sz w:val="24"/>
                <w:szCs w:val="24"/>
                <w:lang w:eastAsia="hr-HR"/>
              </w:rPr>
              <w:t xml:space="preserve">TA1 prioritetna os financirat će tijela </w:t>
            </w:r>
            <w:r w:rsidRPr="002176D9">
              <w:rPr>
                <w:rFonts w:ascii="Times New Roman" w:eastAsia="Times New Roman" w:hAnsi="Times New Roman" w:cs="Times New Roman"/>
                <w:color w:val="000000"/>
                <w:sz w:val="24"/>
                <w:szCs w:val="24"/>
                <w:lang w:eastAsia="hr-HR"/>
              </w:rPr>
              <w:t>u sustavu upravljanja i kontrole</w:t>
            </w:r>
            <w:r w:rsidRPr="002176D9" w:rsidDel="0006123F">
              <w:rPr>
                <w:rFonts w:ascii="Times New Roman" w:eastAsia="Times New Roman" w:hAnsi="Times New Roman" w:cs="Times New Roman"/>
                <w:color w:val="000000"/>
                <w:sz w:val="24"/>
                <w:szCs w:val="24"/>
                <w:lang w:eastAsia="hr-HR"/>
              </w:rPr>
              <w:t xml:space="preserve"> OPKK-a (</w:t>
            </w:r>
            <w:r w:rsidRPr="002176D9">
              <w:rPr>
                <w:rFonts w:ascii="Times New Roman" w:eastAsia="Times New Roman" w:hAnsi="Times New Roman" w:cs="Times New Roman"/>
                <w:color w:val="000000"/>
                <w:sz w:val="24"/>
                <w:szCs w:val="24"/>
                <w:lang w:eastAsia="hr-HR"/>
              </w:rPr>
              <w:t>Upravljačko</w:t>
            </w:r>
            <w:r w:rsidRPr="002176D9" w:rsidDel="0006123F">
              <w:rPr>
                <w:rFonts w:ascii="Times New Roman" w:eastAsia="Times New Roman" w:hAnsi="Times New Roman" w:cs="Times New Roman"/>
                <w:color w:val="000000"/>
                <w:sz w:val="24"/>
                <w:szCs w:val="24"/>
                <w:lang w:eastAsia="hr-HR"/>
              </w:rPr>
              <w:t xml:space="preserve"> tijelo i posredničko tijelo razine 1 (IB1) i 2 (IB2)), kao i horizontalna tijela koja rade na</w:t>
            </w:r>
            <w:r w:rsidRPr="002176D9">
              <w:rPr>
                <w:rFonts w:ascii="Times New Roman" w:eastAsia="Times New Roman" w:hAnsi="Times New Roman" w:cs="Times New Roman"/>
                <w:color w:val="000000"/>
                <w:sz w:val="24"/>
                <w:szCs w:val="24"/>
                <w:lang w:eastAsia="hr-HR"/>
              </w:rPr>
              <w:t xml:space="preserve">oba OP-a Kohezijske politike (OPKK i OPULJP) (koordinacijsko tijelo, tijelo za ovjeravanje, tijela mreže koordinacijske službe za borbu protiv prijevara (AFCOS), neovisno tijelo za reviziju i revizorsko tijelo, kao i upravljačka struktura integriranih teritorijalnih ulaganja (ITI). Također će financirati javna tijela koja pokrivaju područja javne nabave (Ministarstvo gospodarstva – Služba za javnu nabavu) i državne potpore (Ministarstvo financija – Služba za državnu potporu) koji su bitni za apsorpciju i utjecaj na sredstva ESI-ja, ali koji nisu izravno uključeni u upravljačku strukturu. </w:t>
            </w:r>
          </w:p>
          <w:p w:rsidR="002176D9" w:rsidRPr="002176D9" w:rsidRDefault="002176D9" w:rsidP="002176D9">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r w:rsidRPr="002176D9">
              <w:rPr>
                <w:rFonts w:ascii="Times New Roman" w:eastAsia="Times New Roman" w:hAnsi="Times New Roman" w:cs="Times New Roman"/>
                <w:color w:val="000000"/>
                <w:sz w:val="24"/>
                <w:szCs w:val="24"/>
                <w:lang w:eastAsia="hr-HR"/>
              </w:rPr>
              <w:lastRenderedPageBreak/>
              <w:t xml:space="preserve">Neka tijela IB1 i IB2 nemaju dovoljno iskustva u pripremi i provođenju EU fondova i zato će se posebna pažnja posvetiti jačanju njihovih kapaciteta. </w:t>
            </w:r>
          </w:p>
          <w:p w:rsidR="002176D9" w:rsidRDefault="002176D9" w:rsidP="00FC3F35">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p>
          <w:p w:rsidR="002176D9" w:rsidRPr="002176D9" w:rsidRDefault="002176D9" w:rsidP="002176D9">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r w:rsidRPr="002176D9">
              <w:rPr>
                <w:rFonts w:ascii="Times New Roman" w:eastAsia="Times New Roman" w:hAnsi="Times New Roman" w:cs="Times New Roman"/>
                <w:color w:val="000000"/>
                <w:sz w:val="24"/>
                <w:szCs w:val="24"/>
                <w:lang w:eastAsia="hr-HR"/>
              </w:rPr>
              <w:t xml:space="preserve">U slučaju nedostatka određenog iskustva u sustavu upravljanja i kontrole (indikativni popis može sadržavati, ako je bitno: pravnu ekspertizu, razvoj i održavanje IT sustava, vođenje sustava arhive, računovodstvene usluge, ekspertizu izgradnje) ove će se usluge nabavljati od vanjskog dobavljača. Sustav obrazovanja i treninga razvit će se prema analizi potreba i provest će se na svim razinama provedbe programa ovisno o potrebnoj ekspertizi za izvršavanje određenih zadataka. </w:t>
            </w:r>
          </w:p>
          <w:p w:rsidR="002176D9" w:rsidRPr="002176D9" w:rsidRDefault="002176D9" w:rsidP="002176D9">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r w:rsidRPr="002176D9">
              <w:rPr>
                <w:rFonts w:ascii="Times New Roman" w:eastAsia="Times New Roman" w:hAnsi="Times New Roman" w:cs="Times New Roman"/>
                <w:color w:val="000000"/>
                <w:sz w:val="24"/>
                <w:szCs w:val="24"/>
                <w:lang w:eastAsia="hr-HR"/>
              </w:rPr>
              <w:t xml:space="preserve">Imajući na umu da je potreba za koordinacijom aktivnosti dvojaka, prva među OP-ovima a druga unutar OP-a, zbog većeg broja institucija koje će se uključiti kao IB1 i IB2, nastavit će se s jačanjem koordinacijske uloge upravljačkog tijela (UT). </w:t>
            </w:r>
          </w:p>
          <w:p w:rsidR="002176D9" w:rsidRDefault="002176D9" w:rsidP="002176D9">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p>
          <w:p w:rsidR="002176D9" w:rsidRPr="002176D9" w:rsidRDefault="002176D9" w:rsidP="002176D9">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r w:rsidRPr="002176D9">
              <w:rPr>
                <w:rFonts w:ascii="Times New Roman" w:eastAsia="Times New Roman" w:hAnsi="Times New Roman" w:cs="Times New Roman"/>
                <w:color w:val="000000"/>
                <w:sz w:val="24"/>
                <w:szCs w:val="24"/>
                <w:lang w:eastAsia="hr-HR"/>
              </w:rPr>
              <w:t xml:space="preserve">Kapacitet korisnika projekta, uključujući i regionalnu razinu, ojačat će se kroz aktivnosti izgradnje kapaciteta koje će uključivati barem: pripremu projekta i prijavu, javnu nabavu,  provedbu, praćenje i komunikaciju i publicitet. </w:t>
            </w:r>
          </w:p>
          <w:p w:rsidR="002176D9" w:rsidRDefault="002176D9" w:rsidP="00FC3F35">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r w:rsidRPr="00576C1D">
              <w:rPr>
                <w:rFonts w:ascii="Times New Roman" w:eastAsia="Times New Roman" w:hAnsi="Times New Roman" w:cs="Times New Roman"/>
                <w:color w:val="000000"/>
                <w:sz w:val="24"/>
                <w:szCs w:val="24"/>
                <w:lang w:eastAsia="hr-HR"/>
              </w:rPr>
              <w:t xml:space="preserve">Jačanje kapaciteta na regionalnoj i lokalnoj razini formirajući preduvjete za učinkovito korištenje sredstava koja su dostupna pod operativnim programom za konkurentnost i koheziju jedan je od prioriteta Hrvatske. Prema dosadašnjem iskustvu, regionalna i lokalna razina pokazala je nedostatak kritičke mase koja može osigurati dovoljan broj projektnih ponuda koje se mogu provesti u kratko vrijeme za pozive na dostavu prijedloga projekata.  </w:t>
            </w:r>
          </w:p>
          <w:p w:rsidR="00FC3F35" w:rsidRPr="00576C1D" w:rsidRDefault="00FC3F35" w:rsidP="00FC3F35">
            <w:pPr>
              <w:widowControl w:val="0"/>
              <w:shd w:val="clear" w:color="auto" w:fill="FFFFFF"/>
              <w:autoSpaceDE w:val="0"/>
              <w:autoSpaceDN w:val="0"/>
              <w:adjustRightInd w:val="0"/>
              <w:spacing w:after="0" w:line="274" w:lineRule="exact"/>
              <w:ind w:right="19" w:hanging="5"/>
              <w:rPr>
                <w:rFonts w:ascii="Times New Roman" w:eastAsia="Times New Roman" w:hAnsi="Times New Roman" w:cs="Times New Roman"/>
                <w:color w:val="000000"/>
                <w:sz w:val="24"/>
                <w:szCs w:val="24"/>
                <w:lang w:eastAsia="hr-HR"/>
              </w:rPr>
            </w:pPr>
          </w:p>
          <w:p w:rsidR="00FC3F35" w:rsidRPr="00576C1D" w:rsidRDefault="00FC3F35" w:rsidP="00FC3F35">
            <w:pPr>
              <w:widowControl w:val="0"/>
              <w:shd w:val="clear" w:color="auto" w:fill="FFFFFF"/>
              <w:autoSpaceDE w:val="0"/>
              <w:autoSpaceDN w:val="0"/>
              <w:adjustRightInd w:val="0"/>
              <w:spacing w:after="0" w:line="274" w:lineRule="exact"/>
              <w:ind w:right="19" w:firstLine="14"/>
              <w:rPr>
                <w:rFonts w:ascii="Times New Roman" w:eastAsia="Times New Roman" w:hAnsi="Times New Roman" w:cs="Times New Roman"/>
                <w:sz w:val="20"/>
                <w:szCs w:val="20"/>
                <w:lang w:eastAsia="hr-HR"/>
              </w:rPr>
            </w:pPr>
          </w:p>
        </w:tc>
      </w:tr>
      <w:tr w:rsidR="00FC3F35" w:rsidRPr="00576C1D" w:rsidTr="009A3B5E">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lastRenderedPageBreak/>
              <w:t>Oznaka</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8"/>
                <w:sz w:val="18"/>
                <w:szCs w:val="18"/>
                <w:lang w:eastAsia="hr-HR"/>
              </w:rPr>
              <w:t xml:space="preserve">Specifični cilj </w:t>
            </w:r>
          </w:p>
        </w:tc>
        <w:tc>
          <w:tcPr>
            <w:tcW w:w="976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7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 xml:space="preserve">Rezultati koje država članica želi ostvariti uz podršku Europske unije </w:t>
            </w:r>
          </w:p>
        </w:tc>
      </w:tr>
      <w:tr w:rsidR="00FC3F35" w:rsidRPr="00576C1D" w:rsidTr="009A3B5E">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763" w:type="dxa"/>
            <w:tcBorders>
              <w:top w:val="single" w:sz="6" w:space="0" w:color="auto"/>
              <w:left w:val="single" w:sz="6" w:space="0" w:color="auto"/>
              <w:bottom w:val="single" w:sz="6" w:space="0" w:color="auto"/>
              <w:right w:val="single" w:sz="6" w:space="0" w:color="auto"/>
            </w:tcBorders>
            <w:shd w:val="clear" w:color="auto" w:fill="FFFFFF"/>
          </w:tcPr>
          <w:p w:rsidR="002176D9" w:rsidRPr="002176D9" w:rsidRDefault="002176D9" w:rsidP="002176D9">
            <w:pPr>
              <w:widowControl w:val="0"/>
              <w:shd w:val="clear" w:color="auto" w:fill="FFFFFF"/>
              <w:autoSpaceDE w:val="0"/>
              <w:autoSpaceDN w:val="0"/>
              <w:adjustRightInd w:val="0"/>
              <w:spacing w:after="0" w:line="274" w:lineRule="exact"/>
              <w:ind w:right="58" w:hanging="10"/>
              <w:rPr>
                <w:rFonts w:ascii="Times New Roman" w:eastAsia="Times New Roman" w:hAnsi="Times New Roman" w:cs="Times New Roman"/>
                <w:color w:val="000000"/>
                <w:sz w:val="24"/>
                <w:szCs w:val="24"/>
                <w:lang w:eastAsia="hr-HR"/>
              </w:rPr>
            </w:pPr>
            <w:r w:rsidRPr="002176D9">
              <w:rPr>
                <w:rFonts w:ascii="Times New Roman" w:eastAsia="Times New Roman" w:hAnsi="Times New Roman" w:cs="Times New Roman"/>
                <w:color w:val="000000"/>
                <w:sz w:val="24"/>
                <w:szCs w:val="24"/>
                <w:lang w:eastAsia="hr-HR"/>
              </w:rPr>
              <w:t xml:space="preserve">Regionalne razvojne agencije, nadležna tijela lokalne i regionalne uprave, kao i Gospodarske komore i drugi potencijalni sudionici mreže osoba zaduženih za informiranje javnosti (PON) (sa svrhom da osigura koordinirano i istovremeno širenje informacija vezanih uz OP, ali i da pruža tehničku podršku prve razine potencijalnim korisnicima) osigurat će podršku u jačanju tih kapaciteta uz podršku prioritetne osi TA. </w:t>
            </w:r>
          </w:p>
          <w:p w:rsidR="002176D9" w:rsidRPr="002176D9" w:rsidRDefault="002176D9" w:rsidP="002176D9">
            <w:pPr>
              <w:widowControl w:val="0"/>
              <w:shd w:val="clear" w:color="auto" w:fill="FFFFFF"/>
              <w:autoSpaceDE w:val="0"/>
              <w:autoSpaceDN w:val="0"/>
              <w:adjustRightInd w:val="0"/>
              <w:spacing w:after="0" w:line="274" w:lineRule="exact"/>
              <w:ind w:right="58" w:hanging="10"/>
              <w:rPr>
                <w:rFonts w:ascii="Times New Roman" w:eastAsia="Times New Roman" w:hAnsi="Times New Roman" w:cs="Times New Roman"/>
                <w:color w:val="000000"/>
                <w:sz w:val="24"/>
                <w:szCs w:val="24"/>
                <w:lang w:eastAsia="hr-HR"/>
              </w:rPr>
            </w:pPr>
          </w:p>
          <w:p w:rsidR="00FC3F35" w:rsidRPr="00576C1D" w:rsidRDefault="002176D9" w:rsidP="002176D9">
            <w:pPr>
              <w:widowControl w:val="0"/>
              <w:shd w:val="clear" w:color="auto" w:fill="FFFFFF"/>
              <w:autoSpaceDE w:val="0"/>
              <w:autoSpaceDN w:val="0"/>
              <w:adjustRightInd w:val="0"/>
              <w:spacing w:after="0" w:line="274" w:lineRule="exact"/>
              <w:ind w:right="58" w:hanging="14"/>
              <w:rPr>
                <w:rFonts w:ascii="Times New Roman" w:eastAsia="Times New Roman" w:hAnsi="Times New Roman" w:cs="Times New Roman"/>
                <w:sz w:val="20"/>
                <w:szCs w:val="20"/>
                <w:lang w:eastAsia="hr-HR"/>
              </w:rPr>
            </w:pPr>
            <w:r w:rsidRPr="002176D9">
              <w:rPr>
                <w:rFonts w:ascii="Times New Roman" w:eastAsia="Times New Roman" w:hAnsi="Times New Roman" w:cs="Times New Roman"/>
                <w:color w:val="000000"/>
                <w:spacing w:val="-1"/>
                <w:sz w:val="24"/>
                <w:szCs w:val="24"/>
                <w:lang w:eastAsia="hr-HR"/>
              </w:rPr>
              <w:t>Aktivnosti pripreme projekata za sve razine osim za regionalne i lokalne ne smatra se prihvatljivom aktivnošću unutar ovog specifičnog cilja, budući da će se oni financirati pod TA unutar svakog specifičnog cilja.</w:t>
            </w:r>
          </w:p>
        </w:tc>
      </w:tr>
    </w:tbl>
    <w:p w:rsidR="00FC3F35" w:rsidRDefault="00FC3F35" w:rsidP="00FC3F35">
      <w:pPr>
        <w:widowControl w:val="0"/>
        <w:shd w:val="clear" w:color="auto" w:fill="FFFFFF"/>
        <w:autoSpaceDE w:val="0"/>
        <w:autoSpaceDN w:val="0"/>
        <w:adjustRightInd w:val="0"/>
        <w:spacing w:before="514" w:after="0" w:line="240" w:lineRule="auto"/>
        <w:ind w:left="538"/>
        <w:rPr>
          <w:rFonts w:ascii="Times New Roman" w:eastAsia="Times New Roman" w:hAnsi="Times New Roman" w:cs="Times New Roman"/>
          <w:b/>
          <w:bCs/>
          <w:color w:val="000000"/>
          <w:spacing w:val="-2"/>
          <w:sz w:val="24"/>
          <w:szCs w:val="24"/>
          <w:lang w:eastAsia="hr-HR"/>
        </w:rPr>
      </w:pPr>
      <w:r w:rsidRPr="00576C1D">
        <w:rPr>
          <w:rFonts w:ascii="Times New Roman" w:eastAsia="Times New Roman" w:hAnsi="Times New Roman" w:cs="Times New Roman"/>
          <w:b/>
          <w:bCs/>
          <w:color w:val="000000"/>
          <w:spacing w:val="-2"/>
          <w:sz w:val="24"/>
          <w:szCs w:val="24"/>
          <w:lang w:eastAsia="hr-HR"/>
        </w:rPr>
        <w:lastRenderedPageBreak/>
        <w:t>2.B.5 Pokazatelji rezultata</w:t>
      </w:r>
    </w:p>
    <w:p w:rsidR="00FC3F35" w:rsidRDefault="00FC3F35" w:rsidP="00FC3F35">
      <w:pPr>
        <w:widowControl w:val="0"/>
        <w:shd w:val="clear" w:color="auto" w:fill="FFFFFF"/>
        <w:autoSpaceDE w:val="0"/>
        <w:autoSpaceDN w:val="0"/>
        <w:adjustRightInd w:val="0"/>
        <w:spacing w:before="514" w:after="0" w:line="240" w:lineRule="auto"/>
        <w:ind w:left="542"/>
        <w:rPr>
          <w:rFonts w:ascii="Times New Roman" w:eastAsia="Times New Roman" w:hAnsi="Times New Roman" w:cs="Times New Roman"/>
          <w:color w:val="000000"/>
          <w:spacing w:val="-1"/>
          <w:sz w:val="24"/>
          <w:szCs w:val="24"/>
          <w:lang w:eastAsia="hr-HR"/>
        </w:rPr>
      </w:pPr>
      <w:r w:rsidRPr="00576C1D">
        <w:rPr>
          <w:rFonts w:ascii="Times New Roman" w:eastAsia="Times New Roman" w:hAnsi="Times New Roman" w:cs="Times New Roman"/>
          <w:b/>
          <w:bCs/>
          <w:color w:val="000000"/>
          <w:spacing w:val="-1"/>
          <w:sz w:val="24"/>
          <w:szCs w:val="24"/>
          <w:lang w:eastAsia="hr-HR"/>
        </w:rPr>
        <w:t xml:space="preserve">Tablica 12: Programski pokazatelji rezultata </w:t>
      </w:r>
      <w:r w:rsidRPr="00576C1D">
        <w:rPr>
          <w:rFonts w:ascii="Times New Roman" w:eastAsia="Times New Roman" w:hAnsi="Times New Roman" w:cs="Times New Roman"/>
          <w:color w:val="000000"/>
          <w:spacing w:val="-1"/>
          <w:sz w:val="24"/>
          <w:szCs w:val="24"/>
          <w:lang w:eastAsia="hr-HR"/>
        </w:rPr>
        <w:t>(po specifičnom cilju ) (za EFRR /ESF/kohezijski Fond)</w:t>
      </w:r>
    </w:p>
    <w:tbl>
      <w:tblPr>
        <w:tblW w:w="14601" w:type="dxa"/>
        <w:tblInd w:w="40" w:type="dxa"/>
        <w:tblLayout w:type="fixed"/>
        <w:tblCellMar>
          <w:left w:w="40" w:type="dxa"/>
          <w:right w:w="40" w:type="dxa"/>
        </w:tblCellMar>
        <w:tblLook w:val="0000" w:firstRow="0" w:lastRow="0" w:firstColumn="0" w:lastColumn="0" w:noHBand="0" w:noVBand="0"/>
      </w:tblPr>
      <w:tblGrid>
        <w:gridCol w:w="739"/>
        <w:gridCol w:w="2160"/>
        <w:gridCol w:w="1987"/>
        <w:gridCol w:w="1133"/>
        <w:gridCol w:w="1133"/>
        <w:gridCol w:w="1133"/>
        <w:gridCol w:w="854"/>
        <w:gridCol w:w="1133"/>
        <w:gridCol w:w="1133"/>
        <w:gridCol w:w="1133"/>
        <w:gridCol w:w="1277"/>
        <w:gridCol w:w="786"/>
      </w:tblGrid>
      <w:tr w:rsidR="00B43B00" w:rsidRPr="00FC3F35" w:rsidTr="009A3B5E">
        <w:trPr>
          <w:trHeight w:hRule="exact" w:val="442"/>
        </w:trPr>
        <w:tc>
          <w:tcPr>
            <w:tcW w:w="2899" w:type="dxa"/>
            <w:gridSpan w:val="2"/>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FC3F35">
              <w:rPr>
                <w:rFonts w:ascii="Times New Roman" w:eastAsia="Times New Roman" w:hAnsi="Times New Roman" w:cs="Times New Roman"/>
                <w:color w:val="000000"/>
                <w:spacing w:val="-4"/>
                <w:sz w:val="18"/>
                <w:szCs w:val="18"/>
                <w:lang w:eastAsia="hr-HR"/>
              </w:rPr>
              <w:t xml:space="preserve">Prioritetna os </w:t>
            </w:r>
          </w:p>
        </w:tc>
        <w:tc>
          <w:tcPr>
            <w:tcW w:w="11702" w:type="dxa"/>
            <w:gridSpan w:val="10"/>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FC3F35">
              <w:rPr>
                <w:rFonts w:ascii="Times New Roman" w:eastAsia="Times New Roman" w:hAnsi="Times New Roman" w:cs="Times New Roman"/>
                <w:color w:val="000000"/>
                <w:spacing w:val="-5"/>
                <w:sz w:val="18"/>
                <w:szCs w:val="18"/>
                <w:lang w:eastAsia="hr-HR"/>
              </w:rPr>
              <w:t>TA1 – Osigurana učinkovita koordinacija i iskorištavanje kohezijskih fondova u Hrvatskoj</w:t>
            </w:r>
          </w:p>
        </w:tc>
      </w:tr>
      <w:tr w:rsidR="00B43B00" w:rsidRPr="00FC3F35" w:rsidTr="009A3B5E">
        <w:trPr>
          <w:trHeight w:hRule="exact" w:val="442"/>
        </w:trPr>
        <w:tc>
          <w:tcPr>
            <w:tcW w:w="739" w:type="dxa"/>
            <w:tcBorders>
              <w:top w:val="single" w:sz="6" w:space="0" w:color="auto"/>
              <w:left w:val="single" w:sz="6" w:space="0" w:color="auto"/>
              <w:bottom w:val="nil"/>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right="168"/>
              <w:jc w:val="right"/>
              <w:rPr>
                <w:rFonts w:ascii="Arial" w:eastAsia="Times New Roman" w:hAnsi="Arial" w:cs="Arial"/>
                <w:sz w:val="20"/>
                <w:szCs w:val="20"/>
                <w:lang w:eastAsia="hr-HR"/>
              </w:rPr>
            </w:pPr>
            <w:r w:rsidRPr="00FC3F35">
              <w:rPr>
                <w:rFonts w:ascii="Times New Roman" w:eastAsia="Times New Roman" w:hAnsi="Times New Roman" w:cs="Times New Roman"/>
                <w:color w:val="000000"/>
                <w:sz w:val="16"/>
                <w:szCs w:val="16"/>
                <w:lang w:eastAsia="hr-HR"/>
              </w:rPr>
              <w:t>Oznaka</w:t>
            </w:r>
          </w:p>
        </w:tc>
        <w:tc>
          <w:tcPr>
            <w:tcW w:w="2160" w:type="dxa"/>
            <w:tcBorders>
              <w:top w:val="single" w:sz="6" w:space="0" w:color="auto"/>
              <w:left w:val="single" w:sz="6" w:space="0" w:color="auto"/>
              <w:bottom w:val="nil"/>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648"/>
              <w:rPr>
                <w:rFonts w:ascii="Arial" w:eastAsia="Times New Roman" w:hAnsi="Arial" w:cs="Arial"/>
                <w:sz w:val="20"/>
                <w:szCs w:val="20"/>
                <w:lang w:eastAsia="hr-HR"/>
              </w:rPr>
            </w:pPr>
            <w:r w:rsidRPr="00FC3F35">
              <w:rPr>
                <w:rFonts w:ascii="Times New Roman" w:eastAsia="Times New Roman" w:hAnsi="Times New Roman" w:cs="Times New Roman"/>
                <w:color w:val="000000"/>
                <w:spacing w:val="-3"/>
                <w:sz w:val="18"/>
                <w:szCs w:val="18"/>
                <w:lang w:eastAsia="hr-HR"/>
              </w:rPr>
              <w:t xml:space="preserve">Pokazatelj </w:t>
            </w:r>
          </w:p>
        </w:tc>
        <w:tc>
          <w:tcPr>
            <w:tcW w:w="1987" w:type="dxa"/>
            <w:tcBorders>
              <w:top w:val="single" w:sz="6" w:space="0" w:color="auto"/>
              <w:left w:val="single" w:sz="6" w:space="0" w:color="auto"/>
              <w:bottom w:val="nil"/>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250"/>
              <w:rPr>
                <w:rFonts w:ascii="Arial" w:eastAsia="Times New Roman" w:hAnsi="Arial" w:cs="Arial"/>
                <w:sz w:val="20"/>
                <w:szCs w:val="20"/>
                <w:lang w:eastAsia="hr-HR"/>
              </w:rPr>
            </w:pPr>
            <w:r w:rsidRPr="00FC3F35">
              <w:rPr>
                <w:rFonts w:ascii="Times New Roman" w:eastAsia="Times New Roman" w:hAnsi="Times New Roman" w:cs="Times New Roman"/>
                <w:color w:val="000000"/>
                <w:spacing w:val="-4"/>
                <w:sz w:val="18"/>
                <w:szCs w:val="18"/>
                <w:lang w:eastAsia="hr-HR"/>
              </w:rPr>
              <w:t xml:space="preserve">Mjerna jedinica </w:t>
            </w:r>
          </w:p>
        </w:tc>
        <w:tc>
          <w:tcPr>
            <w:tcW w:w="3399" w:type="dxa"/>
            <w:gridSpan w:val="3"/>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1099"/>
              <w:rPr>
                <w:rFonts w:ascii="Arial" w:eastAsia="Times New Roman" w:hAnsi="Arial" w:cs="Arial"/>
                <w:sz w:val="20"/>
                <w:szCs w:val="20"/>
                <w:lang w:eastAsia="hr-HR"/>
              </w:rPr>
            </w:pPr>
            <w:r w:rsidRPr="00FC3F35">
              <w:rPr>
                <w:rFonts w:ascii="Times New Roman" w:eastAsia="Times New Roman" w:hAnsi="Times New Roman" w:cs="Times New Roman"/>
                <w:color w:val="000000"/>
                <w:spacing w:val="-7"/>
                <w:sz w:val="18"/>
                <w:szCs w:val="18"/>
                <w:lang w:eastAsia="hr-HR"/>
              </w:rPr>
              <w:t xml:space="preserve">Početna vrijednost </w:t>
            </w:r>
          </w:p>
        </w:tc>
        <w:tc>
          <w:tcPr>
            <w:tcW w:w="854" w:type="dxa"/>
            <w:tcBorders>
              <w:top w:val="single" w:sz="6" w:space="0" w:color="auto"/>
              <w:left w:val="single" w:sz="6" w:space="0" w:color="auto"/>
              <w:bottom w:val="nil"/>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182" w:lineRule="exact"/>
              <w:ind w:left="29" w:right="34"/>
              <w:jc w:val="center"/>
              <w:rPr>
                <w:rFonts w:ascii="Arial" w:eastAsia="Times New Roman" w:hAnsi="Arial" w:cs="Arial"/>
                <w:sz w:val="20"/>
                <w:szCs w:val="20"/>
                <w:lang w:eastAsia="hr-HR"/>
              </w:rPr>
            </w:pPr>
            <w:r w:rsidRPr="00FC3F35">
              <w:rPr>
                <w:rFonts w:ascii="Times New Roman" w:eastAsia="Times New Roman" w:hAnsi="Times New Roman" w:cs="Times New Roman"/>
                <w:color w:val="000000"/>
                <w:spacing w:val="-8"/>
                <w:sz w:val="18"/>
                <w:szCs w:val="18"/>
                <w:lang w:eastAsia="hr-HR"/>
              </w:rPr>
              <w:t xml:space="preserve">Početna godina </w:t>
            </w:r>
          </w:p>
        </w:tc>
        <w:tc>
          <w:tcPr>
            <w:tcW w:w="3399" w:type="dxa"/>
            <w:gridSpan w:val="3"/>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917"/>
              <w:rPr>
                <w:rFonts w:ascii="Arial" w:eastAsia="Times New Roman" w:hAnsi="Arial" w:cs="Arial"/>
                <w:sz w:val="20"/>
                <w:szCs w:val="20"/>
                <w:lang w:eastAsia="hr-HR"/>
              </w:rPr>
            </w:pPr>
            <w:r w:rsidRPr="00FC3F35">
              <w:rPr>
                <w:rFonts w:ascii="Times New Roman" w:eastAsia="Times New Roman" w:hAnsi="Times New Roman" w:cs="Times New Roman"/>
                <w:color w:val="000000"/>
                <w:spacing w:val="-7"/>
                <w:sz w:val="18"/>
                <w:szCs w:val="18"/>
                <w:lang w:eastAsia="hr-HR"/>
              </w:rPr>
              <w:t xml:space="preserve">Ciljana vrijednost (2023.) </w:t>
            </w:r>
          </w:p>
        </w:tc>
        <w:tc>
          <w:tcPr>
            <w:tcW w:w="1277" w:type="dxa"/>
            <w:tcBorders>
              <w:top w:val="single" w:sz="6" w:space="0" w:color="auto"/>
              <w:left w:val="single" w:sz="6" w:space="0" w:color="auto"/>
              <w:bottom w:val="nil"/>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38"/>
              <w:rPr>
                <w:rFonts w:ascii="Arial" w:eastAsia="Times New Roman" w:hAnsi="Arial" w:cs="Arial"/>
                <w:sz w:val="20"/>
                <w:szCs w:val="20"/>
                <w:lang w:eastAsia="hr-HR"/>
              </w:rPr>
            </w:pPr>
            <w:r w:rsidRPr="00FC3F35">
              <w:rPr>
                <w:rFonts w:ascii="Times New Roman" w:eastAsia="Times New Roman" w:hAnsi="Times New Roman" w:cs="Times New Roman"/>
                <w:color w:val="000000"/>
                <w:spacing w:val="-6"/>
                <w:sz w:val="18"/>
                <w:szCs w:val="18"/>
                <w:lang w:eastAsia="hr-HR"/>
              </w:rPr>
              <w:t xml:space="preserve">Izvor podataka </w:t>
            </w:r>
          </w:p>
        </w:tc>
        <w:tc>
          <w:tcPr>
            <w:tcW w:w="786" w:type="dxa"/>
            <w:tcBorders>
              <w:top w:val="single" w:sz="6" w:space="0" w:color="auto"/>
              <w:left w:val="single" w:sz="6" w:space="0" w:color="auto"/>
              <w:bottom w:val="nil"/>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182" w:lineRule="exact"/>
              <w:ind w:left="96" w:right="96"/>
              <w:rPr>
                <w:rFonts w:ascii="Arial" w:eastAsia="Times New Roman" w:hAnsi="Arial" w:cs="Arial"/>
                <w:sz w:val="20"/>
                <w:szCs w:val="20"/>
                <w:lang w:eastAsia="hr-HR"/>
              </w:rPr>
            </w:pPr>
            <w:r w:rsidRPr="00FC3F35">
              <w:rPr>
                <w:rFonts w:ascii="Times New Roman" w:eastAsia="Times New Roman" w:hAnsi="Times New Roman" w:cs="Times New Roman"/>
                <w:color w:val="000000"/>
                <w:spacing w:val="-5"/>
                <w:sz w:val="18"/>
                <w:szCs w:val="18"/>
                <w:lang w:eastAsia="hr-HR"/>
              </w:rPr>
              <w:t xml:space="preserve">Učestalost izvješćivanja </w:t>
            </w:r>
          </w:p>
        </w:tc>
      </w:tr>
      <w:tr w:rsidR="00B43B00" w:rsidRPr="00FC3F35" w:rsidTr="009A3B5E">
        <w:trPr>
          <w:trHeight w:hRule="exact" w:val="432"/>
        </w:trPr>
        <w:tc>
          <w:tcPr>
            <w:tcW w:w="739" w:type="dxa"/>
            <w:tcBorders>
              <w:top w:val="nil"/>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autoSpaceDE w:val="0"/>
              <w:autoSpaceDN w:val="0"/>
              <w:adjustRightInd w:val="0"/>
              <w:spacing w:after="0" w:line="240" w:lineRule="auto"/>
              <w:rPr>
                <w:rFonts w:ascii="Arial" w:eastAsia="Times New Roman" w:hAnsi="Arial" w:cs="Arial"/>
                <w:sz w:val="20"/>
                <w:szCs w:val="20"/>
                <w:lang w:eastAsia="hr-HR"/>
              </w:rPr>
            </w:pPr>
          </w:p>
          <w:p w:rsidR="00B43B00" w:rsidRPr="00FC3F35" w:rsidRDefault="00B43B00" w:rsidP="00B43B00">
            <w:pPr>
              <w:widowControl w:val="0"/>
              <w:autoSpaceDE w:val="0"/>
              <w:autoSpaceDN w:val="0"/>
              <w:adjustRightInd w:val="0"/>
              <w:spacing w:after="0" w:line="240" w:lineRule="auto"/>
              <w:rPr>
                <w:rFonts w:ascii="Arial" w:eastAsia="Times New Roman" w:hAnsi="Arial" w:cs="Arial"/>
                <w:sz w:val="20"/>
                <w:szCs w:val="20"/>
                <w:lang w:eastAsia="hr-HR"/>
              </w:rPr>
            </w:pPr>
          </w:p>
        </w:tc>
        <w:tc>
          <w:tcPr>
            <w:tcW w:w="2160" w:type="dxa"/>
            <w:tcBorders>
              <w:top w:val="nil"/>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autoSpaceDE w:val="0"/>
              <w:autoSpaceDN w:val="0"/>
              <w:adjustRightInd w:val="0"/>
              <w:spacing w:after="0" w:line="240" w:lineRule="auto"/>
              <w:rPr>
                <w:rFonts w:ascii="Arial" w:eastAsia="Times New Roman" w:hAnsi="Arial" w:cs="Arial"/>
                <w:sz w:val="20"/>
                <w:szCs w:val="20"/>
                <w:lang w:eastAsia="hr-HR"/>
              </w:rPr>
            </w:pPr>
          </w:p>
          <w:p w:rsidR="00B43B00" w:rsidRPr="00FC3F35" w:rsidRDefault="00B43B00" w:rsidP="00B43B00">
            <w:pPr>
              <w:widowControl w:val="0"/>
              <w:autoSpaceDE w:val="0"/>
              <w:autoSpaceDN w:val="0"/>
              <w:adjustRightInd w:val="0"/>
              <w:spacing w:after="0" w:line="240" w:lineRule="auto"/>
              <w:rPr>
                <w:rFonts w:ascii="Arial" w:eastAsia="Times New Roman" w:hAnsi="Arial" w:cs="Arial"/>
                <w:sz w:val="20"/>
                <w:szCs w:val="20"/>
                <w:lang w:eastAsia="hr-HR"/>
              </w:rPr>
            </w:pPr>
          </w:p>
        </w:tc>
        <w:tc>
          <w:tcPr>
            <w:tcW w:w="1987" w:type="dxa"/>
            <w:tcBorders>
              <w:top w:val="nil"/>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autoSpaceDE w:val="0"/>
              <w:autoSpaceDN w:val="0"/>
              <w:adjustRightInd w:val="0"/>
              <w:spacing w:after="0" w:line="240" w:lineRule="auto"/>
              <w:rPr>
                <w:rFonts w:ascii="Arial" w:eastAsia="Times New Roman" w:hAnsi="Arial" w:cs="Arial"/>
                <w:sz w:val="20"/>
                <w:szCs w:val="20"/>
                <w:lang w:eastAsia="hr-HR"/>
              </w:rPr>
            </w:pPr>
          </w:p>
          <w:p w:rsidR="00B43B00" w:rsidRPr="00FC3F35" w:rsidRDefault="00B43B00" w:rsidP="00B43B00">
            <w:pPr>
              <w:widowControl w:val="0"/>
              <w:autoSpaceDE w:val="0"/>
              <w:autoSpaceDN w:val="0"/>
              <w:adjustRightInd w:val="0"/>
              <w:spacing w:after="0" w:line="240" w:lineRule="auto"/>
              <w:rPr>
                <w:rFonts w:ascii="Arial" w:eastAsia="Times New Roman" w:hAnsi="Arial" w:cs="Arial"/>
                <w:sz w:val="20"/>
                <w:szCs w:val="20"/>
                <w:lang w:eastAsia="hr-HR"/>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FC3F35">
              <w:rPr>
                <w:rFonts w:ascii="Times New Roman" w:eastAsia="Times New Roman" w:hAnsi="Times New Roman" w:cs="Times New Roman"/>
                <w:color w:val="000000"/>
                <w:sz w:val="16"/>
                <w:szCs w:val="16"/>
                <w:lang w:eastAsia="hr-HR"/>
              </w:rPr>
              <w:t>M</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370"/>
              <w:rPr>
                <w:rFonts w:ascii="Arial" w:eastAsia="Times New Roman" w:hAnsi="Arial" w:cs="Arial"/>
                <w:sz w:val="20"/>
                <w:szCs w:val="20"/>
                <w:lang w:eastAsia="hr-HR"/>
              </w:rPr>
            </w:pPr>
            <w:r w:rsidRPr="00FC3F35">
              <w:rPr>
                <w:rFonts w:ascii="Times New Roman" w:eastAsia="Times New Roman" w:hAnsi="Times New Roman" w:cs="Times New Roman"/>
                <w:color w:val="000000"/>
                <w:sz w:val="16"/>
                <w:szCs w:val="16"/>
                <w:lang w:eastAsia="hr-HR"/>
              </w:rPr>
              <w:t>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403"/>
              <w:rPr>
                <w:rFonts w:ascii="Arial" w:eastAsia="Times New Roman" w:hAnsi="Arial" w:cs="Arial"/>
                <w:sz w:val="20"/>
                <w:szCs w:val="20"/>
                <w:lang w:eastAsia="hr-HR"/>
              </w:rPr>
            </w:pPr>
            <w:r w:rsidRPr="00FC3F35">
              <w:rPr>
                <w:rFonts w:ascii="Times New Roman" w:eastAsia="Times New Roman" w:hAnsi="Times New Roman" w:cs="Times New Roman"/>
                <w:color w:val="000000"/>
                <w:sz w:val="16"/>
                <w:szCs w:val="16"/>
                <w:lang w:eastAsia="hr-HR"/>
              </w:rPr>
              <w:t>U</w:t>
            </w:r>
          </w:p>
        </w:tc>
        <w:tc>
          <w:tcPr>
            <w:tcW w:w="854" w:type="dxa"/>
            <w:tcBorders>
              <w:top w:val="nil"/>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403"/>
              <w:rPr>
                <w:rFonts w:ascii="Arial" w:eastAsia="Times New Roman" w:hAnsi="Arial" w:cs="Arial"/>
                <w:sz w:val="20"/>
                <w:szCs w:val="20"/>
                <w:lang w:eastAsia="hr-HR"/>
              </w:rPr>
            </w:pPr>
          </w:p>
          <w:p w:rsidR="00B43B00" w:rsidRPr="00FC3F35" w:rsidRDefault="00B43B00" w:rsidP="00B43B00">
            <w:pPr>
              <w:widowControl w:val="0"/>
              <w:shd w:val="clear" w:color="auto" w:fill="FFFFFF"/>
              <w:autoSpaceDE w:val="0"/>
              <w:autoSpaceDN w:val="0"/>
              <w:adjustRightInd w:val="0"/>
              <w:spacing w:after="0" w:line="240" w:lineRule="auto"/>
              <w:ind w:left="403"/>
              <w:rPr>
                <w:rFonts w:ascii="Arial" w:eastAsia="Times New Roman" w:hAnsi="Arial" w:cs="Arial"/>
                <w:sz w:val="20"/>
                <w:szCs w:val="20"/>
                <w:lang w:eastAsia="hr-HR"/>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FC3F35">
              <w:rPr>
                <w:rFonts w:ascii="Times New Roman" w:eastAsia="Times New Roman" w:hAnsi="Times New Roman" w:cs="Times New Roman"/>
                <w:color w:val="000000"/>
                <w:sz w:val="16"/>
                <w:szCs w:val="16"/>
                <w:lang w:eastAsia="hr-HR"/>
              </w:rPr>
              <w:t>M</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370"/>
              <w:rPr>
                <w:rFonts w:ascii="Arial" w:eastAsia="Times New Roman" w:hAnsi="Arial" w:cs="Arial"/>
                <w:sz w:val="20"/>
                <w:szCs w:val="20"/>
                <w:lang w:eastAsia="hr-HR"/>
              </w:rPr>
            </w:pPr>
            <w:r w:rsidRPr="00FC3F35">
              <w:rPr>
                <w:rFonts w:ascii="Times New Roman" w:eastAsia="Times New Roman" w:hAnsi="Times New Roman" w:cs="Times New Roman"/>
                <w:color w:val="000000"/>
                <w:sz w:val="16"/>
                <w:szCs w:val="16"/>
                <w:lang w:eastAsia="hr-HR"/>
              </w:rPr>
              <w:t>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398"/>
              <w:rPr>
                <w:rFonts w:ascii="Arial" w:eastAsia="Times New Roman" w:hAnsi="Arial" w:cs="Arial"/>
                <w:sz w:val="20"/>
                <w:szCs w:val="20"/>
                <w:lang w:eastAsia="hr-HR"/>
              </w:rPr>
            </w:pPr>
            <w:r w:rsidRPr="00FC3F35">
              <w:rPr>
                <w:rFonts w:ascii="Times New Roman" w:eastAsia="Times New Roman" w:hAnsi="Times New Roman" w:cs="Times New Roman"/>
                <w:color w:val="000000"/>
                <w:sz w:val="16"/>
                <w:szCs w:val="16"/>
                <w:lang w:eastAsia="hr-HR"/>
              </w:rPr>
              <w:t>U</w:t>
            </w:r>
          </w:p>
        </w:tc>
        <w:tc>
          <w:tcPr>
            <w:tcW w:w="1277" w:type="dxa"/>
            <w:tcBorders>
              <w:top w:val="nil"/>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398"/>
              <w:rPr>
                <w:rFonts w:ascii="Arial" w:eastAsia="Times New Roman" w:hAnsi="Arial" w:cs="Arial"/>
                <w:sz w:val="20"/>
                <w:szCs w:val="20"/>
                <w:lang w:eastAsia="hr-HR"/>
              </w:rPr>
            </w:pPr>
          </w:p>
          <w:p w:rsidR="00B43B00" w:rsidRPr="00FC3F35" w:rsidRDefault="00B43B00" w:rsidP="00B43B00">
            <w:pPr>
              <w:widowControl w:val="0"/>
              <w:shd w:val="clear" w:color="auto" w:fill="FFFFFF"/>
              <w:autoSpaceDE w:val="0"/>
              <w:autoSpaceDN w:val="0"/>
              <w:adjustRightInd w:val="0"/>
              <w:spacing w:after="0" w:line="240" w:lineRule="auto"/>
              <w:ind w:left="398"/>
              <w:rPr>
                <w:rFonts w:ascii="Arial" w:eastAsia="Times New Roman" w:hAnsi="Arial" w:cs="Arial"/>
                <w:sz w:val="20"/>
                <w:szCs w:val="20"/>
                <w:lang w:eastAsia="hr-HR"/>
              </w:rPr>
            </w:pPr>
          </w:p>
        </w:tc>
        <w:tc>
          <w:tcPr>
            <w:tcW w:w="786" w:type="dxa"/>
            <w:tcBorders>
              <w:top w:val="nil"/>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398"/>
              <w:rPr>
                <w:rFonts w:ascii="Arial" w:eastAsia="Times New Roman" w:hAnsi="Arial" w:cs="Arial"/>
                <w:sz w:val="20"/>
                <w:szCs w:val="20"/>
                <w:lang w:eastAsia="hr-HR"/>
              </w:rPr>
            </w:pPr>
          </w:p>
          <w:p w:rsidR="00B43B00" w:rsidRPr="00FC3F35" w:rsidRDefault="00B43B00" w:rsidP="00B43B00">
            <w:pPr>
              <w:widowControl w:val="0"/>
              <w:shd w:val="clear" w:color="auto" w:fill="FFFFFF"/>
              <w:autoSpaceDE w:val="0"/>
              <w:autoSpaceDN w:val="0"/>
              <w:adjustRightInd w:val="0"/>
              <w:spacing w:after="0" w:line="240" w:lineRule="auto"/>
              <w:ind w:left="398"/>
              <w:rPr>
                <w:rFonts w:ascii="Arial" w:eastAsia="Times New Roman" w:hAnsi="Arial" w:cs="Arial"/>
                <w:sz w:val="20"/>
                <w:szCs w:val="20"/>
                <w:lang w:eastAsia="hr-HR"/>
              </w:rPr>
            </w:pPr>
          </w:p>
        </w:tc>
      </w:tr>
      <w:tr w:rsidR="00B43B00" w:rsidRPr="00FC3F35" w:rsidTr="009A3B5E">
        <w:trPr>
          <w:trHeight w:hRule="exact" w:val="53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right="149"/>
              <w:jc w:val="right"/>
              <w:rPr>
                <w:rFonts w:ascii="Arial" w:eastAsia="Times New Roman" w:hAnsi="Arial" w:cs="Arial"/>
                <w:sz w:val="20"/>
                <w:szCs w:val="20"/>
                <w:lang w:eastAsia="hr-HR"/>
              </w:rPr>
            </w:pPr>
            <w:r w:rsidRPr="00FC3F35">
              <w:rPr>
                <w:rFonts w:ascii="Times New Roman" w:eastAsia="Times New Roman" w:hAnsi="Times New Roman" w:cs="Times New Roman"/>
                <w:color w:val="000000"/>
                <w:spacing w:val="7"/>
                <w:sz w:val="12"/>
                <w:szCs w:val="12"/>
                <w:lang w:eastAsia="hr-HR"/>
              </w:rPr>
              <w:t>TA1.l</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FC3F35">
              <w:rPr>
                <w:rFonts w:ascii="Times New Roman" w:eastAsia="Times New Roman" w:hAnsi="Times New Roman" w:cs="Times New Roman"/>
                <w:color w:val="000000"/>
                <w:spacing w:val="-1"/>
                <w:sz w:val="12"/>
                <w:szCs w:val="12"/>
                <w:lang w:eastAsia="hr-HR"/>
              </w:rPr>
              <w:t>Ugovoren fond</w:t>
            </w:r>
            <w:r w:rsidR="002176D9">
              <w:rPr>
                <w:rFonts w:ascii="Times New Roman" w:eastAsia="Times New Roman" w:hAnsi="Times New Roman" w:cs="Times New Roman"/>
                <w:color w:val="000000"/>
                <w:spacing w:val="-1"/>
                <w:sz w:val="12"/>
                <w:szCs w:val="12"/>
                <w:lang w:eastAsia="hr-HR"/>
              </w:rPr>
              <w:t>ova</w:t>
            </w:r>
            <w:r w:rsidRPr="00FC3F35">
              <w:rPr>
                <w:rFonts w:ascii="Times New Roman" w:eastAsia="Times New Roman" w:hAnsi="Times New Roman" w:cs="Times New Roman"/>
                <w:color w:val="000000"/>
                <w:spacing w:val="-1"/>
                <w:sz w:val="12"/>
                <w:szCs w:val="12"/>
                <w:lang w:eastAsia="hr-HR"/>
              </w:rPr>
              <w:t xml:space="preserve"> OPKK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FC3F35">
              <w:rPr>
                <w:rFonts w:ascii="Times New Roman" w:eastAsia="Times New Roman" w:hAnsi="Times New Roman" w:cs="Times New Roman"/>
                <w:color w:val="000000"/>
                <w:sz w:val="16"/>
                <w:szCs w:val="16"/>
                <w:lang w:eastAsia="hr-HR"/>
              </w:rP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653"/>
              <w:rPr>
                <w:rFonts w:ascii="Arial" w:eastAsia="Times New Roman" w:hAnsi="Arial" w:cs="Arial"/>
                <w:sz w:val="20"/>
                <w:szCs w:val="20"/>
                <w:lang w:eastAsia="hr-HR"/>
              </w:rPr>
            </w:pPr>
            <w:r w:rsidRPr="00FC3F35">
              <w:rPr>
                <w:rFonts w:ascii="Times New Roman" w:eastAsia="Times New Roman" w:hAnsi="Times New Roman" w:cs="Times New Roman"/>
                <w:color w:val="000000"/>
                <w:spacing w:val="-5"/>
                <w:sz w:val="12"/>
                <w:szCs w:val="12"/>
                <w:lang w:eastAsia="hr-HR"/>
              </w:rPr>
              <w:t>14,00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FC3F35">
              <w:rPr>
                <w:rFonts w:ascii="Times New Roman" w:eastAsia="Times New Roman" w:hAnsi="Times New Roman" w:cs="Times New Roman"/>
                <w:color w:val="000000"/>
                <w:spacing w:val="-3"/>
                <w:sz w:val="12"/>
                <w:szCs w:val="12"/>
                <w:lang w:eastAsia="hr-HR"/>
              </w:rPr>
              <w:t>2013.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ind w:left="643"/>
              <w:rPr>
                <w:rFonts w:ascii="Arial" w:eastAsia="Times New Roman" w:hAnsi="Arial" w:cs="Arial"/>
                <w:sz w:val="20"/>
                <w:szCs w:val="20"/>
                <w:lang w:eastAsia="hr-HR"/>
              </w:rPr>
            </w:pPr>
            <w:r w:rsidRPr="00FC3F35">
              <w:rPr>
                <w:rFonts w:ascii="Times New Roman" w:eastAsia="Times New Roman" w:hAnsi="Times New Roman" w:cs="Times New Roman"/>
                <w:color w:val="000000"/>
                <w:spacing w:val="-3"/>
                <w:sz w:val="12"/>
                <w:szCs w:val="12"/>
                <w:lang w:eastAsia="hr-HR"/>
              </w:rPr>
              <w:t>90,00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2176D9"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Pr>
                <w:rFonts w:ascii="Times New Roman" w:eastAsia="Times New Roman" w:hAnsi="Times New Roman" w:cs="Times New Roman"/>
                <w:color w:val="000000"/>
                <w:sz w:val="12"/>
                <w:szCs w:val="12"/>
                <w:lang w:eastAsia="hr-HR"/>
              </w:rPr>
              <w:t>MIS</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B43B00" w:rsidRPr="00FC3F35" w:rsidRDefault="00B43B00" w:rsidP="00B43B00">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FC3F35">
              <w:rPr>
                <w:rFonts w:ascii="Times New Roman" w:eastAsia="Times New Roman" w:hAnsi="Times New Roman" w:cs="Times New Roman"/>
                <w:color w:val="000000"/>
                <w:spacing w:val="-1"/>
                <w:sz w:val="12"/>
                <w:szCs w:val="12"/>
                <w:lang w:eastAsia="hr-HR"/>
              </w:rPr>
              <w:t xml:space="preserve">Godišnje </w:t>
            </w:r>
          </w:p>
        </w:tc>
      </w:tr>
    </w:tbl>
    <w:p w:rsidR="00FC3F35" w:rsidRPr="00576C1D" w:rsidRDefault="00FC3F35" w:rsidP="00FC3F35">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p w:rsidR="00FC3F35" w:rsidRPr="00576C1D" w:rsidRDefault="00FC3F35" w:rsidP="00FC3F35">
      <w:pPr>
        <w:widowControl w:val="0"/>
        <w:autoSpaceDE w:val="0"/>
        <w:autoSpaceDN w:val="0"/>
        <w:adjustRightInd w:val="0"/>
        <w:spacing w:after="566" w:line="1" w:lineRule="exact"/>
        <w:rPr>
          <w:rFonts w:ascii="Times New Roman" w:eastAsia="Times New Roman" w:hAnsi="Times New Roman" w:cs="Times New Roman"/>
          <w:sz w:val="2"/>
          <w:szCs w:val="2"/>
          <w:lang w:eastAsia="hr-HR"/>
        </w:rPr>
      </w:pPr>
    </w:p>
    <w:tbl>
      <w:tblPr>
        <w:tblW w:w="14601" w:type="dxa"/>
        <w:tblInd w:w="40" w:type="dxa"/>
        <w:tblLayout w:type="fixed"/>
        <w:tblCellMar>
          <w:left w:w="40" w:type="dxa"/>
          <w:right w:w="40" w:type="dxa"/>
        </w:tblCellMar>
        <w:tblLook w:val="0000" w:firstRow="0" w:lastRow="0" w:firstColumn="0" w:lastColumn="0" w:noHBand="0" w:noVBand="0"/>
      </w:tblPr>
      <w:tblGrid>
        <w:gridCol w:w="586"/>
        <w:gridCol w:w="394"/>
        <w:gridCol w:w="3859"/>
        <w:gridCol w:w="1306"/>
        <w:gridCol w:w="6413"/>
        <w:gridCol w:w="1075"/>
        <w:gridCol w:w="403"/>
        <w:gridCol w:w="565"/>
      </w:tblGrid>
      <w:tr w:rsidR="00FC3F35" w:rsidRPr="00576C1D" w:rsidTr="009A3B5E">
        <w:trPr>
          <w:trHeight w:hRule="exact" w:val="346"/>
        </w:trPr>
        <w:tc>
          <w:tcPr>
            <w:tcW w:w="58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24"/>
                <w:szCs w:val="24"/>
                <w:lang w:eastAsia="hr-HR"/>
              </w:rPr>
              <w:t>2.B.4</w:t>
            </w:r>
          </w:p>
        </w:tc>
        <w:tc>
          <w:tcPr>
            <w:tcW w:w="4253" w:type="dxa"/>
            <w:gridSpan w:val="2"/>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t>Specifični ciljevi i očekivani rezultati</w:t>
            </w:r>
          </w:p>
        </w:tc>
        <w:tc>
          <w:tcPr>
            <w:tcW w:w="1306"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41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075"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03"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65" w:type="dxa"/>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9A3B5E">
        <w:trPr>
          <w:trHeight w:hRule="exact" w:val="432"/>
        </w:trPr>
        <w:tc>
          <w:tcPr>
            <w:tcW w:w="58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39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 xml:space="preserve">Specifični cilj </w:t>
            </w:r>
          </w:p>
        </w:tc>
        <w:tc>
          <w:tcPr>
            <w:tcW w:w="130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6413"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445"/>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 xml:space="preserve">Rezultati koje država članica želi ostvariti uz podršku Europske unije </w:t>
            </w:r>
          </w:p>
        </w:tc>
        <w:tc>
          <w:tcPr>
            <w:tcW w:w="1075"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03" w:type="dxa"/>
            <w:tcBorders>
              <w:top w:val="single" w:sz="6" w:space="0" w:color="auto"/>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565"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2176D9">
        <w:trPr>
          <w:trHeight w:hRule="exact" w:val="2775"/>
        </w:trPr>
        <w:tc>
          <w:tcPr>
            <w:tcW w:w="586" w:type="dxa"/>
            <w:tcBorders>
              <w:top w:val="single" w:sz="6" w:space="0" w:color="auto"/>
              <w:left w:val="single" w:sz="6" w:space="0" w:color="auto"/>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TA2</w:t>
            </w:r>
          </w:p>
        </w:tc>
        <w:tc>
          <w:tcPr>
            <w:tcW w:w="394" w:type="dxa"/>
            <w:tcBorders>
              <w:top w:val="single" w:sz="6" w:space="0" w:color="auto"/>
              <w:left w:val="nil"/>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Potencijalni korisnici i ja</w:t>
            </w:r>
            <w:r w:rsidR="002176D9">
              <w:rPr>
                <w:rFonts w:ascii="Times New Roman" w:eastAsia="Times New Roman" w:hAnsi="Times New Roman" w:cs="Times New Roman"/>
                <w:color w:val="000000"/>
                <w:spacing w:val="-1"/>
                <w:sz w:val="16"/>
                <w:szCs w:val="16"/>
                <w:lang w:eastAsia="hr-HR"/>
              </w:rPr>
              <w:t>vnost učinkovito su informirani</w:t>
            </w:r>
            <w:r w:rsidR="002176D9" w:rsidRPr="002176D9">
              <w:rPr>
                <w:rFonts w:ascii="Times New Roman" w:eastAsia="Times New Roman" w:hAnsi="Times New Roman" w:cs="Times New Roman"/>
                <w:color w:val="000000"/>
                <w:spacing w:val="-1"/>
                <w:sz w:val="16"/>
                <w:szCs w:val="16"/>
                <w:lang w:eastAsia="hr-HR"/>
              </w:rPr>
              <w:t xml:space="preserve"> o provedbi ESI fondova</w:t>
            </w:r>
          </w:p>
        </w:tc>
        <w:tc>
          <w:tcPr>
            <w:tcW w:w="9762" w:type="dxa"/>
            <w:gridSpan w:val="5"/>
            <w:tcBorders>
              <w:top w:val="single" w:sz="6" w:space="0" w:color="auto"/>
              <w:left w:val="single" w:sz="6" w:space="0" w:color="auto"/>
              <w:bottom w:val="single" w:sz="6" w:space="0" w:color="auto"/>
              <w:right w:val="single" w:sz="6" w:space="0" w:color="auto"/>
            </w:tcBorders>
            <w:shd w:val="clear" w:color="auto" w:fill="FFFFFF"/>
          </w:tcPr>
          <w:p w:rsidR="002176D9" w:rsidRDefault="002176D9" w:rsidP="002176D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r w:rsidRPr="002176D9">
              <w:rPr>
                <w:rFonts w:ascii="Times New Roman" w:eastAsia="Times New Roman" w:hAnsi="Times New Roman" w:cs="Times New Roman"/>
                <w:color w:val="000000"/>
                <w:spacing w:val="-3"/>
                <w:sz w:val="24"/>
                <w:szCs w:val="24"/>
                <w:lang w:eastAsia="hr-HR"/>
              </w:rPr>
              <w:t xml:space="preserve">Informiranje, </w:t>
            </w:r>
            <w:r w:rsidRPr="002176D9">
              <w:rPr>
                <w:rFonts w:ascii="Times New Roman" w:eastAsia="Times New Roman" w:hAnsi="Times New Roman" w:cs="Times New Roman"/>
                <w:color w:val="000000"/>
                <w:spacing w:val="-1"/>
                <w:sz w:val="24"/>
                <w:szCs w:val="24"/>
                <w:lang w:eastAsia="hr-HR"/>
              </w:rPr>
              <w:t xml:space="preserve">komunikacija i vidljivost sastavni su dio uspješne </w:t>
            </w:r>
            <w:r w:rsidRPr="002176D9">
              <w:rPr>
                <w:rFonts w:ascii="Times New Roman" w:eastAsia="Times New Roman" w:hAnsi="Times New Roman" w:cs="Times New Roman"/>
                <w:color w:val="000000"/>
                <w:spacing w:val="-2"/>
                <w:sz w:val="24"/>
                <w:szCs w:val="24"/>
                <w:lang w:eastAsia="hr-HR"/>
              </w:rPr>
              <w:t xml:space="preserve">apsorpcijei učinkovitog korištenja </w:t>
            </w:r>
            <w:r w:rsidRPr="002176D9">
              <w:rPr>
                <w:rFonts w:ascii="Times New Roman" w:eastAsia="Times New Roman" w:hAnsi="Times New Roman" w:cs="Times New Roman"/>
                <w:color w:val="000000"/>
                <w:spacing w:val="-1"/>
                <w:sz w:val="24"/>
                <w:szCs w:val="24"/>
                <w:lang w:eastAsia="hr-HR"/>
              </w:rPr>
              <w:t>ESI fondova budući da ovisi u velikoj mjeri razumije li određenu temu široka javnost.</w:t>
            </w:r>
          </w:p>
          <w:p w:rsidR="002176D9" w:rsidRDefault="002176D9" w:rsidP="002176D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p>
          <w:p w:rsidR="002176D9" w:rsidRPr="002176D9" w:rsidRDefault="002176D9" w:rsidP="002176D9">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2176D9">
        <w:trPr>
          <w:trHeight w:hRule="exact" w:val="436"/>
        </w:trPr>
        <w:tc>
          <w:tcPr>
            <w:tcW w:w="9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9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2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 xml:space="preserve">Specifični cilj </w:t>
            </w:r>
          </w:p>
        </w:tc>
        <w:tc>
          <w:tcPr>
            <w:tcW w:w="9762" w:type="dxa"/>
            <w:gridSpan w:val="5"/>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2176D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Rezultati koje država članica želi ostvariti uz podršku Europske unije</w:t>
            </w:r>
          </w:p>
        </w:tc>
      </w:tr>
      <w:tr w:rsidR="00FC3F35" w:rsidRPr="00576C1D" w:rsidTr="009A3B5E">
        <w:trPr>
          <w:trHeight w:hRule="exact" w:val="3245"/>
        </w:trPr>
        <w:tc>
          <w:tcPr>
            <w:tcW w:w="980"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9762" w:type="dxa"/>
            <w:gridSpan w:val="5"/>
            <w:tcBorders>
              <w:top w:val="single" w:sz="6" w:space="0" w:color="auto"/>
              <w:left w:val="single" w:sz="6" w:space="0" w:color="auto"/>
              <w:bottom w:val="single" w:sz="6" w:space="0" w:color="auto"/>
              <w:right w:val="single" w:sz="6" w:space="0" w:color="auto"/>
            </w:tcBorders>
            <w:shd w:val="clear" w:color="auto" w:fill="FFFFFF"/>
          </w:tcPr>
          <w:p w:rsidR="002176D9" w:rsidRPr="002176D9" w:rsidRDefault="002176D9" w:rsidP="002176D9">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lang w:eastAsia="hr-HR"/>
              </w:rPr>
            </w:pPr>
            <w:r w:rsidRPr="002176D9">
              <w:rPr>
                <w:rFonts w:ascii="Times New Roman" w:eastAsia="Times New Roman" w:hAnsi="Times New Roman" w:cs="Times New Roman"/>
                <w:color w:val="000000"/>
                <w:spacing w:val="-1"/>
                <w:sz w:val="24"/>
                <w:szCs w:val="24"/>
                <w:lang w:eastAsia="hr-HR"/>
              </w:rPr>
              <w:t>Planirani rezultati uključivali bi barem postignuća u pogledu šire kampanje informiranja javnosti u usporedbi s onima iz razdoblja 2007. - 2013., prilike za informiranje, promidžbu prilika financiranja kroz organiziranje posebnih događaja za potencijalne prijavitelje i/ili za promotore projekta kako bi se povećalo njihovo razumijevanje i znanje o tome kako pripremiti projekte (razmijeniti najbolje prakse, konferencije i seminare) koji su spremni za financiranje, animiranje i pojačavanje zanimanja za i znanja o EFRD-u i Kohezijskom fondu i tako pružiti javnosti rezultate dobivene pod OPKK-om. Sve aktivnosti vršit će se na regionalnoj i lokalnoj razini kao i na državnoj razini. Mreža osoba zaduženih za informiranje javnosti bit će korištena kao sredstvo razmjene infor</w:t>
            </w:r>
            <w:r>
              <w:rPr>
                <w:rFonts w:ascii="Times New Roman" w:eastAsia="Times New Roman" w:hAnsi="Times New Roman" w:cs="Times New Roman"/>
                <w:color w:val="000000"/>
                <w:spacing w:val="-1"/>
                <w:sz w:val="24"/>
                <w:szCs w:val="24"/>
                <w:lang w:eastAsia="hr-HR"/>
              </w:rPr>
              <w:t>macija zainteresiranoj javnosti.</w:t>
            </w:r>
          </w:p>
          <w:p w:rsidR="00FC3F35" w:rsidRPr="00576C1D" w:rsidRDefault="00FC3F35" w:rsidP="00FC3F35">
            <w:pPr>
              <w:widowControl w:val="0"/>
              <w:shd w:val="clear" w:color="auto" w:fill="FFFFFF"/>
              <w:autoSpaceDE w:val="0"/>
              <w:autoSpaceDN w:val="0"/>
              <w:adjustRightInd w:val="0"/>
              <w:spacing w:after="0" w:line="274" w:lineRule="exact"/>
              <w:ind w:right="62" w:hanging="5"/>
              <w:rPr>
                <w:rFonts w:ascii="Times New Roman" w:eastAsia="Times New Roman" w:hAnsi="Times New Roman" w:cs="Times New Roman"/>
                <w:sz w:val="20"/>
                <w:szCs w:val="20"/>
                <w:lang w:eastAsia="hr-HR"/>
              </w:rPr>
            </w:pPr>
          </w:p>
        </w:tc>
      </w:tr>
    </w:tbl>
    <w:p w:rsidR="00103797" w:rsidRDefault="00103797">
      <w:pPr>
        <w:rPr>
          <w:rFonts w:ascii="Times New Roman" w:eastAsia="Times New Roman" w:hAnsi="Times New Roman" w:cs="Times New Roman"/>
          <w:b/>
          <w:bCs/>
          <w:color w:val="000000"/>
          <w:spacing w:val="-2"/>
          <w:sz w:val="24"/>
          <w:szCs w:val="24"/>
          <w:lang w:eastAsia="hr-HR"/>
        </w:rPr>
      </w:pPr>
      <w:r>
        <w:rPr>
          <w:rFonts w:ascii="Times New Roman" w:eastAsia="Times New Roman" w:hAnsi="Times New Roman" w:cs="Times New Roman"/>
          <w:b/>
          <w:bCs/>
          <w:color w:val="000000"/>
          <w:spacing w:val="-2"/>
          <w:sz w:val="24"/>
          <w:szCs w:val="24"/>
          <w:lang w:eastAsia="hr-HR"/>
        </w:rPr>
        <w:br w:type="page"/>
      </w:r>
    </w:p>
    <w:p w:rsidR="00FC3F35" w:rsidRPr="00576C1D" w:rsidRDefault="00FC3F35" w:rsidP="00FC3F35">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24"/>
          <w:szCs w:val="24"/>
          <w:lang w:eastAsia="hr-HR"/>
        </w:rPr>
        <w:lastRenderedPageBreak/>
        <w:t xml:space="preserve">2.B.5 Pokazatelji rezultata </w:t>
      </w:r>
    </w:p>
    <w:p w:rsidR="00FC3F35" w:rsidRPr="00576C1D" w:rsidRDefault="00FC3F35" w:rsidP="00FC3F35">
      <w:pPr>
        <w:widowControl w:val="0"/>
        <w:shd w:val="clear" w:color="auto" w:fill="FFFFFF"/>
        <w:autoSpaceDE w:val="0"/>
        <w:autoSpaceDN w:val="0"/>
        <w:adjustRightInd w:val="0"/>
        <w:spacing w:before="514"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Tablica 12: Programski pokazatelji rezultata </w:t>
      </w:r>
      <w:r w:rsidRPr="00576C1D">
        <w:rPr>
          <w:rFonts w:ascii="Times New Roman" w:eastAsia="Times New Roman" w:hAnsi="Times New Roman" w:cs="Times New Roman"/>
          <w:color w:val="000000"/>
          <w:spacing w:val="-1"/>
          <w:sz w:val="24"/>
          <w:szCs w:val="24"/>
          <w:lang w:eastAsia="hr-HR"/>
        </w:rPr>
        <w:t>(po specifičnom cilju ) (za EFRR/ESF/Kohezijski Fond)</w:t>
      </w:r>
    </w:p>
    <w:p w:rsidR="00FC3F35" w:rsidRPr="00576C1D" w:rsidRDefault="00FC3F35" w:rsidP="00FC3F35">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14601" w:type="dxa"/>
        <w:tblInd w:w="40" w:type="dxa"/>
        <w:tblLayout w:type="fixed"/>
        <w:tblCellMar>
          <w:left w:w="40" w:type="dxa"/>
          <w:right w:w="40" w:type="dxa"/>
        </w:tblCellMar>
        <w:tblLook w:val="0000" w:firstRow="0" w:lastRow="0" w:firstColumn="0" w:lastColumn="0" w:noHBand="0" w:noVBand="0"/>
      </w:tblPr>
      <w:tblGrid>
        <w:gridCol w:w="851"/>
        <w:gridCol w:w="1795"/>
        <w:gridCol w:w="1323"/>
        <w:gridCol w:w="709"/>
        <w:gridCol w:w="709"/>
        <w:gridCol w:w="1134"/>
        <w:gridCol w:w="1559"/>
        <w:gridCol w:w="1134"/>
        <w:gridCol w:w="1134"/>
        <w:gridCol w:w="1276"/>
        <w:gridCol w:w="1276"/>
        <w:gridCol w:w="1701"/>
      </w:tblGrid>
      <w:tr w:rsidR="00FC3F35" w:rsidRPr="00576C1D" w:rsidTr="009A3B5E">
        <w:tc>
          <w:tcPr>
            <w:tcW w:w="2646"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 xml:space="preserve">Prioritetna os </w:t>
            </w:r>
          </w:p>
        </w:tc>
        <w:tc>
          <w:tcPr>
            <w:tcW w:w="11955" w:type="dxa"/>
            <w:gridSpan w:val="10"/>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18"/>
                <w:szCs w:val="18"/>
                <w:lang w:eastAsia="hr-HR"/>
              </w:rPr>
            </w:pPr>
            <w:r w:rsidRPr="00576C1D">
              <w:rPr>
                <w:rFonts w:ascii="Times New Roman" w:eastAsia="Times New Roman" w:hAnsi="Times New Roman" w:cs="Times New Roman"/>
                <w:color w:val="000000"/>
                <w:spacing w:val="-5"/>
                <w:sz w:val="18"/>
                <w:szCs w:val="18"/>
                <w:lang w:eastAsia="hr-HR"/>
              </w:rPr>
              <w:t xml:space="preserve">TA2 - Djelotvorno informiranje mogućih korisnika i šire javnosti o korištenju ESI fondova </w:t>
            </w:r>
          </w:p>
        </w:tc>
      </w:tr>
      <w:tr w:rsidR="00FC3F35" w:rsidRPr="00576C1D" w:rsidTr="009A3B5E">
        <w:tc>
          <w:tcPr>
            <w:tcW w:w="851"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68"/>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Oznaka</w:t>
            </w:r>
          </w:p>
        </w:tc>
        <w:tc>
          <w:tcPr>
            <w:tcW w:w="1795"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4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8"/>
                <w:szCs w:val="18"/>
                <w:lang w:eastAsia="hr-HR"/>
              </w:rPr>
              <w:t xml:space="preserve">Pokazatelj </w:t>
            </w:r>
          </w:p>
        </w:tc>
        <w:tc>
          <w:tcPr>
            <w:tcW w:w="132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8"/>
                <w:szCs w:val="18"/>
                <w:lang w:eastAsia="hr-HR"/>
              </w:rPr>
              <w:t xml:space="preserve">Mjerna jedinica </w:t>
            </w:r>
          </w:p>
        </w:tc>
        <w:tc>
          <w:tcPr>
            <w:tcW w:w="2552"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9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8"/>
                <w:szCs w:val="18"/>
                <w:lang w:eastAsia="hr-HR"/>
              </w:rPr>
              <w:t xml:space="preserve">Početna vrijednost </w:t>
            </w:r>
          </w:p>
        </w:tc>
        <w:tc>
          <w:tcPr>
            <w:tcW w:w="1559"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29" w:right="34"/>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8"/>
                <w:sz w:val="18"/>
                <w:szCs w:val="18"/>
                <w:lang w:eastAsia="hr-HR"/>
              </w:rPr>
              <w:t xml:space="preserve">Početna godina </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1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8"/>
                <w:szCs w:val="18"/>
                <w:lang w:eastAsia="hr-HR"/>
              </w:rPr>
              <w:t xml:space="preserve">Ciljana vrijednost (2023.) </w:t>
            </w:r>
          </w:p>
        </w:tc>
        <w:tc>
          <w:tcPr>
            <w:tcW w:w="1276"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8"/>
                <w:szCs w:val="18"/>
                <w:lang w:eastAsia="hr-HR"/>
              </w:rPr>
              <w:t xml:space="preserve">Izvor podataka </w:t>
            </w:r>
          </w:p>
        </w:tc>
        <w:tc>
          <w:tcPr>
            <w:tcW w:w="1701"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182" w:lineRule="exact"/>
              <w:ind w:left="96" w:right="9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8"/>
                <w:szCs w:val="18"/>
                <w:lang w:eastAsia="hr-HR"/>
              </w:rPr>
              <w:t xml:space="preserve">Učestalost izvješćivanja </w:t>
            </w:r>
          </w:p>
        </w:tc>
      </w:tr>
      <w:tr w:rsidR="00FC3F35" w:rsidRPr="00576C1D" w:rsidTr="009A3B5E">
        <w:tc>
          <w:tcPr>
            <w:tcW w:w="851"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795"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32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7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7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w:t>
            </w:r>
          </w:p>
        </w:tc>
        <w:tc>
          <w:tcPr>
            <w:tcW w:w="1559"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0"/>
                <w:szCs w:val="20"/>
                <w:lang w:eastAsia="hr-HR"/>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74"/>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M</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7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U</w:t>
            </w:r>
          </w:p>
        </w:tc>
        <w:tc>
          <w:tcPr>
            <w:tcW w:w="1276"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p>
        </w:tc>
        <w:tc>
          <w:tcPr>
            <w:tcW w:w="1701"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p>
          <w:p w:rsidR="00FC3F35" w:rsidRPr="00576C1D" w:rsidRDefault="00FC3F35" w:rsidP="00FC3F35">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0"/>
                <w:szCs w:val="20"/>
                <w:lang w:eastAsia="hr-HR"/>
              </w:rPr>
            </w:pPr>
          </w:p>
        </w:tc>
      </w:tr>
      <w:tr w:rsidR="00FC3F35" w:rsidRPr="00576C1D" w:rsidTr="009A3B5E">
        <w:tc>
          <w:tcPr>
            <w:tcW w:w="85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4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2"/>
                <w:szCs w:val="12"/>
                <w:lang w:eastAsia="hr-HR"/>
              </w:rPr>
              <w:t>TA2.1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2176D9" w:rsidP="00FC3F35">
            <w:pPr>
              <w:widowControl w:val="0"/>
              <w:shd w:val="clear" w:color="auto" w:fill="FFFFFF"/>
              <w:autoSpaceDE w:val="0"/>
              <w:autoSpaceDN w:val="0"/>
              <w:adjustRightInd w:val="0"/>
              <w:spacing w:after="0" w:line="139" w:lineRule="exact"/>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pacing w:val="-1"/>
                <w:sz w:val="12"/>
                <w:szCs w:val="12"/>
                <w:lang w:eastAsia="hr-HR"/>
              </w:rPr>
              <w:t>Udio javnosti informiran</w:t>
            </w:r>
            <w:r w:rsidR="00FC3F35" w:rsidRPr="00576C1D">
              <w:rPr>
                <w:rFonts w:ascii="Times New Roman" w:eastAsia="Times New Roman" w:hAnsi="Times New Roman" w:cs="Times New Roman"/>
                <w:color w:val="000000"/>
                <w:spacing w:val="-1"/>
                <w:sz w:val="12"/>
                <w:szCs w:val="12"/>
                <w:lang w:eastAsia="hr-HR"/>
              </w:rPr>
              <w:t xml:space="preserve"> o prilikama financiranja iz fondova EU u Hrvatskoj </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z w:val="16"/>
                <w:szCs w:val="16"/>
                <w:lang w:eastAsia="hr-HR"/>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2"/>
                <w:szCs w:val="12"/>
                <w:lang w:eastAsia="hr-HR"/>
              </w:rPr>
              <w:t>14,00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2"/>
                <w:szCs w:val="12"/>
                <w:lang w:eastAsia="hr-HR"/>
              </w:rPr>
              <w:t>2013.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4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2"/>
                <w:szCs w:val="12"/>
                <w:lang w:eastAsia="hr-HR"/>
              </w:rPr>
              <w:t>60,00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2"/>
                <w:szCs w:val="12"/>
                <w:lang w:eastAsia="hr-HR"/>
              </w:rPr>
              <w:t xml:space="preserve">Istraživanja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2"/>
                <w:szCs w:val="12"/>
                <w:lang w:eastAsia="hr-HR"/>
              </w:rPr>
              <w:t xml:space="preserve">Godišnje </w:t>
            </w:r>
          </w:p>
        </w:tc>
      </w:tr>
    </w:tbl>
    <w:p w:rsidR="00FC3F35" w:rsidRPr="00576C1D" w:rsidRDefault="00FC3F35" w:rsidP="00FC3F35">
      <w:pPr>
        <w:widowControl w:val="0"/>
        <w:shd w:val="clear" w:color="auto" w:fill="FFFFFF"/>
        <w:autoSpaceDE w:val="0"/>
        <w:autoSpaceDN w:val="0"/>
        <w:adjustRightInd w:val="0"/>
        <w:spacing w:before="518"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24"/>
          <w:szCs w:val="24"/>
          <w:lang w:eastAsia="hr-HR"/>
        </w:rPr>
        <w:t xml:space="preserve">2.B.6 Aktivnosti koje će se podržati i njihov očekivani doprinos specifičnim ciljevima </w:t>
      </w:r>
      <w:r w:rsidRPr="00576C1D">
        <w:rPr>
          <w:rFonts w:ascii="Times New Roman" w:eastAsia="Times New Roman" w:hAnsi="Times New Roman" w:cs="Times New Roman"/>
          <w:bCs/>
          <w:color w:val="000000"/>
          <w:spacing w:val="-1"/>
          <w:sz w:val="24"/>
          <w:szCs w:val="24"/>
          <w:lang w:eastAsia="hr-HR"/>
        </w:rPr>
        <w:t>(po prioritetnoj osi)</w:t>
      </w:r>
    </w:p>
    <w:p w:rsidR="00B43B00" w:rsidRDefault="00FC3F35" w:rsidP="00FC3F35">
      <w:pPr>
        <w:widowControl w:val="0"/>
        <w:shd w:val="clear" w:color="auto" w:fill="FFFFFF"/>
        <w:autoSpaceDE w:val="0"/>
        <w:autoSpaceDN w:val="0"/>
        <w:adjustRightInd w:val="0"/>
        <w:spacing w:before="509" w:after="163" w:line="240" w:lineRule="auto"/>
        <w:ind w:left="538"/>
        <w:rPr>
          <w:rFonts w:ascii="Times New Roman" w:eastAsia="Times New Roman" w:hAnsi="Times New Roman" w:cs="Times New Roman"/>
          <w:bCs/>
          <w:i/>
          <w:color w:val="000000"/>
          <w:spacing w:val="-1"/>
          <w:sz w:val="24"/>
          <w:szCs w:val="24"/>
          <w:lang w:eastAsia="hr-HR"/>
        </w:rPr>
      </w:pPr>
      <w:r w:rsidRPr="00576C1D">
        <w:rPr>
          <w:rFonts w:ascii="Times New Roman" w:eastAsia="Times New Roman" w:hAnsi="Times New Roman" w:cs="Times New Roman"/>
          <w:i/>
          <w:iCs/>
          <w:color w:val="000000"/>
          <w:spacing w:val="-2"/>
          <w:sz w:val="24"/>
          <w:szCs w:val="24"/>
          <w:lang w:eastAsia="hr-HR"/>
        </w:rPr>
        <w:t xml:space="preserve">2.B. 6.1 Opis aktivnosti koje će se podržati i </w:t>
      </w:r>
      <w:r w:rsidRPr="00576C1D">
        <w:rPr>
          <w:rFonts w:ascii="Times New Roman" w:eastAsia="Times New Roman" w:hAnsi="Times New Roman" w:cs="Times New Roman"/>
          <w:bCs/>
          <w:i/>
          <w:color w:val="000000"/>
          <w:spacing w:val="-1"/>
          <w:sz w:val="24"/>
          <w:szCs w:val="24"/>
          <w:lang w:eastAsia="hr-HR"/>
        </w:rPr>
        <w:t>njihov očekivani doprinos specifičnim ciljevima</w:t>
      </w:r>
    </w:p>
    <w:tbl>
      <w:tblPr>
        <w:tblStyle w:val="TableGrid"/>
        <w:tblW w:w="14709" w:type="dxa"/>
        <w:tblLook w:val="04A0" w:firstRow="1" w:lastRow="0" w:firstColumn="1" w:lastColumn="0" w:noHBand="0" w:noVBand="1"/>
      </w:tblPr>
      <w:tblGrid>
        <w:gridCol w:w="3809"/>
        <w:gridCol w:w="10900"/>
      </w:tblGrid>
      <w:tr w:rsidR="00B43B00" w:rsidTr="009A3B5E">
        <w:trPr>
          <w:tblHeader/>
        </w:trPr>
        <w:tc>
          <w:tcPr>
            <w:tcW w:w="3809" w:type="dxa"/>
          </w:tcPr>
          <w:p w:rsidR="00B43B00" w:rsidRDefault="00B43B00" w:rsidP="00B43B00">
            <w:r w:rsidRPr="00576C1D">
              <w:rPr>
                <w:rFonts w:ascii="Times New Roman" w:hAnsi="Times New Roman"/>
                <w:color w:val="000000"/>
                <w:spacing w:val="-4"/>
                <w:sz w:val="18"/>
                <w:szCs w:val="18"/>
              </w:rPr>
              <w:t>Prioritetna os</w:t>
            </w:r>
          </w:p>
        </w:tc>
        <w:tc>
          <w:tcPr>
            <w:tcW w:w="10900" w:type="dxa"/>
          </w:tcPr>
          <w:p w:rsidR="00B43B00" w:rsidRPr="00576C1D" w:rsidRDefault="00B43B00" w:rsidP="00B43B00">
            <w:pPr>
              <w:widowControl w:val="0"/>
              <w:shd w:val="clear" w:color="auto" w:fill="FFFFFF"/>
              <w:autoSpaceDE w:val="0"/>
              <w:autoSpaceDN w:val="0"/>
              <w:adjustRightInd w:val="0"/>
              <w:rPr>
                <w:rFonts w:ascii="Times New Roman" w:hAnsi="Times New Roman"/>
              </w:rPr>
            </w:pPr>
            <w:r w:rsidRPr="00576C1D">
              <w:rPr>
                <w:rFonts w:ascii="Times New Roman" w:hAnsi="Times New Roman"/>
                <w:color w:val="000000"/>
                <w:spacing w:val="-6"/>
                <w:sz w:val="18"/>
                <w:szCs w:val="18"/>
              </w:rPr>
              <w:t>10 - Tehnička pomoć</w:t>
            </w:r>
          </w:p>
        </w:tc>
      </w:tr>
      <w:tr w:rsidR="00B43B00" w:rsidTr="009A3B5E">
        <w:trPr>
          <w:trHeight w:val="2858"/>
        </w:trPr>
        <w:tc>
          <w:tcPr>
            <w:tcW w:w="14709" w:type="dxa"/>
            <w:gridSpan w:val="2"/>
          </w:tcPr>
          <w:p w:rsidR="00B43B00" w:rsidRDefault="00B43B00" w:rsidP="00B43B00">
            <w:r>
              <w:t xml:space="preserve">Aktivnosti vezane uz specifični cilj 1: </w:t>
            </w:r>
          </w:p>
          <w:p w:rsidR="002176D9" w:rsidRPr="002176D9" w:rsidRDefault="002176D9" w:rsidP="002176D9">
            <w:pPr>
              <w:widowControl w:val="0"/>
              <w:numPr>
                <w:ilvl w:val="0"/>
                <w:numId w:val="2"/>
              </w:numPr>
              <w:shd w:val="clear" w:color="auto" w:fill="FFFFFF"/>
              <w:tabs>
                <w:tab w:val="left" w:pos="1301"/>
              </w:tabs>
              <w:autoSpaceDE w:val="0"/>
              <w:autoSpaceDN w:val="0"/>
              <w:adjustRightInd w:val="0"/>
              <w:spacing w:before="269" w:line="278" w:lineRule="exact"/>
              <w:rPr>
                <w:rFonts w:ascii="Times New Roman" w:hAnsi="Times New Roman"/>
                <w:color w:val="000000"/>
                <w:sz w:val="24"/>
                <w:szCs w:val="24"/>
              </w:rPr>
            </w:pPr>
            <w:r w:rsidRPr="002176D9">
              <w:rPr>
                <w:rFonts w:ascii="Times New Roman" w:hAnsi="Times New Roman"/>
                <w:color w:val="000000"/>
                <w:spacing w:val="-1"/>
                <w:sz w:val="24"/>
                <w:szCs w:val="24"/>
              </w:rPr>
              <w:t>Kupnja (hardveri, licencije) i razvoj različitih IT modula – održavanje uključeno, s istim ciljem postizanja potpuno funkcionalne baze podataka za različite svrhe (unutarnji IT sustav za promotivne i obrazovne aktivnosti, baza podataka ljudskih potencijala)</w:t>
            </w:r>
          </w:p>
          <w:p w:rsidR="002176D9" w:rsidRPr="002176D9"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rPr>
                <w:rFonts w:ascii="Times New Roman" w:hAnsi="Times New Roman"/>
                <w:color w:val="000000"/>
                <w:sz w:val="24"/>
                <w:szCs w:val="24"/>
              </w:rPr>
            </w:pPr>
            <w:r w:rsidRPr="002176D9">
              <w:rPr>
                <w:rFonts w:ascii="Times New Roman" w:hAnsi="Times New Roman"/>
                <w:color w:val="000000"/>
                <w:sz w:val="24"/>
                <w:szCs w:val="24"/>
              </w:rPr>
              <w:t>Podrška za zatvaranje OP-a 2007. - 2013. (izdaci poput naknada za vanjske konzultante)</w:t>
            </w:r>
          </w:p>
          <w:p w:rsidR="002176D9" w:rsidRPr="002176D9"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rPr>
                <w:rFonts w:ascii="Times New Roman" w:hAnsi="Times New Roman"/>
                <w:color w:val="000000"/>
                <w:sz w:val="24"/>
                <w:szCs w:val="24"/>
              </w:rPr>
            </w:pPr>
            <w:r w:rsidRPr="002176D9">
              <w:rPr>
                <w:rFonts w:ascii="Times New Roman" w:hAnsi="Times New Roman"/>
                <w:color w:val="000000"/>
                <w:spacing w:val="-1"/>
                <w:sz w:val="24"/>
                <w:szCs w:val="24"/>
              </w:rPr>
              <w:t>Podrška za pripremu strateških dokumenata vezanih uz ex-ante uvjetovanosti za financijsku perspektivu 2014. - 2020., stratešku dokumentaciju za financijsku perspektivu 2021. - 2027. i pripremu projekata za financijsku perspektivu 2021. - 2027. i moguće druge fondove (priprema studija, statistika, analitičkih izvješća, izrada strateških dokumenata; rashodi poput: naknade za vanjske savjetnike, istraživanja, studije, izvješća)</w:t>
            </w:r>
          </w:p>
          <w:p w:rsidR="002176D9" w:rsidRPr="002176D9" w:rsidRDefault="002176D9" w:rsidP="002176D9">
            <w:pPr>
              <w:widowControl w:val="0"/>
              <w:numPr>
                <w:ilvl w:val="0"/>
                <w:numId w:val="2"/>
              </w:numPr>
              <w:shd w:val="clear" w:color="auto" w:fill="FFFFFF"/>
              <w:tabs>
                <w:tab w:val="left" w:leader="underscore" w:pos="1310"/>
                <w:tab w:val="left" w:leader="underscore" w:pos="15552"/>
              </w:tabs>
              <w:autoSpaceDE w:val="0"/>
              <w:autoSpaceDN w:val="0"/>
              <w:adjustRightInd w:val="0"/>
              <w:spacing w:before="120" w:after="586" w:line="274" w:lineRule="exact"/>
              <w:contextualSpacing/>
              <w:rPr>
                <w:rFonts w:ascii="Arial" w:hAnsi="Arial" w:cs="Arial"/>
              </w:rPr>
            </w:pPr>
            <w:r w:rsidRPr="002176D9">
              <w:rPr>
                <w:rFonts w:ascii="Times New Roman" w:hAnsi="Times New Roman"/>
                <w:color w:val="000000"/>
                <w:sz w:val="24"/>
                <w:szCs w:val="24"/>
              </w:rPr>
              <w:t xml:space="preserve">Angažiranje vanjskih stručnjaka za sva tijela u kojima nedostaje sustavno ili specifično znanje (pozadinske studije, analize, procjena neusklađenosti, ocjenjivanja, statistike, priprema studija izvedivosti, priprema projektne dokumentacije, ocjenjivanje/procjenjivanje projekta, nadziranje projekta, </w:t>
            </w:r>
            <w:r w:rsidR="00C244E3">
              <w:rPr>
                <w:rFonts w:asciiTheme="minorHAnsi" w:hAnsiTheme="minorHAnsi" w:cstheme="minorBidi"/>
                <w:noProof/>
              </w:rPr>
              <w:pict>
                <v:line id="Line 2486" o:spid="_x0000_s1027" style="position:absolute;left:0;text-align:left;z-index:251825664;visibility:visible;mso-position-horizontal-relative:margin;mso-position-vertical-relative:text" from="23.05pt,2.15pt" to="782.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M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" o:allowincell="f" strokeweight=".7pt">
                  <w10:wrap anchorx="margin"/>
                </v:line>
              </w:pict>
            </w:r>
            <w:r w:rsidRPr="002176D9">
              <w:rPr>
                <w:rFonts w:ascii="Times New Roman" w:hAnsi="Times New Roman"/>
                <w:color w:val="000000"/>
                <w:spacing w:val="-1"/>
                <w:sz w:val="24"/>
                <w:szCs w:val="24"/>
              </w:rPr>
              <w:t xml:space="preserve">provođenje financijska kontrola, kontrola javne nabave, istraživanje nepravilnosti i prijevara, pravni postupci, naplata duga, ocjenjivanje i evaluacija utjecaja, knjigovodstvo, računovodstvo i slično. </w:t>
            </w:r>
          </w:p>
          <w:p w:rsidR="002176D9" w:rsidRPr="002176D9" w:rsidRDefault="002176D9" w:rsidP="002176D9">
            <w:pPr>
              <w:pStyle w:val="ListParagraph"/>
              <w:numPr>
                <w:ilvl w:val="0"/>
                <w:numId w:val="2"/>
              </w:numPr>
              <w:shd w:val="clear" w:color="auto" w:fill="FFFFFF"/>
              <w:tabs>
                <w:tab w:val="left" w:pos="1301"/>
              </w:tabs>
              <w:spacing w:before="120" w:line="274" w:lineRule="exact"/>
              <w:rPr>
                <w:rFonts w:ascii="Calibri" w:hAnsi="Calibri" w:cs="Times New Roman"/>
              </w:rPr>
            </w:pPr>
            <w:r w:rsidRPr="002176D9">
              <w:rPr>
                <w:rFonts w:ascii="Times New Roman" w:hAnsi="Times New Roman" w:cs="Times New Roman"/>
                <w:color w:val="000000"/>
                <w:sz w:val="24"/>
                <w:szCs w:val="24"/>
              </w:rPr>
              <w:t xml:space="preserve">Aktivnosti koje su usmjerene na osiguravanje provedbe operativnog programa (pripremanje državnih pravila postupanja za ESI fondove, programi državne potpore, razvoj poslovnih procesa vezanih uz odabir projekta, uspostavljanje i rad financijskog upravljanja i sustava </w:t>
            </w:r>
            <w:r w:rsidRPr="002176D9">
              <w:rPr>
                <w:rFonts w:ascii="Times New Roman" w:hAnsi="Times New Roman" w:cs="Times New Roman"/>
                <w:color w:val="000000"/>
                <w:sz w:val="24"/>
                <w:szCs w:val="24"/>
              </w:rPr>
              <w:lastRenderedPageBreak/>
              <w:t>kontrole, financijsko predviđanje i planiranje, verificiranje, priprema i provođenje strategije revizije, rješavanje žalbi, upravljanje nepravilnostima, prijevarama i naplatom).</w:t>
            </w:r>
          </w:p>
          <w:p w:rsidR="002176D9" w:rsidRPr="00476B9D"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ind w:left="1301" w:hanging="322"/>
              <w:rPr>
                <w:rFonts w:ascii="Times New Roman" w:hAnsi="Times New Roman"/>
                <w:color w:val="000000"/>
                <w:sz w:val="24"/>
                <w:szCs w:val="24"/>
              </w:rPr>
            </w:pPr>
            <w:r w:rsidRPr="00476B9D">
              <w:rPr>
                <w:rFonts w:ascii="Times New Roman" w:hAnsi="Times New Roman"/>
                <w:color w:val="000000"/>
                <w:sz w:val="24"/>
                <w:szCs w:val="24"/>
              </w:rPr>
              <w:t xml:space="preserve">Sustav zapošljavanja i odabira osoblja usklađen s potrebama sustava ESI fondova (rashodi vezani uz trajno i privremeno zaposlenog osoblja, rashodi vezani uz plaće i socijalno osiguranje, bolovanja, zamjene, prekovremeni rad, bonus po učinkovitosti, obvezne usluge, obveznu izobrazbu, lokalna putovanja, međunarodna putovanja, dnevnice i naknade za vanjske savjetnike). </w:t>
            </w:r>
          </w:p>
          <w:p w:rsidR="002176D9" w:rsidRPr="00476B9D"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ind w:left="1301" w:hanging="322"/>
            </w:pPr>
            <w:r w:rsidRPr="00476B9D">
              <w:rPr>
                <w:rFonts w:ascii="Times New Roman" w:hAnsi="Times New Roman"/>
                <w:color w:val="000000"/>
                <w:sz w:val="24"/>
                <w:szCs w:val="24"/>
              </w:rPr>
              <w:t>Aktivnosti usmjerene na jačanje upravljanja ljudskim potencijalima za zaposlenike koji rade na OP-ovima (rashodi poput: razvoja pojedine HR strategije koja se temelji na strategiji osiguravanja pravilnog djelovanja politike zadržavanja, privremeni premještaj u zemlju članicu s ciljem stjecanja posebnih znanja ili privremeni premještaj na regionalnoj i lokalnoj razini s ciljem razmjene iskustava, provođenje planova za razvoj karijere)</w:t>
            </w:r>
          </w:p>
          <w:p w:rsidR="002176D9" w:rsidRPr="00476B9D"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ind w:left="1301" w:hanging="322"/>
              <w:rPr>
                <w:rFonts w:ascii="Times New Roman" w:hAnsi="Times New Roman"/>
                <w:color w:val="000000"/>
                <w:sz w:val="24"/>
                <w:szCs w:val="24"/>
              </w:rPr>
            </w:pPr>
            <w:r w:rsidRPr="00476B9D">
              <w:rPr>
                <w:rFonts w:ascii="Times New Roman" w:hAnsi="Times New Roman"/>
                <w:color w:val="000000"/>
                <w:sz w:val="24"/>
                <w:szCs w:val="24"/>
              </w:rPr>
              <w:t>Podrška gradsk</w:t>
            </w:r>
            <w:r>
              <w:rPr>
                <w:rFonts w:ascii="Times New Roman" w:hAnsi="Times New Roman"/>
                <w:color w:val="000000"/>
                <w:sz w:val="24"/>
                <w:szCs w:val="24"/>
              </w:rPr>
              <w:t>im</w:t>
            </w:r>
            <w:r w:rsidRPr="00476B9D">
              <w:rPr>
                <w:rFonts w:ascii="Times New Roman" w:hAnsi="Times New Roman"/>
                <w:color w:val="000000"/>
                <w:sz w:val="24"/>
                <w:szCs w:val="24"/>
              </w:rPr>
              <w:t xml:space="preserve"> uprav</w:t>
            </w:r>
            <w:r>
              <w:rPr>
                <w:rFonts w:ascii="Times New Roman" w:hAnsi="Times New Roman"/>
                <w:color w:val="000000"/>
                <w:sz w:val="24"/>
                <w:szCs w:val="24"/>
              </w:rPr>
              <w:t>ama</w:t>
            </w:r>
            <w:r w:rsidRPr="00476B9D">
              <w:rPr>
                <w:rFonts w:ascii="Times New Roman" w:hAnsi="Times New Roman"/>
                <w:color w:val="000000"/>
                <w:sz w:val="24"/>
                <w:szCs w:val="24"/>
              </w:rPr>
              <w:t xml:space="preserve"> koj</w:t>
            </w:r>
            <w:r>
              <w:rPr>
                <w:rFonts w:ascii="Times New Roman" w:hAnsi="Times New Roman"/>
                <w:color w:val="000000"/>
                <w:sz w:val="24"/>
                <w:szCs w:val="24"/>
              </w:rPr>
              <w:t>esu</w:t>
            </w:r>
            <w:r w:rsidRPr="00476B9D">
              <w:rPr>
                <w:rFonts w:ascii="Times New Roman" w:hAnsi="Times New Roman"/>
                <w:color w:val="000000"/>
                <w:sz w:val="24"/>
                <w:szCs w:val="24"/>
              </w:rPr>
              <w:t xml:space="preserve"> odgovorn</w:t>
            </w:r>
            <w:r>
              <w:rPr>
                <w:rFonts w:ascii="Times New Roman" w:hAnsi="Times New Roman"/>
                <w:color w:val="000000"/>
                <w:sz w:val="24"/>
                <w:szCs w:val="24"/>
              </w:rPr>
              <w:t>e</w:t>
            </w:r>
            <w:r w:rsidRPr="00476B9D">
              <w:rPr>
                <w:rFonts w:ascii="Times New Roman" w:hAnsi="Times New Roman"/>
                <w:color w:val="000000"/>
                <w:sz w:val="24"/>
                <w:szCs w:val="24"/>
              </w:rPr>
              <w:t xml:space="preserve"> za provođenje Strategije održivog urbanog razvoja i Integriranog teritorijalnog pristupa (ITP) s ciljem promicanja izgradnje kapaciteta, umrežavanja i razmjene iskustava te njihovo uključivanje u mrežu urbanog razvoja (kako je određeno člankom 9. Uredbe (EU) br. 1301/2013)</w:t>
            </w:r>
          </w:p>
          <w:p w:rsidR="002176D9" w:rsidRPr="00476B9D"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ind w:left="1301" w:hanging="322"/>
              <w:rPr>
                <w:rFonts w:ascii="Times New Roman" w:hAnsi="Times New Roman"/>
                <w:color w:val="000000"/>
                <w:spacing w:val="-1"/>
                <w:sz w:val="24"/>
                <w:szCs w:val="24"/>
              </w:rPr>
            </w:pPr>
            <w:r>
              <w:rPr>
                <w:rFonts w:ascii="Times New Roman" w:hAnsi="Times New Roman"/>
                <w:color w:val="000000"/>
                <w:spacing w:val="-1"/>
                <w:sz w:val="24"/>
                <w:szCs w:val="24"/>
              </w:rPr>
              <w:t>Osiguranje</w:t>
            </w:r>
            <w:r w:rsidRPr="00476B9D">
              <w:rPr>
                <w:rFonts w:ascii="Times New Roman" w:hAnsi="Times New Roman"/>
                <w:color w:val="000000"/>
                <w:spacing w:val="-1"/>
                <w:sz w:val="24"/>
                <w:szCs w:val="24"/>
              </w:rPr>
              <w:t xml:space="preserve"> poslovni</w:t>
            </w:r>
            <w:r>
              <w:rPr>
                <w:rFonts w:ascii="Times New Roman" w:hAnsi="Times New Roman"/>
                <w:color w:val="000000"/>
                <w:spacing w:val="-1"/>
                <w:sz w:val="24"/>
                <w:szCs w:val="24"/>
              </w:rPr>
              <w:t>h</w:t>
            </w:r>
            <w:r w:rsidRPr="00476B9D">
              <w:rPr>
                <w:rFonts w:ascii="Times New Roman" w:hAnsi="Times New Roman"/>
                <w:color w:val="000000"/>
                <w:spacing w:val="-1"/>
                <w:sz w:val="24"/>
                <w:szCs w:val="24"/>
              </w:rPr>
              <w:t xml:space="preserve"> prostora za sva tijela u sustavu</w:t>
            </w:r>
            <w:r>
              <w:rPr>
                <w:rFonts w:ascii="Times New Roman" w:hAnsi="Times New Roman"/>
                <w:color w:val="000000"/>
                <w:spacing w:val="-1"/>
                <w:sz w:val="24"/>
                <w:szCs w:val="24"/>
              </w:rPr>
              <w:t>,</w:t>
            </w:r>
            <w:r w:rsidRPr="00476B9D">
              <w:rPr>
                <w:rFonts w:ascii="Times New Roman" w:hAnsi="Times New Roman"/>
                <w:color w:val="000000"/>
                <w:spacing w:val="-1"/>
                <w:sz w:val="24"/>
                <w:szCs w:val="24"/>
              </w:rPr>
              <w:t xml:space="preserve"> poput: najamnina vezanih uz zgrade i parkirališta, komunalne troškove (općinski troškovi i troškovi održavanja), troškove sigurnosti i osiguranja, troškove namještaja (kupnja ili najam), troškove IKT-a (kupnja ili najam)</w:t>
            </w:r>
          </w:p>
          <w:p w:rsidR="002176D9" w:rsidRPr="00476B9D"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ind w:left="1301" w:hanging="322"/>
              <w:rPr>
                <w:rFonts w:ascii="Times New Roman" w:hAnsi="Times New Roman"/>
                <w:color w:val="000000"/>
                <w:sz w:val="24"/>
                <w:szCs w:val="24"/>
              </w:rPr>
            </w:pPr>
            <w:r w:rsidRPr="00476B9D">
              <w:rPr>
                <w:rFonts w:ascii="Times New Roman" w:hAnsi="Times New Roman"/>
                <w:color w:val="000000"/>
                <w:sz w:val="24"/>
                <w:szCs w:val="24"/>
              </w:rPr>
              <w:t xml:space="preserve">Priprema i </w:t>
            </w:r>
            <w:r>
              <w:rPr>
                <w:rFonts w:ascii="Times New Roman" w:hAnsi="Times New Roman"/>
                <w:color w:val="000000"/>
                <w:sz w:val="24"/>
                <w:szCs w:val="24"/>
              </w:rPr>
              <w:t>održavanje</w:t>
            </w:r>
            <w:r w:rsidRPr="00476B9D">
              <w:rPr>
                <w:rFonts w:ascii="Times New Roman" w:hAnsi="Times New Roman"/>
                <w:color w:val="000000"/>
                <w:sz w:val="24"/>
                <w:szCs w:val="24"/>
              </w:rPr>
              <w:t xml:space="preserve"> programa izobrazbe i razvoja u području: općeg ili predmetnog znanja (sprječavanje prevara, suzbijanje korupcije, nadzor, računovodstvo), upravljačkih vještina i znanja, funkcijskih znanja i vještina, osobnih vještina, sudjelovanja u vanjskim programima izobrazbe (rashodi poput: </w:t>
            </w:r>
            <w:r>
              <w:rPr>
                <w:rFonts w:ascii="Times New Roman" w:hAnsi="Times New Roman"/>
                <w:color w:val="000000"/>
                <w:sz w:val="24"/>
                <w:szCs w:val="24"/>
              </w:rPr>
              <w:t>analize</w:t>
            </w:r>
            <w:r w:rsidRPr="00476B9D">
              <w:rPr>
                <w:rFonts w:ascii="Times New Roman" w:hAnsi="Times New Roman"/>
                <w:color w:val="000000"/>
                <w:sz w:val="24"/>
                <w:szCs w:val="24"/>
              </w:rPr>
              <w:t xml:space="preserve"> potreb</w:t>
            </w:r>
            <w:r>
              <w:rPr>
                <w:rFonts w:ascii="Times New Roman" w:hAnsi="Times New Roman"/>
                <w:color w:val="000000"/>
                <w:sz w:val="24"/>
                <w:szCs w:val="24"/>
              </w:rPr>
              <w:t>a</w:t>
            </w:r>
            <w:r w:rsidRPr="00476B9D">
              <w:rPr>
                <w:rFonts w:ascii="Times New Roman" w:hAnsi="Times New Roman"/>
                <w:color w:val="000000"/>
                <w:sz w:val="24"/>
                <w:szCs w:val="24"/>
              </w:rPr>
              <w:t xml:space="preserve"> izobrazbe, pripreme i </w:t>
            </w:r>
            <w:r>
              <w:rPr>
                <w:rFonts w:ascii="Times New Roman" w:hAnsi="Times New Roman"/>
                <w:color w:val="000000"/>
                <w:sz w:val="24"/>
                <w:szCs w:val="24"/>
              </w:rPr>
              <w:t>održavanje</w:t>
            </w:r>
            <w:r w:rsidRPr="00476B9D">
              <w:rPr>
                <w:rFonts w:ascii="Times New Roman" w:hAnsi="Times New Roman"/>
                <w:color w:val="000000"/>
                <w:sz w:val="24"/>
                <w:szCs w:val="24"/>
              </w:rPr>
              <w:t xml:space="preserve"> programa izobrazbe (shema izobrazbe predavača razvit će se ako je moguće), izrade kurikuluma, razrade materijala i prezentacija, izrade pilot programa izobrazbe, opreme za treninge (prostorija, konferencijska oprema, oprema, dostava i priprema hrane), naknade za sudjelovanje, dnevnice. </w:t>
            </w:r>
          </w:p>
          <w:p w:rsidR="002176D9" w:rsidRPr="00476B9D"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ind w:left="1301" w:hanging="322"/>
              <w:rPr>
                <w:rFonts w:ascii="Times New Roman" w:hAnsi="Times New Roman"/>
                <w:color w:val="000000"/>
                <w:sz w:val="24"/>
                <w:szCs w:val="24"/>
              </w:rPr>
            </w:pPr>
            <w:r w:rsidRPr="00476B9D">
              <w:rPr>
                <w:rFonts w:ascii="Times New Roman" w:hAnsi="Times New Roman"/>
                <w:color w:val="000000"/>
                <w:sz w:val="24"/>
                <w:szCs w:val="24"/>
              </w:rPr>
              <w:t xml:space="preserve">Prijevod dokumenata (rashodi poput: naknada, opreme i najma prikladne tehničke opreme) </w:t>
            </w:r>
          </w:p>
          <w:p w:rsidR="002176D9" w:rsidRPr="00476B9D" w:rsidRDefault="002176D9" w:rsidP="002176D9">
            <w:pPr>
              <w:widowControl w:val="0"/>
              <w:numPr>
                <w:ilvl w:val="0"/>
                <w:numId w:val="2"/>
              </w:numPr>
              <w:shd w:val="clear" w:color="auto" w:fill="FFFFFF"/>
              <w:tabs>
                <w:tab w:val="left" w:pos="1301"/>
              </w:tabs>
              <w:autoSpaceDE w:val="0"/>
              <w:autoSpaceDN w:val="0"/>
              <w:adjustRightInd w:val="0"/>
              <w:spacing w:before="120" w:line="274" w:lineRule="exact"/>
              <w:ind w:left="1301" w:hanging="322"/>
              <w:rPr>
                <w:rFonts w:ascii="Times New Roman" w:hAnsi="Times New Roman"/>
                <w:color w:val="000000"/>
                <w:sz w:val="24"/>
                <w:szCs w:val="24"/>
              </w:rPr>
            </w:pPr>
            <w:r w:rsidRPr="00476B9D">
              <w:rPr>
                <w:rFonts w:ascii="Times New Roman" w:hAnsi="Times New Roman"/>
                <w:color w:val="000000"/>
                <w:sz w:val="24"/>
                <w:szCs w:val="24"/>
              </w:rPr>
              <w:t xml:space="preserve">Arhiviranje/pohrana dokumentacije (rashodi poput: kupnja arhive ili najam, sigurnost, fotokopiranje, digitalizacija) </w:t>
            </w:r>
          </w:p>
          <w:p w:rsidR="002C6D55" w:rsidRPr="002C6D55" w:rsidRDefault="002176D9" w:rsidP="002C6D55">
            <w:pPr>
              <w:pStyle w:val="ListParagraph"/>
              <w:numPr>
                <w:ilvl w:val="0"/>
                <w:numId w:val="2"/>
              </w:numPr>
              <w:rPr>
                <w:rFonts w:ascii="Times New Roman" w:hAnsi="Times New Roman" w:cs="Times New Roman"/>
                <w:color w:val="000000"/>
                <w:sz w:val="24"/>
                <w:szCs w:val="24"/>
              </w:rPr>
            </w:pPr>
            <w:r w:rsidRPr="002C6D55">
              <w:rPr>
                <w:rFonts w:ascii="Times New Roman" w:hAnsi="Times New Roman" w:cs="Times New Roman"/>
                <w:color w:val="000000"/>
                <w:sz w:val="24"/>
                <w:szCs w:val="24"/>
              </w:rPr>
              <w:t>Podrška korisnicima, uključujući regionalnu razinu (rashodi poput: troškova vezanih za zapošljavanje, naknada, troškova vezanih uz uredski prostor, lokalnih putovanja, opreme za izobrazbu, isporuku izobrazbe – uključujući materijale za izobrazbu– opće i specijalizirane, u pripremnoj fazi projekata</w:t>
            </w:r>
            <w:r w:rsidR="002C6D55" w:rsidRPr="002C6D55">
              <w:rPr>
                <w:rFonts w:ascii="Times New Roman" w:hAnsi="Times New Roman" w:cs="Times New Roman"/>
                <w:color w:val="000000"/>
                <w:sz w:val="24"/>
                <w:szCs w:val="24"/>
              </w:rPr>
              <w:t xml:space="preserve">ili razvoj pojedinih strateških dokumenata ako takva podrška nije očekivana unutar određene prioritetne osi) </w:t>
            </w:r>
          </w:p>
          <w:p w:rsidR="002C6D55" w:rsidRPr="002C6D55" w:rsidRDefault="002C6D55" w:rsidP="002C6D55">
            <w:pPr>
              <w:numPr>
                <w:ilvl w:val="0"/>
                <w:numId w:val="14"/>
              </w:numPr>
              <w:rPr>
                <w:rFonts w:ascii="Times New Roman" w:hAnsi="Times New Roman"/>
                <w:color w:val="000000"/>
                <w:sz w:val="24"/>
                <w:szCs w:val="24"/>
              </w:rPr>
            </w:pPr>
            <w:r w:rsidRPr="002C6D55">
              <w:rPr>
                <w:rFonts w:ascii="Times New Roman" w:hAnsi="Times New Roman"/>
                <w:color w:val="000000"/>
                <w:sz w:val="24"/>
                <w:szCs w:val="24"/>
              </w:rPr>
              <w:t xml:space="preserve">Aktivnosti koje ciljaju na jačanje nacionalnih i regionalnih kapaciteta usmjerenih na planiranje ulaganja, procjenjivanje potreba, pripremu, predlaganje i provedbu financijskih alata, uobičajeni plan djelovanja i velike projekte, uključujući zajedničke inicijative s Europskom investicijskom bankom i Svjetskom bankom; </w:t>
            </w:r>
          </w:p>
          <w:p w:rsidR="002C6D55" w:rsidRPr="002C6D55" w:rsidRDefault="002C6D55" w:rsidP="002C6D55">
            <w:pPr>
              <w:numPr>
                <w:ilvl w:val="0"/>
                <w:numId w:val="14"/>
              </w:numPr>
              <w:rPr>
                <w:rFonts w:ascii="Times New Roman" w:hAnsi="Times New Roman"/>
                <w:color w:val="000000"/>
                <w:sz w:val="24"/>
                <w:szCs w:val="24"/>
              </w:rPr>
            </w:pPr>
            <w:r w:rsidRPr="002C6D55">
              <w:rPr>
                <w:rFonts w:ascii="Times New Roman" w:hAnsi="Times New Roman"/>
                <w:color w:val="000000"/>
                <w:sz w:val="24"/>
                <w:szCs w:val="24"/>
              </w:rPr>
              <w:t xml:space="preserve">Aktivnosti koje ciljaju na evaluaciju i praćenje ispunjavanja ciljeva postavljenih u OP-u (kupnja/razvoj baze podataka, pripreme i obradu istraživanja i upitnika, pripremu metodologija, procjenu utjecaja, pripremu različitih vrsta procjenjivanja, razvoj kapaciteta procjenjivanja, predviđanje, širenje informacija vezanih uz evaluaciju provedenoga – uz rashode poput: baza podataka, naknade, osoblje) </w:t>
            </w:r>
          </w:p>
          <w:p w:rsidR="002C6D55" w:rsidRPr="002C6D55" w:rsidRDefault="002C6D55" w:rsidP="002C6D55">
            <w:pPr>
              <w:numPr>
                <w:ilvl w:val="0"/>
                <w:numId w:val="14"/>
              </w:numPr>
              <w:rPr>
                <w:rFonts w:ascii="Times New Roman" w:hAnsi="Times New Roman"/>
                <w:color w:val="000000"/>
                <w:sz w:val="24"/>
                <w:szCs w:val="24"/>
              </w:rPr>
            </w:pPr>
            <w:r w:rsidRPr="002C6D55">
              <w:rPr>
                <w:rFonts w:ascii="Times New Roman" w:hAnsi="Times New Roman"/>
                <w:color w:val="000000"/>
                <w:sz w:val="24"/>
                <w:szCs w:val="24"/>
              </w:rPr>
              <w:t xml:space="preserve">Aktivnosti usmjerene na Integrirani informacijski sustav za upravljanje Kohezijskim fondom i strukturnim fondovima (SF MIS) (razvoj, kupnju, </w:t>
            </w:r>
            <w:r w:rsidRPr="002C6D55">
              <w:rPr>
                <w:rFonts w:ascii="Times New Roman" w:hAnsi="Times New Roman"/>
                <w:color w:val="000000"/>
                <w:sz w:val="24"/>
                <w:szCs w:val="24"/>
              </w:rPr>
              <w:lastRenderedPageBreak/>
              <w:t xml:space="preserve">ažuriranje, postavljanje hardvera i softvera, održavanje i rad sustava, sigurnost informacija i zaštita podataka s rashodima poput: naknada, kupnje hardvera ili softvera, kupnje/najma prostorija za servere…) </w:t>
            </w:r>
          </w:p>
          <w:p w:rsidR="002C6D55" w:rsidRPr="002C6D55" w:rsidRDefault="002C6D55" w:rsidP="002C6D55">
            <w:pPr>
              <w:numPr>
                <w:ilvl w:val="0"/>
                <w:numId w:val="14"/>
              </w:numPr>
              <w:rPr>
                <w:rFonts w:ascii="Times New Roman" w:hAnsi="Times New Roman"/>
                <w:color w:val="000000"/>
                <w:sz w:val="24"/>
                <w:szCs w:val="24"/>
              </w:rPr>
            </w:pPr>
            <w:r w:rsidRPr="002C6D55">
              <w:rPr>
                <w:rFonts w:ascii="Times New Roman" w:hAnsi="Times New Roman"/>
                <w:color w:val="000000"/>
                <w:sz w:val="24"/>
                <w:szCs w:val="24"/>
              </w:rPr>
              <w:t xml:space="preserve">Aktivnosti koje su usmjerene na Partnerstvo, uključujući nadzorne odbore (organizacija informativnih radionica, seminara, konferencija, priprema i organizacija savjetovanja, izgradnja kapaciteta, podrška za razvoj i praćenje politike s rashodima poput: troškova prostorija za sastanke na nacionalnoj/regionalnoj razini/troškova usmenog prevođenja, baza podataka) </w:t>
            </w:r>
          </w:p>
          <w:p w:rsidR="002C6D55" w:rsidRPr="002C6D55" w:rsidRDefault="002C6D55" w:rsidP="002C6D55">
            <w:pPr>
              <w:numPr>
                <w:ilvl w:val="0"/>
                <w:numId w:val="14"/>
              </w:numPr>
              <w:rPr>
                <w:rFonts w:ascii="Times New Roman" w:hAnsi="Times New Roman"/>
                <w:color w:val="000000"/>
                <w:sz w:val="24"/>
                <w:szCs w:val="24"/>
              </w:rPr>
            </w:pPr>
            <w:r w:rsidRPr="002C6D55">
              <w:rPr>
                <w:rFonts w:ascii="Times New Roman" w:hAnsi="Times New Roman"/>
                <w:color w:val="000000"/>
                <w:sz w:val="24"/>
                <w:szCs w:val="24"/>
              </w:rPr>
              <w:t xml:space="preserve">Aktivnosti revizije (priprema i provedba revizijske strategije, nasumično pregledavanje, priprema kontrolnih izvješća i s rashodi proizašli iz ovih aktivnosti: za troškovima kadra nadležnog revizorskog tijela, opremu i prostorije, vanjski stručnjaci i naknade konzultantima, razvoj interne baze podataka i njeno održavanje) </w:t>
            </w:r>
          </w:p>
          <w:p w:rsidR="002C6D55" w:rsidRDefault="002C6D55" w:rsidP="002176D9"/>
          <w:p w:rsidR="00B43B00" w:rsidRDefault="00B43B00" w:rsidP="002C6D55"/>
          <w:p w:rsidR="00B43B00" w:rsidRPr="002C6D55" w:rsidRDefault="00B43B00" w:rsidP="00B43B00">
            <w:pPr>
              <w:rPr>
                <w:rFonts w:ascii="Times New Roman" w:hAnsi="Times New Roman"/>
                <w:sz w:val="24"/>
                <w:szCs w:val="24"/>
              </w:rPr>
            </w:pPr>
            <w:r w:rsidRPr="002C6D55">
              <w:rPr>
                <w:rFonts w:ascii="Times New Roman" w:hAnsi="Times New Roman"/>
                <w:sz w:val="24"/>
                <w:szCs w:val="24"/>
              </w:rPr>
              <w:t>Aktivnosti vezane uz specifični cilj 2:</w:t>
            </w:r>
          </w:p>
          <w:p w:rsidR="00B43B00" w:rsidRPr="002C6D55" w:rsidRDefault="00B43B00" w:rsidP="00B43B00">
            <w:pPr>
              <w:rPr>
                <w:rFonts w:ascii="Times New Roman" w:hAnsi="Times New Roman"/>
                <w:sz w:val="24"/>
                <w:szCs w:val="24"/>
              </w:rPr>
            </w:pPr>
            <w:r w:rsidRPr="002C6D55">
              <w:rPr>
                <w:rFonts w:ascii="Times New Roman" w:hAnsi="Times New Roman"/>
                <w:sz w:val="24"/>
                <w:szCs w:val="24"/>
              </w:rPr>
              <w:t>•</w:t>
            </w:r>
            <w:r w:rsidRPr="002C6D55">
              <w:rPr>
                <w:rFonts w:ascii="Times New Roman" w:hAnsi="Times New Roman"/>
                <w:sz w:val="24"/>
                <w:szCs w:val="24"/>
              </w:rPr>
              <w:tab/>
              <w:t xml:space="preserve">Aktivnosti usmjerene na komunikacije (priprema komunikacijske strategije, razvoj smjernica/akcijskog plana i njihove primjene, priručni materijali za tijela unutar sustava i za korisnike, priprema, izrada i slanje javnih materijala, sudjelovanje u audio-vizualnim medijima, priopćenjima za javnost, konferencijama, informiranje i izobrazba za novinare, sudionike na izložbama, izrada, razvoj i rad internetskih stranica, promotivni programi – razmjena najbolje prakse na međunarodnoj/državnoj/regionalnoj i lokalnoj razini, s rashodima poput: naknade, izrada, uređivanje, ispis, snimanje, oglašavanje, konferencijska sala/oprema, unajmljivanje izložbene sale/opreme ) Prijevod dokumenata (rashodi poput: naknada, opreme i najma prikladne tehničke opreme) </w:t>
            </w:r>
          </w:p>
          <w:p w:rsidR="00B43B00" w:rsidRDefault="00B43B00" w:rsidP="00B43B00">
            <w:r w:rsidRPr="002C6D55">
              <w:rPr>
                <w:rFonts w:ascii="Times New Roman" w:hAnsi="Times New Roman"/>
                <w:sz w:val="24"/>
                <w:szCs w:val="24"/>
              </w:rPr>
              <w:t>Arhiviranje/pohrana dokumentacije (rashodi poput: kupnja ili najam arhive, sigurnost, fotokopiranje, digitalizacija)</w:t>
            </w:r>
          </w:p>
        </w:tc>
      </w:tr>
    </w:tbl>
    <w:p w:rsidR="00FC3F35" w:rsidRPr="00576C1D" w:rsidRDefault="00FC3F35" w:rsidP="00FC3F35">
      <w:pPr>
        <w:widowControl w:val="0"/>
        <w:autoSpaceDE w:val="0"/>
        <w:autoSpaceDN w:val="0"/>
        <w:adjustRightInd w:val="0"/>
        <w:spacing w:after="0" w:line="1" w:lineRule="exact"/>
        <w:rPr>
          <w:rFonts w:ascii="Times New Roman" w:eastAsia="Times New Roman" w:hAnsi="Times New Roman" w:cs="Times New Roman"/>
          <w:sz w:val="2"/>
          <w:szCs w:val="2"/>
          <w:lang w:eastAsia="hr-HR"/>
        </w:rPr>
      </w:pPr>
    </w:p>
    <w:p w:rsidR="00103797" w:rsidRDefault="00103797">
      <w:pPr>
        <w:rPr>
          <w:rFonts w:ascii="Times New Roman" w:eastAsia="Times New Roman" w:hAnsi="Times New Roman" w:cs="Times New Roman"/>
          <w:i/>
          <w:iCs/>
          <w:color w:val="000000"/>
          <w:sz w:val="24"/>
          <w:szCs w:val="24"/>
          <w:lang w:eastAsia="hr-HR"/>
        </w:rPr>
      </w:pPr>
      <w:r>
        <w:rPr>
          <w:rFonts w:ascii="Times New Roman" w:eastAsia="Times New Roman" w:hAnsi="Times New Roman" w:cs="Times New Roman"/>
          <w:i/>
          <w:iCs/>
          <w:color w:val="000000"/>
          <w:sz w:val="24"/>
          <w:szCs w:val="24"/>
          <w:lang w:eastAsia="hr-HR"/>
        </w:rPr>
        <w:br w:type="page"/>
      </w:r>
    </w:p>
    <w:p w:rsidR="00FC3F35" w:rsidRPr="00576C1D" w:rsidRDefault="00FC3F35" w:rsidP="00FC3F35">
      <w:pPr>
        <w:widowControl w:val="0"/>
        <w:shd w:val="clear" w:color="auto" w:fill="FFFFFF"/>
        <w:autoSpaceDE w:val="0"/>
        <w:autoSpaceDN w:val="0"/>
        <w:adjustRightInd w:val="0"/>
        <w:spacing w:before="97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i/>
          <w:iCs/>
          <w:color w:val="000000"/>
          <w:sz w:val="24"/>
          <w:szCs w:val="24"/>
          <w:lang w:eastAsia="hr-HR"/>
        </w:rPr>
        <w:lastRenderedPageBreak/>
        <w:t>2.B.6.2 Izlazni pokazatelji za koje se vjeruje da će pridonijeti rezultatima (po prioritetnoj osi )</w:t>
      </w:r>
    </w:p>
    <w:p w:rsidR="00103797" w:rsidRDefault="00103797">
      <w:pPr>
        <w:rPr>
          <w:rFonts w:ascii="Times New Roman" w:eastAsia="Times New Roman" w:hAnsi="Times New Roman" w:cs="Times New Roman"/>
          <w:b/>
          <w:bCs/>
          <w:i/>
          <w:iCs/>
          <w:color w:val="000000"/>
          <w:spacing w:val="-1"/>
          <w:sz w:val="24"/>
          <w:szCs w:val="24"/>
          <w:lang w:eastAsia="hr-HR"/>
        </w:rPr>
      </w:pPr>
    </w:p>
    <w:p w:rsidR="00FC3F35" w:rsidRPr="00576C1D" w:rsidRDefault="00FC3F35" w:rsidP="00FC3F35">
      <w:pPr>
        <w:widowControl w:val="0"/>
        <w:shd w:val="clear" w:color="auto" w:fill="FFFFFF"/>
        <w:autoSpaceDE w:val="0"/>
        <w:autoSpaceDN w:val="0"/>
        <w:adjustRightInd w:val="0"/>
        <w:spacing w:before="514" w:after="0" w:line="240" w:lineRule="auto"/>
        <w:ind w:left="55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i/>
          <w:iCs/>
          <w:color w:val="000000"/>
          <w:spacing w:val="-1"/>
          <w:sz w:val="24"/>
          <w:szCs w:val="24"/>
          <w:lang w:eastAsia="hr-HR"/>
        </w:rPr>
        <w:t xml:space="preserve">Tablica 13: Izlazni pokazatelji  </w:t>
      </w:r>
      <w:r w:rsidRPr="00576C1D">
        <w:rPr>
          <w:rFonts w:ascii="Times New Roman" w:eastAsia="Times New Roman" w:hAnsi="Times New Roman" w:cs="Times New Roman"/>
          <w:i/>
          <w:iCs/>
          <w:color w:val="000000"/>
          <w:spacing w:val="-1"/>
          <w:sz w:val="24"/>
          <w:szCs w:val="24"/>
          <w:lang w:eastAsia="hr-HR"/>
        </w:rPr>
        <w:t>(prema Prioritetnoj osi )</w:t>
      </w:r>
      <w:r w:rsidRPr="00576C1D">
        <w:rPr>
          <w:rFonts w:ascii="Times New Roman" w:eastAsia="Times New Roman" w:hAnsi="Times New Roman" w:cs="Times New Roman"/>
          <w:color w:val="000000"/>
          <w:spacing w:val="-1"/>
          <w:sz w:val="24"/>
          <w:szCs w:val="24"/>
          <w:lang w:eastAsia="hr-HR"/>
        </w:rPr>
        <w:t xml:space="preserve"> (za EFFR/ESF/Kohezijski fond) </w:t>
      </w:r>
    </w:p>
    <w:p w:rsidR="00FC3F35" w:rsidRPr="00576C1D" w:rsidRDefault="00FC3F35" w:rsidP="00FC3F35">
      <w:pPr>
        <w:widowControl w:val="0"/>
        <w:autoSpaceDE w:val="0"/>
        <w:autoSpaceDN w:val="0"/>
        <w:adjustRightInd w:val="0"/>
        <w:spacing w:after="115" w:line="1" w:lineRule="exact"/>
        <w:rPr>
          <w:rFonts w:ascii="Times New Roman" w:eastAsia="Times New Roman" w:hAnsi="Times New Roman" w:cs="Times New Roman"/>
          <w:sz w:val="2"/>
          <w:szCs w:val="2"/>
          <w:lang w:eastAsia="hr-HR"/>
        </w:rPr>
      </w:pPr>
    </w:p>
    <w:tbl>
      <w:tblPr>
        <w:tblW w:w="14317" w:type="dxa"/>
        <w:tblInd w:w="-102" w:type="dxa"/>
        <w:tblLayout w:type="fixed"/>
        <w:tblCellMar>
          <w:left w:w="40" w:type="dxa"/>
          <w:right w:w="40" w:type="dxa"/>
        </w:tblCellMar>
        <w:tblLook w:val="0000" w:firstRow="0" w:lastRow="0" w:firstColumn="0" w:lastColumn="0" w:noHBand="0" w:noVBand="0"/>
      </w:tblPr>
      <w:tblGrid>
        <w:gridCol w:w="1054"/>
        <w:gridCol w:w="4541"/>
        <w:gridCol w:w="1843"/>
        <w:gridCol w:w="1843"/>
        <w:gridCol w:w="1843"/>
        <w:gridCol w:w="1699"/>
        <w:gridCol w:w="1494"/>
      </w:tblGrid>
      <w:tr w:rsidR="00FC3F35" w:rsidRPr="00576C1D" w:rsidTr="009A3B5E">
        <w:trPr>
          <w:trHeight w:hRule="exact" w:val="442"/>
        </w:trPr>
        <w:tc>
          <w:tcPr>
            <w:tcW w:w="14317" w:type="dxa"/>
            <w:gridSpan w:val="7"/>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Prioritetna os                 10 - Tehnička pomoć </w:t>
            </w:r>
          </w:p>
        </w:tc>
      </w:tr>
      <w:tr w:rsidR="00FC3F35" w:rsidRPr="00576C1D" w:rsidTr="009A3B5E">
        <w:trPr>
          <w:trHeight w:hRule="exact" w:val="317"/>
        </w:trPr>
        <w:tc>
          <w:tcPr>
            <w:tcW w:w="1054"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50"/>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Oznaka</w:t>
            </w:r>
          </w:p>
        </w:tc>
        <w:tc>
          <w:tcPr>
            <w:tcW w:w="4541"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16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Pokazatelj (naziv pokazatelja )</w:t>
            </w:r>
          </w:p>
        </w:tc>
        <w:tc>
          <w:tcPr>
            <w:tcW w:w="1843" w:type="dxa"/>
            <w:tcBorders>
              <w:top w:val="single" w:sz="6" w:space="0" w:color="auto"/>
              <w:left w:val="single" w:sz="6" w:space="0" w:color="auto"/>
              <w:bottom w:val="nil"/>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7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Mjerna jedinica </w:t>
            </w:r>
          </w:p>
        </w:tc>
        <w:tc>
          <w:tcPr>
            <w:tcW w:w="5385"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56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Ciljana vrijednost (2023.) (nije obvezno)</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2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Izvor podataka </w:t>
            </w:r>
          </w:p>
        </w:tc>
      </w:tr>
      <w:tr w:rsidR="00FC3F35" w:rsidRPr="00576C1D" w:rsidTr="009A3B5E">
        <w:trPr>
          <w:trHeight w:hRule="exact" w:val="1755"/>
        </w:trPr>
        <w:tc>
          <w:tcPr>
            <w:tcW w:w="1054"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4541"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43" w:type="dxa"/>
            <w:tcBorders>
              <w:top w:val="nil"/>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p w:rsidR="00FC3F35" w:rsidRPr="00576C1D" w:rsidRDefault="00FC3F35" w:rsidP="00FC3F35">
            <w:pPr>
              <w:widowControl w:val="0"/>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3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M</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72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Ž</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8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U</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r>
      <w:tr w:rsidR="00FC3F35" w:rsidRPr="00576C1D" w:rsidTr="009A3B5E">
        <w:trPr>
          <w:trHeight w:hRule="exact" w:val="528"/>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78"/>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7"/>
                <w:sz w:val="16"/>
                <w:szCs w:val="16"/>
                <w:lang w:eastAsia="hr-HR"/>
              </w:rPr>
              <w:t>TA1.1</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Broj studija, anketa i izvješća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3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700,00</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2C6D5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pacing w:val="-2"/>
                <w:sz w:val="16"/>
                <w:szCs w:val="16"/>
                <w:lang w:eastAsia="hr-HR"/>
              </w:rPr>
              <w:t>Izvješća o provođenju /MIS</w:t>
            </w:r>
          </w:p>
        </w:tc>
      </w:tr>
      <w:tr w:rsidR="00FC3F35" w:rsidRPr="00576C1D" w:rsidTr="009A3B5E">
        <w:trPr>
          <w:trHeight w:hRule="exact" w:val="518"/>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69"/>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TA1.2</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 sudionika u izobrazbi</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17"/>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7.000,00</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2C6D5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pacing w:val="-2"/>
                <w:sz w:val="16"/>
                <w:szCs w:val="16"/>
                <w:lang w:eastAsia="hr-HR"/>
              </w:rPr>
              <w:t>Izvješća o provođenju /MIS</w:t>
            </w:r>
          </w:p>
        </w:tc>
      </w:tr>
      <w:tr w:rsidR="00FC3F35" w:rsidRPr="00576C1D" w:rsidTr="009A3B5E">
        <w:trPr>
          <w:trHeight w:hRule="exact" w:val="528"/>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74"/>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TA1.3</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2C6D5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pacing w:val="-1"/>
                <w:sz w:val="16"/>
                <w:szCs w:val="16"/>
                <w:lang w:eastAsia="hr-HR"/>
              </w:rPr>
              <w:t>Broj projekata za jačanje</w:t>
            </w:r>
            <w:r w:rsidR="00FC3F35" w:rsidRPr="00576C1D">
              <w:rPr>
                <w:rFonts w:ascii="Times New Roman" w:eastAsia="Times New Roman" w:hAnsi="Times New Roman" w:cs="Times New Roman"/>
                <w:color w:val="000000"/>
                <w:spacing w:val="-1"/>
                <w:sz w:val="16"/>
                <w:szCs w:val="16"/>
                <w:lang w:eastAsia="hr-HR"/>
              </w:rPr>
              <w:t xml:space="preserve"> kapaciteta korisnika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51"/>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sz w:val="16"/>
                <w:szCs w:val="16"/>
                <w:lang w:eastAsia="hr-HR"/>
              </w:rPr>
              <w:t>100,00</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2C6D5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pacing w:val="-2"/>
                <w:sz w:val="16"/>
                <w:szCs w:val="16"/>
                <w:lang w:eastAsia="hr-HR"/>
              </w:rPr>
              <w:t>Izvješća o provođenju /MIS</w:t>
            </w:r>
          </w:p>
        </w:tc>
      </w:tr>
      <w:tr w:rsidR="00FC3F35" w:rsidRPr="00576C1D" w:rsidTr="009A3B5E">
        <w:trPr>
          <w:trHeight w:hRule="exact" w:val="547"/>
        </w:trPr>
        <w:tc>
          <w:tcPr>
            <w:tcW w:w="10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78"/>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TA2.1</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Broj javnih događaja informiranja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Broj</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11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60,00</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2C6D5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pacing w:val="-2"/>
                <w:sz w:val="16"/>
                <w:szCs w:val="16"/>
                <w:lang w:eastAsia="hr-HR"/>
              </w:rPr>
              <w:t>Izvješća o provođenju /MIS</w:t>
            </w:r>
          </w:p>
        </w:tc>
      </w:tr>
    </w:tbl>
    <w:p w:rsidR="00103797" w:rsidRDefault="00103797"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b/>
          <w:bCs/>
          <w:color w:val="000000"/>
          <w:sz w:val="24"/>
          <w:szCs w:val="24"/>
          <w:lang w:eastAsia="hr-HR"/>
        </w:rPr>
      </w:pPr>
    </w:p>
    <w:p w:rsidR="00103797" w:rsidRDefault="00103797">
      <w:pP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br w:type="page"/>
      </w:r>
    </w:p>
    <w:p w:rsidR="00FC3F35" w:rsidRPr="00576C1D" w:rsidRDefault="00FC3F35" w:rsidP="00FC3F35">
      <w:pPr>
        <w:widowControl w:val="0"/>
        <w:shd w:val="clear" w:color="auto" w:fill="FFFFFF"/>
        <w:autoSpaceDE w:val="0"/>
        <w:autoSpaceDN w:val="0"/>
        <w:adjustRightInd w:val="0"/>
        <w:spacing w:before="509" w:after="0" w:line="240" w:lineRule="auto"/>
        <w:ind w:left="538"/>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24"/>
          <w:szCs w:val="24"/>
          <w:lang w:eastAsia="hr-HR"/>
        </w:rPr>
        <w:lastRenderedPageBreak/>
        <w:t xml:space="preserve">2.B.7 Kategorije intervencije </w:t>
      </w:r>
      <w:r w:rsidRPr="00576C1D">
        <w:rPr>
          <w:rFonts w:ascii="Times New Roman" w:eastAsia="Times New Roman" w:hAnsi="Times New Roman" w:cs="Times New Roman"/>
          <w:color w:val="000000"/>
          <w:sz w:val="24"/>
          <w:szCs w:val="24"/>
          <w:lang w:eastAsia="hr-HR"/>
        </w:rPr>
        <w:t>(po prioritetnoj osi )</w:t>
      </w:r>
    </w:p>
    <w:p w:rsidR="00FC3F35" w:rsidRPr="00576C1D" w:rsidRDefault="00FC3F35" w:rsidP="00103797">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24"/>
          <w:szCs w:val="24"/>
          <w:lang w:eastAsia="hr-HR"/>
        </w:rPr>
        <w:t>Odgovarajuće kategorije intervencije prema nomenklaturi koju je usvojila Komisija i indikativni pregled potpora Unije</w:t>
      </w:r>
    </w:p>
    <w:p w:rsidR="00103797" w:rsidRDefault="00103797"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color w:val="000000"/>
          <w:spacing w:val="3"/>
          <w:sz w:val="24"/>
          <w:szCs w:val="24"/>
          <w:lang w:eastAsia="hr-HR"/>
        </w:rPr>
      </w:pPr>
    </w:p>
    <w:p w:rsidR="00FC3F35" w:rsidRPr="00576C1D" w:rsidRDefault="00FC3F35" w:rsidP="00FC3F35">
      <w:pPr>
        <w:widowControl w:val="0"/>
        <w:shd w:val="clear" w:color="auto" w:fill="FFFFFF"/>
        <w:autoSpaceDE w:val="0"/>
        <w:autoSpaceDN w:val="0"/>
        <w:adjustRightInd w:val="0"/>
        <w:spacing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24"/>
          <w:szCs w:val="24"/>
          <w:lang w:eastAsia="hr-HR"/>
        </w:rPr>
        <w:t xml:space="preserve">Tablice 14 - 16: </w:t>
      </w:r>
      <w:r w:rsidRPr="00576C1D">
        <w:rPr>
          <w:rFonts w:ascii="Times New Roman" w:eastAsia="Times New Roman" w:hAnsi="Times New Roman" w:cs="Times New Roman"/>
          <w:b/>
          <w:bCs/>
          <w:color w:val="000000"/>
          <w:spacing w:val="3"/>
          <w:sz w:val="24"/>
          <w:szCs w:val="24"/>
          <w:lang w:eastAsia="hr-HR"/>
        </w:rPr>
        <w:t>Kategorije intervencije</w:t>
      </w:r>
    </w:p>
    <w:p w:rsidR="00FC3F35" w:rsidRPr="00576C1D" w:rsidRDefault="00FC3F35" w:rsidP="00FC3F35">
      <w:pPr>
        <w:widowControl w:val="0"/>
        <w:shd w:val="clear" w:color="auto" w:fill="FFFFFF"/>
        <w:autoSpaceDE w:val="0"/>
        <w:autoSpaceDN w:val="0"/>
        <w:adjustRightInd w:val="0"/>
        <w:spacing w:before="403"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lang w:eastAsia="hr-HR"/>
        </w:rPr>
        <w:t>Tablica 14: Dimenzija 1 – Polje intervencije</w:t>
      </w:r>
    </w:p>
    <w:p w:rsidR="00FC3F35" w:rsidRPr="00576C1D" w:rsidRDefault="00FC3F35" w:rsidP="00FC3F35">
      <w:pPr>
        <w:widowControl w:val="0"/>
        <w:autoSpaceDE w:val="0"/>
        <w:autoSpaceDN w:val="0"/>
        <w:adjustRightInd w:val="0"/>
        <w:spacing w:after="48"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3446"/>
        <w:gridCol w:w="8554"/>
        <w:gridCol w:w="2170"/>
      </w:tblGrid>
      <w:tr w:rsidR="00FC3F35" w:rsidRPr="00576C1D" w:rsidTr="00FC3F35">
        <w:trPr>
          <w:trHeight w:hRule="exact" w:val="442"/>
        </w:trPr>
        <w:tc>
          <w:tcPr>
            <w:tcW w:w="15149"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Prioritetna os                 10 - Tehnička pomoć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8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3984"/>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Šifra </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619"/>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eurima </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 xml:space="preserve">EFRR </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8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121. </w:t>
            </w:r>
            <w:r w:rsidRPr="00576C1D">
              <w:rPr>
                <w:rFonts w:ascii="Times New Roman" w:eastAsia="Times New Roman" w:hAnsi="Times New Roman" w:cs="Times New Roman"/>
                <w:color w:val="000000"/>
                <w:spacing w:val="-2"/>
                <w:sz w:val="16"/>
                <w:szCs w:val="16"/>
                <w:lang w:eastAsia="hr-HR"/>
              </w:rPr>
              <w:t>Priprem</w:t>
            </w:r>
            <w:r w:rsidR="002C6D55">
              <w:rPr>
                <w:rFonts w:ascii="Times New Roman" w:eastAsia="Times New Roman" w:hAnsi="Times New Roman" w:cs="Times New Roman"/>
                <w:color w:val="000000"/>
                <w:spacing w:val="-2"/>
                <w:sz w:val="16"/>
                <w:szCs w:val="16"/>
                <w:lang w:eastAsia="hr-HR"/>
              </w:rPr>
              <w:t>a, provedba</w:t>
            </w:r>
            <w:r w:rsidRPr="00576C1D">
              <w:rPr>
                <w:rFonts w:ascii="Times New Roman" w:eastAsia="Times New Roman" w:hAnsi="Times New Roman" w:cs="Times New Roman"/>
                <w:color w:val="000000"/>
                <w:spacing w:val="-2"/>
                <w:sz w:val="16"/>
                <w:szCs w:val="16"/>
                <w:lang w:eastAsia="hr-HR"/>
              </w:rPr>
              <w:t>, praćenje i kontrola</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174.512.612,00</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 xml:space="preserve">EFRR </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8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2C6D5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pacing w:val="-2"/>
                <w:sz w:val="16"/>
                <w:szCs w:val="16"/>
                <w:lang w:eastAsia="hr-HR"/>
              </w:rPr>
              <w:t>122. Evaluacija i studije</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20.000.000,00</w:t>
            </w:r>
          </w:p>
        </w:tc>
      </w:tr>
      <w:tr w:rsidR="00FC3F35" w:rsidRPr="00576C1D" w:rsidTr="00FC3F35">
        <w:trPr>
          <w:trHeight w:hRule="exact" w:val="44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5"/>
                <w:sz w:val="16"/>
                <w:szCs w:val="16"/>
                <w:lang w:eastAsia="hr-HR"/>
              </w:rPr>
              <w:t xml:space="preserve">EFRR </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8554"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123. Informiranje i komunikacija</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18"/>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2"/>
                <w:sz w:val="16"/>
                <w:szCs w:val="16"/>
                <w:lang w:eastAsia="hr-HR"/>
              </w:rPr>
              <w:t>21.600.000,00</w:t>
            </w:r>
          </w:p>
        </w:tc>
      </w:tr>
    </w:tbl>
    <w:p w:rsidR="00FC3F35" w:rsidRPr="00576C1D" w:rsidRDefault="00FC3F35" w:rsidP="00FC3F35">
      <w:pPr>
        <w:widowControl w:val="0"/>
        <w:shd w:val="clear" w:color="auto" w:fill="FFFFFF"/>
        <w:autoSpaceDE w:val="0"/>
        <w:autoSpaceDN w:val="0"/>
        <w:adjustRightInd w:val="0"/>
        <w:spacing w:before="494" w:after="0" w:line="240" w:lineRule="auto"/>
        <w:ind w:left="542"/>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6"/>
          <w:lang w:eastAsia="hr-HR"/>
        </w:rPr>
        <w:t>Tablica 15: Dimenzija 2 – Način financiranja</w:t>
      </w:r>
    </w:p>
    <w:p w:rsidR="00FC3F35" w:rsidRPr="00576C1D" w:rsidRDefault="00FC3F35" w:rsidP="00FC3F35">
      <w:pPr>
        <w:widowControl w:val="0"/>
        <w:autoSpaceDE w:val="0"/>
        <w:autoSpaceDN w:val="0"/>
        <w:adjustRightInd w:val="0"/>
        <w:spacing w:after="48"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3446"/>
        <w:gridCol w:w="8640"/>
        <w:gridCol w:w="2083"/>
      </w:tblGrid>
      <w:tr w:rsidR="00FC3F35" w:rsidRPr="00576C1D" w:rsidTr="00FC3F35">
        <w:trPr>
          <w:trHeight w:hRule="exact" w:val="442"/>
        </w:trPr>
        <w:tc>
          <w:tcPr>
            <w:tcW w:w="15148" w:type="dxa"/>
            <w:gridSpan w:val="4"/>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Prioritetna os                 10 - Tehnička pomoć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197"/>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864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03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Šifra </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6"/>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Iznos u eurima </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right="221"/>
              <w:jc w:val="right"/>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3"/>
                <w:sz w:val="16"/>
                <w:szCs w:val="16"/>
                <w:lang w:eastAsia="hr-HR"/>
              </w:rPr>
              <w:t xml:space="preserve">EFRR </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864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01. Bespovratna sredstva </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216.112.612,00</w:t>
            </w:r>
          </w:p>
        </w:tc>
      </w:tr>
    </w:tbl>
    <w:p w:rsidR="00FC3F35" w:rsidRPr="00576C1D" w:rsidRDefault="00FC3F35" w:rsidP="00FC3F35">
      <w:pPr>
        <w:widowControl w:val="0"/>
        <w:autoSpaceDE w:val="0"/>
        <w:autoSpaceDN w:val="0"/>
        <w:adjustRightInd w:val="0"/>
        <w:spacing w:after="547"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79"/>
        <w:gridCol w:w="1210"/>
        <w:gridCol w:w="2237"/>
        <w:gridCol w:w="8640"/>
        <w:gridCol w:w="2083"/>
      </w:tblGrid>
      <w:tr w:rsidR="00FC3F35" w:rsidRPr="00576C1D" w:rsidTr="00FC3F35">
        <w:trPr>
          <w:trHeight w:hRule="exact" w:val="259"/>
        </w:trPr>
        <w:tc>
          <w:tcPr>
            <w:tcW w:w="15149" w:type="dxa"/>
            <w:gridSpan w:val="5"/>
            <w:tcBorders>
              <w:top w:val="nil"/>
              <w:left w:val="nil"/>
              <w:bottom w:val="single" w:sz="6" w:space="0" w:color="auto"/>
              <w:right w:val="nil"/>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lang w:eastAsia="hr-HR"/>
              </w:rPr>
              <w:t>Tablica 16: Dimenzija 3 – Vrsta područja</w:t>
            </w:r>
          </w:p>
        </w:tc>
      </w:tr>
      <w:tr w:rsidR="00FC3F35" w:rsidRPr="00576C1D" w:rsidTr="00FC3F35">
        <w:trPr>
          <w:trHeight w:hRule="exact" w:val="432"/>
        </w:trPr>
        <w:tc>
          <w:tcPr>
            <w:tcW w:w="2189"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2"/>
                <w:sz w:val="16"/>
                <w:szCs w:val="16"/>
                <w:lang w:eastAsia="hr-HR"/>
              </w:rPr>
              <w:t xml:space="preserve">Prioritetna os </w:t>
            </w:r>
          </w:p>
        </w:tc>
        <w:tc>
          <w:tcPr>
            <w:tcW w:w="12960" w:type="dxa"/>
            <w:gridSpan w:val="3"/>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z w:val="16"/>
                <w:szCs w:val="16"/>
                <w:lang w:eastAsia="hr-HR"/>
              </w:rPr>
              <w:t xml:space="preserve">10 </w:t>
            </w:r>
            <w:r w:rsidRPr="00576C1D">
              <w:rPr>
                <w:rFonts w:ascii="Times New Roman" w:eastAsia="Times New Roman" w:hAnsi="Times New Roman" w:cs="Times New Roman"/>
                <w:color w:val="000000"/>
                <w:sz w:val="16"/>
                <w:szCs w:val="16"/>
                <w:lang w:eastAsia="hr-HR"/>
              </w:rPr>
              <w:t xml:space="preserve">- </w:t>
            </w:r>
            <w:r w:rsidRPr="00576C1D">
              <w:rPr>
                <w:rFonts w:ascii="Times New Roman" w:eastAsia="Times New Roman" w:hAnsi="Times New Roman" w:cs="Times New Roman"/>
                <w:b/>
                <w:bCs/>
                <w:color w:val="000000"/>
                <w:sz w:val="16"/>
                <w:szCs w:val="16"/>
                <w:lang w:eastAsia="hr-HR"/>
              </w:rPr>
              <w:t xml:space="preserve">Tehnička pomoć </w:t>
            </w:r>
          </w:p>
        </w:tc>
      </w:tr>
      <w:tr w:rsidR="00FC3F35" w:rsidRPr="00576C1D" w:rsidTr="00FC3F35">
        <w:trPr>
          <w:trHeight w:hRule="exact" w:val="432"/>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5"/>
                <w:sz w:val="16"/>
                <w:szCs w:val="16"/>
                <w:lang w:eastAsia="hr-HR"/>
              </w:rPr>
              <w:t>Fond</w:t>
            </w:r>
          </w:p>
        </w:tc>
        <w:tc>
          <w:tcPr>
            <w:tcW w:w="344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Kategorija regije </w:t>
            </w:r>
          </w:p>
        </w:tc>
        <w:tc>
          <w:tcPr>
            <w:tcW w:w="864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4032"/>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3"/>
                <w:sz w:val="16"/>
                <w:szCs w:val="16"/>
                <w:lang w:eastAsia="hr-HR"/>
              </w:rPr>
              <w:t xml:space="preserve">Šifra </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576"/>
              <w:rPr>
                <w:rFonts w:ascii="Times New Roman" w:eastAsia="Times New Roman" w:hAnsi="Times New Roman" w:cs="Times New Roman"/>
                <w:sz w:val="20"/>
                <w:szCs w:val="20"/>
                <w:lang w:eastAsia="hr-HR"/>
              </w:rPr>
            </w:pPr>
            <w:r w:rsidRPr="00576C1D">
              <w:rPr>
                <w:rFonts w:ascii="Times New Roman" w:eastAsia="Times New Roman" w:hAnsi="Times New Roman" w:cs="Times New Roman"/>
                <w:b/>
                <w:bCs/>
                <w:color w:val="000000"/>
                <w:spacing w:val="-1"/>
                <w:sz w:val="16"/>
                <w:szCs w:val="16"/>
                <w:lang w:eastAsia="hr-HR"/>
              </w:rPr>
              <w:t xml:space="preserve">Iznos u eurima </w:t>
            </w:r>
          </w:p>
        </w:tc>
      </w:tr>
      <w:tr w:rsidR="00FC3F35" w:rsidRPr="00576C1D" w:rsidTr="00FC3F35">
        <w:trPr>
          <w:trHeight w:hRule="exact" w:val="451"/>
        </w:trPr>
        <w:tc>
          <w:tcPr>
            <w:tcW w:w="979"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4"/>
                <w:sz w:val="16"/>
                <w:szCs w:val="16"/>
                <w:lang w:eastAsia="hr-HR"/>
              </w:rPr>
              <w:t xml:space="preserve">EFRR </w:t>
            </w:r>
          </w:p>
        </w:tc>
        <w:tc>
          <w:tcPr>
            <w:tcW w:w="3447" w:type="dxa"/>
            <w:gridSpan w:val="2"/>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color w:val="000000"/>
                <w:spacing w:val="-1"/>
                <w:sz w:val="16"/>
                <w:szCs w:val="16"/>
                <w:lang w:eastAsia="hr-HR"/>
              </w:rPr>
              <w:t xml:space="preserve">Manje razvijena </w:t>
            </w:r>
          </w:p>
        </w:tc>
        <w:tc>
          <w:tcPr>
            <w:tcW w:w="8640"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5"/>
                <w:sz w:val="16"/>
                <w:szCs w:val="16"/>
                <w:lang w:eastAsia="hr-HR"/>
              </w:rPr>
              <w:t xml:space="preserve">07. Nije primjenjivo </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FC3F35" w:rsidRPr="00576C1D" w:rsidRDefault="00FC3F35" w:rsidP="00FC3F35">
            <w:pPr>
              <w:widowControl w:val="0"/>
              <w:shd w:val="clear" w:color="auto" w:fill="FFFFFF"/>
              <w:autoSpaceDE w:val="0"/>
              <w:autoSpaceDN w:val="0"/>
              <w:adjustRightInd w:val="0"/>
              <w:spacing w:after="0" w:line="240" w:lineRule="auto"/>
              <w:ind w:left="850"/>
              <w:rPr>
                <w:rFonts w:ascii="Times New Roman" w:eastAsia="Times New Roman" w:hAnsi="Times New Roman" w:cs="Times New Roman"/>
                <w:sz w:val="20"/>
                <w:szCs w:val="20"/>
                <w:lang w:eastAsia="hr-HR"/>
              </w:rPr>
            </w:pPr>
            <w:r w:rsidRPr="00576C1D">
              <w:rPr>
                <w:rFonts w:ascii="Times New Roman" w:eastAsia="Times New Roman" w:hAnsi="Times New Roman" w:cs="Times New Roman"/>
                <w:bCs/>
                <w:color w:val="000000"/>
                <w:spacing w:val="-2"/>
                <w:sz w:val="16"/>
                <w:szCs w:val="16"/>
                <w:lang w:eastAsia="hr-HR"/>
              </w:rPr>
              <w:t>216.112.612,00</w:t>
            </w:r>
          </w:p>
        </w:tc>
      </w:tr>
    </w:tbl>
    <w:p w:rsidR="004152C2" w:rsidRDefault="004152C2">
      <w:pPr>
        <w:rPr>
          <w:rFonts w:ascii="Times New Roman" w:hAnsi="Times New Roman" w:cs="Times New Roman"/>
        </w:rPr>
      </w:pPr>
    </w:p>
    <w:p w:rsidR="009B2E82" w:rsidRDefault="009B2E82">
      <w:pPr>
        <w:rPr>
          <w:rFonts w:ascii="Times New Roman" w:hAnsi="Times New Roman" w:cs="Times New Roman"/>
        </w:rPr>
      </w:pPr>
    </w:p>
    <w:p w:rsidR="00D314B7" w:rsidRDefault="00D314B7" w:rsidP="009B2E82">
      <w:pPr>
        <w:widowControl w:val="0"/>
        <w:shd w:val="clear" w:color="auto" w:fill="FFFFFF"/>
        <w:autoSpaceDE w:val="0"/>
        <w:autoSpaceDN w:val="0"/>
        <w:adjustRightInd w:val="0"/>
        <w:spacing w:after="0" w:line="240" w:lineRule="auto"/>
        <w:ind w:left="538"/>
        <w:rPr>
          <w:rFonts w:ascii="Times New Roman" w:eastAsia="Times New Roman" w:hAnsi="Times New Roman" w:cs="Times New Roman"/>
          <w:color w:val="000000"/>
          <w:spacing w:val="-10"/>
          <w:sz w:val="26"/>
          <w:szCs w:val="2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53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0"/>
          <w:sz w:val="26"/>
          <w:szCs w:val="26"/>
          <w:lang w:eastAsia="hr-HR"/>
        </w:rPr>
        <w:lastRenderedPageBreak/>
        <w:t xml:space="preserve">3. PLAN FINANCIRANJA </w:t>
      </w:r>
    </w:p>
    <w:p w:rsidR="009B2E82" w:rsidRPr="009B2E82" w:rsidRDefault="009B2E82" w:rsidP="009B2E82">
      <w:pPr>
        <w:widowControl w:val="0"/>
        <w:shd w:val="clear" w:color="auto" w:fill="FFFFFF"/>
        <w:autoSpaceDE w:val="0"/>
        <w:autoSpaceDN w:val="0"/>
        <w:adjustRightInd w:val="0"/>
        <w:spacing w:before="490" w:after="0" w:line="240" w:lineRule="auto"/>
        <w:ind w:left="538"/>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6"/>
          <w:szCs w:val="26"/>
          <w:lang w:eastAsia="hr-HR"/>
        </w:rPr>
        <w:t xml:space="preserve">3.1 Financijska raspodjela iz svakog fonda i iznosi pričuve za ostvarenje rezultata </w:t>
      </w:r>
    </w:p>
    <w:p w:rsidR="009B2E82" w:rsidRPr="009B2E82" w:rsidRDefault="009B2E82" w:rsidP="009B2E82">
      <w:pPr>
        <w:widowControl w:val="0"/>
        <w:shd w:val="clear" w:color="auto" w:fill="FFFFFF"/>
        <w:autoSpaceDE w:val="0"/>
        <w:autoSpaceDN w:val="0"/>
        <w:adjustRightInd w:val="0"/>
        <w:spacing w:before="490" w:after="0" w:line="240" w:lineRule="auto"/>
        <w:ind w:left="542"/>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26"/>
          <w:szCs w:val="26"/>
          <w:lang w:eastAsia="hr-HR"/>
        </w:rPr>
        <w:t>Tablica 17</w:t>
      </w:r>
    </w:p>
    <w:p w:rsidR="009B2E82" w:rsidRPr="009B2E82" w:rsidRDefault="009B2E82" w:rsidP="009B2E82">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595"/>
        <w:gridCol w:w="989"/>
        <w:gridCol w:w="854"/>
        <w:gridCol w:w="202"/>
        <w:gridCol w:w="643"/>
        <w:gridCol w:w="854"/>
        <w:gridCol w:w="845"/>
        <w:gridCol w:w="854"/>
        <w:gridCol w:w="240"/>
        <w:gridCol w:w="614"/>
        <w:gridCol w:w="845"/>
        <w:gridCol w:w="240"/>
        <w:gridCol w:w="614"/>
        <w:gridCol w:w="845"/>
        <w:gridCol w:w="211"/>
        <w:gridCol w:w="643"/>
        <w:gridCol w:w="854"/>
        <w:gridCol w:w="202"/>
        <w:gridCol w:w="643"/>
        <w:gridCol w:w="854"/>
        <w:gridCol w:w="230"/>
        <w:gridCol w:w="614"/>
        <w:gridCol w:w="854"/>
        <w:gridCol w:w="298"/>
        <w:gridCol w:w="662"/>
      </w:tblGrid>
      <w:tr w:rsidR="009B2E82" w:rsidRPr="009B2E82" w:rsidTr="009B2E82">
        <w:trPr>
          <w:trHeight w:hRule="exact" w:val="317"/>
        </w:trPr>
        <w:tc>
          <w:tcPr>
            <w:tcW w:w="595"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6"/>
                <w:sz w:val="16"/>
                <w:szCs w:val="16"/>
                <w:lang w:eastAsia="hr-HR"/>
              </w:rPr>
              <w:t>Fond</w:t>
            </w:r>
          </w:p>
        </w:tc>
        <w:tc>
          <w:tcPr>
            <w:tcW w:w="989"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Kategorija regije </w:t>
            </w:r>
          </w:p>
        </w:tc>
        <w:tc>
          <w:tcPr>
            <w:tcW w:w="1056" w:type="dxa"/>
            <w:gridSpan w:val="2"/>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7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2014. </w:t>
            </w: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699"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7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w:t>
            </w:r>
          </w:p>
        </w:tc>
        <w:tc>
          <w:tcPr>
            <w:tcW w:w="1094" w:type="dxa"/>
            <w:gridSpan w:val="2"/>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7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w:t>
            </w: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085" w:type="dxa"/>
            <w:gridSpan w:val="2"/>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71"/>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2017.</w:t>
            </w: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056" w:type="dxa"/>
            <w:gridSpan w:val="2"/>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7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w:t>
            </w: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056" w:type="dxa"/>
            <w:gridSpan w:val="2"/>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7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w:t>
            </w: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084" w:type="dxa"/>
            <w:gridSpan w:val="2"/>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7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w:t>
            </w: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52" w:type="dxa"/>
            <w:gridSpan w:val="2"/>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05"/>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Total.</w:t>
            </w:r>
          </w:p>
        </w:tc>
        <w:tc>
          <w:tcPr>
            <w:tcW w:w="662"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413"/>
        </w:trPr>
        <w:tc>
          <w:tcPr>
            <w:tcW w:w="595"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77" w:right="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2"/>
                <w:szCs w:val="12"/>
                <w:lang w:eastAsia="hr-HR"/>
              </w:rPr>
              <w:t xml:space="preserve">Glavna alokacija </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righ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 xml:space="preserve">Pričuva za ostvarenje rezultata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77" w:right="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2"/>
                <w:szCs w:val="12"/>
                <w:lang w:eastAsia="hr-HR"/>
              </w:rPr>
              <w:t xml:space="preserve">Glavna alokacija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5" w:righ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 xml:space="preserve">Pričuva za ostvarenje rezultata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82" w:right="72"/>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 xml:space="preserve">Glavna alokacija </w:t>
            </w:r>
          </w:p>
        </w:tc>
        <w:tc>
          <w:tcPr>
            <w:tcW w:w="854"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5" w:righ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 xml:space="preserve">Pričuva za ostvarenje rezultata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72" w:right="7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2"/>
                <w:szCs w:val="12"/>
                <w:lang w:eastAsia="hr-HR"/>
              </w:rPr>
              <w:t xml:space="preserve">Glavna alokacija </w:t>
            </w:r>
          </w:p>
        </w:tc>
        <w:tc>
          <w:tcPr>
            <w:tcW w:w="854"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10" w:righ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 xml:space="preserve">Pričuva za ostvarenje rezultata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72" w:right="7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2"/>
                <w:szCs w:val="12"/>
                <w:lang w:eastAsia="hr-HR"/>
              </w:rPr>
              <w:t xml:space="preserve">Glavna alokacija </w:t>
            </w:r>
          </w:p>
        </w:tc>
        <w:tc>
          <w:tcPr>
            <w:tcW w:w="854"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10" w:righ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 xml:space="preserve">Pričuva za ostvarenje rezultata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77" w:right="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2"/>
                <w:szCs w:val="12"/>
                <w:lang w:eastAsia="hr-HR"/>
              </w:rPr>
              <w:t xml:space="preserve">Glavna alokacija </w:t>
            </w:r>
          </w:p>
        </w:tc>
        <w:tc>
          <w:tcPr>
            <w:tcW w:w="845"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righ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 xml:space="preserve">Pričuva za ostvarenje rezultata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77" w:right="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2"/>
                <w:szCs w:val="12"/>
                <w:lang w:eastAsia="hr-HR"/>
              </w:rPr>
              <w:t xml:space="preserve">Glavna alokacija </w:t>
            </w:r>
          </w:p>
        </w:tc>
        <w:tc>
          <w:tcPr>
            <w:tcW w:w="844"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5" w:righ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 xml:space="preserve">Pričuva za ostvarenje rezultata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77" w:right="77"/>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 xml:space="preserve">Glavna </w:t>
            </w:r>
            <w:r w:rsidRPr="009B2E82">
              <w:rPr>
                <w:rFonts w:ascii="Times New Roman" w:eastAsia="Times New Roman" w:hAnsi="Times New Roman" w:cs="Times New Roman"/>
                <w:color w:val="000000"/>
                <w:spacing w:val="-1"/>
                <w:sz w:val="12"/>
                <w:szCs w:val="12"/>
                <w:lang w:eastAsia="hr-HR"/>
              </w:rPr>
              <w:t>alokacija</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53" w:right="72"/>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Pričuva za ostvarenje rezultata</w:t>
            </w:r>
          </w:p>
        </w:tc>
      </w:tr>
      <w:tr w:rsidR="009B2E82" w:rsidRPr="009B2E82" w:rsidTr="009B2E82">
        <w:trPr>
          <w:trHeight w:hRule="exact" w:val="336"/>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highlight w:val="yellow"/>
                <w:lang w:eastAsia="hr-HR"/>
              </w:rPr>
            </w:pPr>
            <w:r w:rsidRPr="009B2E82">
              <w:rPr>
                <w:rFonts w:ascii="Times New Roman" w:eastAsia="Times New Roman" w:hAnsi="Times New Roman" w:cs="Times New Roman"/>
                <w:color w:val="000000"/>
                <w:spacing w:val="-2"/>
                <w:sz w:val="12"/>
                <w:szCs w:val="12"/>
                <w:lang w:eastAsia="hr-HR"/>
              </w:rPr>
              <w:t>EFRR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459.239.677,00</w:t>
            </w:r>
          </w:p>
        </w:tc>
        <w:tc>
          <w:tcPr>
            <w:tcW w:w="20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37.041.425,00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537.383.297,00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37.041.425,00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562.328.988,00</w:t>
            </w:r>
          </w:p>
        </w:tc>
        <w:tc>
          <w:tcPr>
            <w:tcW w:w="24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37.041.425,00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586.296.553,00</w:t>
            </w:r>
          </w:p>
        </w:tc>
        <w:tc>
          <w:tcPr>
            <w:tcW w:w="24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37.041.425,00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611.882.557,00</w:t>
            </w:r>
          </w:p>
        </w:tc>
        <w:tc>
          <w:tcPr>
            <w:tcW w:w="211"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37.041.425,00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638.667.793,00</w:t>
            </w:r>
          </w:p>
        </w:tc>
        <w:tc>
          <w:tcPr>
            <w:tcW w:w="20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37.041.425,00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667.061.540,00</w:t>
            </w:r>
          </w:p>
        </w:tc>
        <w:tc>
          <w:tcPr>
            <w:tcW w:w="23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36.390.633,00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4.062.860.405,00</w:t>
            </w:r>
          </w:p>
        </w:tc>
        <w:tc>
          <w:tcPr>
            <w:tcW w:w="298"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62"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258.639,.183,00</w:t>
            </w:r>
          </w:p>
        </w:tc>
      </w:tr>
      <w:tr w:rsidR="009B2E82" w:rsidRPr="009B2E82" w:rsidTr="009B2E82">
        <w:trPr>
          <w:trHeight w:hRule="exact" w:val="50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highlight w:val="yellow"/>
                <w:lang w:eastAsia="hr-HR"/>
              </w:rPr>
            </w:pPr>
            <w:r w:rsidRPr="009B2E82">
              <w:rPr>
                <w:rFonts w:ascii="Times New Roman" w:eastAsia="Times New Roman" w:hAnsi="Times New Roman" w:cs="Times New Roman"/>
                <w:color w:val="000000"/>
                <w:spacing w:val="-2"/>
                <w:sz w:val="12"/>
                <w:szCs w:val="12"/>
                <w:lang w:eastAsia="hr-HR"/>
              </w:rPr>
              <w:t>Ukupno 1 EFRR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459.239.677,00</w:t>
            </w:r>
          </w:p>
        </w:tc>
        <w:tc>
          <w:tcPr>
            <w:tcW w:w="20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37.041.425,00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537.383.297,00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37.041.425,00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562.328.988,00</w:t>
            </w:r>
          </w:p>
        </w:tc>
        <w:tc>
          <w:tcPr>
            <w:tcW w:w="24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37.041.425,00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586.296.553,00</w:t>
            </w:r>
          </w:p>
        </w:tc>
        <w:tc>
          <w:tcPr>
            <w:tcW w:w="24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37.041.425,00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611.882.557,00</w:t>
            </w:r>
          </w:p>
        </w:tc>
        <w:tc>
          <w:tcPr>
            <w:tcW w:w="211"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37.041.425,00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638.667.793,00</w:t>
            </w:r>
          </w:p>
        </w:tc>
        <w:tc>
          <w:tcPr>
            <w:tcW w:w="20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37.041.425,00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667.061.540,00</w:t>
            </w:r>
          </w:p>
        </w:tc>
        <w:tc>
          <w:tcPr>
            <w:tcW w:w="23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36.390.633,00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4.062.860.405,00</w:t>
            </w:r>
          </w:p>
        </w:tc>
        <w:tc>
          <w:tcPr>
            <w:tcW w:w="298"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62"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258.639.183,00</w:t>
            </w:r>
          </w:p>
        </w:tc>
      </w:tr>
      <w:tr w:rsidR="009B2E82" w:rsidRPr="009B2E82" w:rsidTr="009B2E82">
        <w:trPr>
          <w:trHeight w:hRule="exact" w:val="50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Del="00AD2337"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KF</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271.290.707,00</w:t>
            </w:r>
          </w:p>
        </w:tc>
        <w:tc>
          <w:tcPr>
            <w:tcW w:w="20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21.938.965,00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317.473.597,00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2"/>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21.938.965,00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333.288.684,00</w:t>
            </w:r>
          </w:p>
        </w:tc>
        <w:tc>
          <w:tcPr>
            <w:tcW w:w="24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21.938.965,00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8"/>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347.878.298,00</w:t>
            </w:r>
          </w:p>
        </w:tc>
        <w:tc>
          <w:tcPr>
            <w:tcW w:w="24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21.938.966,00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362.737.369,00</w:t>
            </w:r>
          </w:p>
        </w:tc>
        <w:tc>
          <w:tcPr>
            <w:tcW w:w="211"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21.938.965,00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378.998.893,00</w:t>
            </w:r>
          </w:p>
        </w:tc>
        <w:tc>
          <w:tcPr>
            <w:tcW w:w="20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21.938.965,00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394.305.664,00</w:t>
            </w:r>
          </w:p>
        </w:tc>
        <w:tc>
          <w:tcPr>
            <w:tcW w:w="23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21.938.968,00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2.405.973.212,00</w:t>
            </w:r>
          </w:p>
        </w:tc>
        <w:tc>
          <w:tcPr>
            <w:tcW w:w="298"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62"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1"/>
                <w:sz w:val="8"/>
                <w:szCs w:val="8"/>
                <w:lang w:eastAsia="hr-HR"/>
              </w:rPr>
            </w:pPr>
            <w:r w:rsidRPr="009B2E82">
              <w:rPr>
                <w:rFonts w:ascii="Times New Roman" w:eastAsia="Times New Roman" w:hAnsi="Times New Roman" w:cs="Times New Roman"/>
                <w:b/>
                <w:bCs/>
                <w:color w:val="000000"/>
                <w:spacing w:val="-1"/>
                <w:sz w:val="8"/>
                <w:szCs w:val="8"/>
                <w:lang w:eastAsia="hr-HR"/>
              </w:rPr>
              <w:t>153.572.759,00</w:t>
            </w:r>
          </w:p>
        </w:tc>
      </w:tr>
      <w:tr w:rsidR="009B2E82" w:rsidRPr="009B2E82" w:rsidTr="009B2E82">
        <w:trPr>
          <w:trHeight w:hRule="exact" w:val="538"/>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Ukupno 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730.530.384,00</w:t>
            </w:r>
          </w:p>
        </w:tc>
        <w:tc>
          <w:tcPr>
            <w:tcW w:w="20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58.980.390,00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854.856.894,00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58.980.390,00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895.617.672,00</w:t>
            </w:r>
          </w:p>
        </w:tc>
        <w:tc>
          <w:tcPr>
            <w:tcW w:w="24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58.980.390,00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934.174.851,00</w:t>
            </w:r>
          </w:p>
        </w:tc>
        <w:tc>
          <w:tcPr>
            <w:tcW w:w="24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58.980.391,00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974.619.926,00</w:t>
            </w:r>
          </w:p>
        </w:tc>
        <w:tc>
          <w:tcPr>
            <w:tcW w:w="211"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58.980.390,00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1.017.666.686,00</w:t>
            </w:r>
          </w:p>
        </w:tc>
        <w:tc>
          <w:tcPr>
            <w:tcW w:w="20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43"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58.980.390,00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1.061.367.204,00</w:t>
            </w:r>
          </w:p>
        </w:tc>
        <w:tc>
          <w:tcPr>
            <w:tcW w:w="230"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14"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58.329.601,00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6.468.833.617,00</w:t>
            </w:r>
          </w:p>
        </w:tc>
        <w:tc>
          <w:tcPr>
            <w:tcW w:w="298"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662"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412.211.942,00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346" w:right="531" w:bottom="360" w:left="531"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346" w:right="550" w:bottom="360" w:left="531" w:header="720" w:footer="720" w:gutter="0"/>
          <w:cols w:num="3" w:space="720" w:equalWidth="0">
            <w:col w:w="720" w:space="6926"/>
            <w:col w:w="720" w:space="6667"/>
            <w:col w:w="720"/>
          </w:cols>
          <w:noEndnote/>
        </w:sectPr>
      </w:pPr>
    </w:p>
    <w:p w:rsidR="009B2E82" w:rsidRPr="009B2E82" w:rsidRDefault="009B2E82" w:rsidP="009B2E82">
      <w:pPr>
        <w:widowControl w:val="0"/>
        <w:shd w:val="clear" w:color="auto" w:fill="FFFFFF"/>
        <w:autoSpaceDE w:val="0"/>
        <w:autoSpaceDN w:val="0"/>
        <w:adjustRightInd w:val="0"/>
        <w:spacing w:after="0" w:line="240" w:lineRule="auto"/>
        <w:ind w:left="538"/>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6"/>
          <w:szCs w:val="26"/>
          <w:lang w:eastAsia="hr-HR"/>
        </w:rPr>
        <w:lastRenderedPageBreak/>
        <w:t>3.2 Ukupna financijska raspodjela po fondu i državnom sufinanciranju (u eurima)</w:t>
      </w:r>
    </w:p>
    <w:p w:rsidR="009B2E82" w:rsidRPr="009B2E82" w:rsidRDefault="009B2E82" w:rsidP="009B2E82">
      <w:pPr>
        <w:widowControl w:val="0"/>
        <w:shd w:val="clear" w:color="auto" w:fill="FFFFFF"/>
        <w:autoSpaceDE w:val="0"/>
        <w:autoSpaceDN w:val="0"/>
        <w:adjustRightInd w:val="0"/>
        <w:spacing w:before="485" w:after="0" w:line="240" w:lineRule="auto"/>
        <w:ind w:left="542"/>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26"/>
          <w:szCs w:val="26"/>
          <w:lang w:eastAsia="hr-HR"/>
        </w:rPr>
        <w:t>Tablica 18a: Plan financiranja</w:t>
      </w:r>
    </w:p>
    <w:p w:rsidR="009B2E82" w:rsidRPr="009B2E82" w:rsidRDefault="009B2E82" w:rsidP="009B2E82">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720"/>
        <w:gridCol w:w="710"/>
        <w:gridCol w:w="1555"/>
        <w:gridCol w:w="998"/>
        <w:gridCol w:w="845"/>
        <w:gridCol w:w="854"/>
        <w:gridCol w:w="845"/>
        <w:gridCol w:w="998"/>
        <w:gridCol w:w="989"/>
        <w:gridCol w:w="989"/>
        <w:gridCol w:w="998"/>
        <w:gridCol w:w="989"/>
        <w:gridCol w:w="989"/>
        <w:gridCol w:w="998"/>
        <w:gridCol w:w="845"/>
        <w:gridCol w:w="874"/>
      </w:tblGrid>
      <w:tr w:rsidR="009B2E82" w:rsidRPr="009B2E82" w:rsidTr="009B2E82">
        <w:trPr>
          <w:trHeight w:hRule="exact" w:val="1258"/>
        </w:trPr>
        <w:tc>
          <w:tcPr>
            <w:tcW w:w="720"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3"/>
                <w:sz w:val="16"/>
                <w:szCs w:val="16"/>
                <w:lang w:eastAsia="hr-HR"/>
              </w:rPr>
              <w:t xml:space="preserve">Prioritetna os </w:t>
            </w:r>
          </w:p>
        </w:tc>
        <w:tc>
          <w:tcPr>
            <w:tcW w:w="710"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5"/>
                <w:sz w:val="16"/>
                <w:szCs w:val="16"/>
                <w:lang w:eastAsia="hr-HR"/>
              </w:rPr>
              <w:t>Fond</w:t>
            </w:r>
          </w:p>
        </w:tc>
        <w:tc>
          <w:tcPr>
            <w:tcW w:w="1555"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 xml:space="preserve">Kategorija regije </w:t>
            </w:r>
          </w:p>
        </w:tc>
        <w:tc>
          <w:tcPr>
            <w:tcW w:w="998"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jc w:val="center"/>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Osnova za izračun potpore EU-a (ukupni opravdani trošak ili javni opravdani trošak</w:t>
            </w:r>
            <w:r w:rsidRPr="009B2E82">
              <w:rPr>
                <w:rFonts w:ascii="Times New Roman" w:eastAsia="Times New Roman" w:hAnsi="Times New Roman" w:cs="Times New Roman"/>
                <w:color w:val="000000"/>
                <w:spacing w:val="-8"/>
                <w:sz w:val="16"/>
                <w:szCs w:val="16"/>
                <w:lang w:eastAsia="hr-HR"/>
              </w:rPr>
              <w:t>)</w:t>
            </w:r>
          </w:p>
        </w:tc>
        <w:tc>
          <w:tcPr>
            <w:tcW w:w="845"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3" w:right="43" w:firstLine="58"/>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Podrška Unij</w:t>
            </w:r>
            <w:r w:rsidRPr="009B2E82">
              <w:rPr>
                <w:rFonts w:ascii="Times New Roman" w:eastAsia="Times New Roman" w:hAnsi="Times New Roman" w:cs="Times New Roman"/>
                <w:color w:val="000000"/>
                <w:spacing w:val="-3"/>
                <w:sz w:val="16"/>
                <w:szCs w:val="16"/>
                <w:lang w:eastAsia="hr-HR"/>
              </w:rPr>
              <w:t>e</w:t>
            </w:r>
          </w:p>
          <w:p w:rsidR="009B2E82" w:rsidRPr="009B2E82" w:rsidRDefault="009B2E82" w:rsidP="009B2E82">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16"/>
                <w:szCs w:val="16"/>
                <w:lang w:eastAsia="hr-HR"/>
              </w:rPr>
            </w:pPr>
            <w:r w:rsidRPr="009B2E82">
              <w:rPr>
                <w:rFonts w:ascii="Times New Roman" w:eastAsia="Times New Roman" w:hAnsi="Times New Roman" w:cs="Times New Roman"/>
                <w:bCs/>
                <w:color w:val="000000"/>
                <w:spacing w:val="-11"/>
                <w:sz w:val="16"/>
                <w:szCs w:val="16"/>
                <w:lang w:eastAsia="hr-HR"/>
              </w:rPr>
              <w:t>(a)</w:t>
            </w:r>
          </w:p>
        </w:tc>
        <w:tc>
          <w:tcPr>
            <w:tcW w:w="854"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firstLine="53"/>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5"/>
                <w:sz w:val="16"/>
                <w:szCs w:val="16"/>
                <w:lang w:eastAsia="hr-HR"/>
              </w:rPr>
              <w:t>Državni udio</w:t>
            </w:r>
          </w:p>
          <w:p w:rsidR="009B2E82" w:rsidRPr="009B2E82" w:rsidRDefault="009B2E82" w:rsidP="009B2E82">
            <w:pPr>
              <w:widowControl w:val="0"/>
              <w:shd w:val="clear" w:color="auto" w:fill="FFFFFF"/>
              <w:autoSpaceDE w:val="0"/>
              <w:autoSpaceDN w:val="0"/>
              <w:adjustRightInd w:val="0"/>
              <w:spacing w:after="0" w:line="197" w:lineRule="exact"/>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(b) = (c) + (d)</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Indikativni pregled državnog udjela</w:t>
            </w:r>
          </w:p>
        </w:tc>
        <w:tc>
          <w:tcPr>
            <w:tcW w:w="989"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8" w:right="53"/>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Ukupno financiranje</w:t>
            </w:r>
          </w:p>
          <w:p w:rsidR="009B2E82" w:rsidRPr="009B2E82" w:rsidRDefault="009B2E82" w:rsidP="009B2E82">
            <w:pPr>
              <w:widowControl w:val="0"/>
              <w:shd w:val="clear" w:color="auto" w:fill="FFFFFF"/>
              <w:autoSpaceDE w:val="0"/>
              <w:autoSpaceDN w:val="0"/>
              <w:adjustRightInd w:val="0"/>
              <w:spacing w:after="0" w:line="202" w:lineRule="exact"/>
              <w:ind w:left="48" w:right="53"/>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 xml:space="preserve">(e) = (a) + </w:t>
            </w:r>
            <w:r w:rsidRPr="009B2E82">
              <w:rPr>
                <w:rFonts w:ascii="Times New Roman" w:eastAsia="Times New Roman" w:hAnsi="Times New Roman" w:cs="Times New Roman"/>
                <w:color w:val="000000"/>
                <w:spacing w:val="-9"/>
                <w:sz w:val="16"/>
                <w:szCs w:val="16"/>
                <w:lang w:eastAsia="hr-HR"/>
              </w:rPr>
              <w:t>(b)</w:t>
            </w:r>
          </w:p>
        </w:tc>
        <w:tc>
          <w:tcPr>
            <w:tcW w:w="989"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62" w:right="58"/>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10"/>
                <w:sz w:val="16"/>
                <w:szCs w:val="16"/>
                <w:lang w:eastAsia="hr-HR"/>
              </w:rPr>
              <w:t>Sufinanciranje</w:t>
            </w:r>
          </w:p>
          <w:p w:rsidR="009B2E82" w:rsidRPr="009B2E82" w:rsidRDefault="009B2E82" w:rsidP="009B2E82">
            <w:pPr>
              <w:widowControl w:val="0"/>
              <w:shd w:val="clear" w:color="auto" w:fill="FFFFFF"/>
              <w:autoSpaceDE w:val="0"/>
              <w:autoSpaceDN w:val="0"/>
              <w:adjustRightInd w:val="0"/>
              <w:spacing w:after="0" w:line="202" w:lineRule="exact"/>
              <w:ind w:left="62" w:right="58"/>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 xml:space="preserve">(f) = (a) / </w:t>
            </w:r>
            <w:r w:rsidRPr="009B2E82">
              <w:rPr>
                <w:rFonts w:ascii="Times New Roman" w:eastAsia="Times New Roman" w:hAnsi="Times New Roman" w:cs="Times New Roman"/>
                <w:color w:val="000000"/>
                <w:spacing w:val="-9"/>
                <w:sz w:val="16"/>
                <w:szCs w:val="16"/>
                <w:lang w:eastAsia="hr-HR"/>
              </w:rPr>
              <w:t>(e) (2)</w:t>
            </w:r>
          </w:p>
        </w:tc>
        <w:tc>
          <w:tcPr>
            <w:tcW w:w="998"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Doprinos EIB-a</w:t>
            </w: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z w:val="16"/>
                <w:szCs w:val="16"/>
                <w:lang w:eastAsia="hr-HR"/>
              </w:rPr>
              <w:t>s(g)</w:t>
            </w: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 xml:space="preserve">Glavna alokacija </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5"/>
                <w:sz w:val="16"/>
                <w:szCs w:val="16"/>
                <w:lang w:eastAsia="hr-HR"/>
              </w:rPr>
              <w:t xml:space="preserve">Pričuva za ostvarenje rezultata </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58" w:lineRule="exact"/>
              <w:ind w:right="10"/>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Iznos pričuve za ostvarenje rezultata u obliku udjela u ukupne podrške Unije</w:t>
            </w:r>
          </w:p>
        </w:tc>
      </w:tr>
      <w:tr w:rsidR="009B2E82" w:rsidRPr="009B2E82" w:rsidTr="009B2E82">
        <w:trPr>
          <w:trHeight w:hRule="exact" w:val="1046"/>
        </w:trPr>
        <w:tc>
          <w:tcPr>
            <w:tcW w:w="720"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710"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998"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845"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854"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14" w:right="19"/>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Državno javno financiranje</w:t>
            </w:r>
          </w:p>
          <w:p w:rsidR="009B2E82" w:rsidRPr="009B2E82" w:rsidRDefault="009B2E82" w:rsidP="009B2E82">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2"/>
                <w:sz w:val="16"/>
                <w:szCs w:val="16"/>
                <w:lang w:eastAsia="hr-HR"/>
              </w:rPr>
              <w:t>(c)</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91" w:right="96"/>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Državno privatno financiranje</w:t>
            </w:r>
          </w:p>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(d) (1)</w:t>
            </w:r>
          </w:p>
        </w:tc>
        <w:tc>
          <w:tcPr>
            <w:tcW w:w="989"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tc>
        <w:tc>
          <w:tcPr>
            <w:tcW w:w="989"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tc>
        <w:tc>
          <w:tcPr>
            <w:tcW w:w="998"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5" w:firstLine="178"/>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Potpora Unije (h)</w:t>
            </w: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 (a) – (j)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Nacionalni ekvivalent</w:t>
            </w: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 xml:space="preserve"> (i) = (b)-</w:t>
            </w: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(k)</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Potpora Unije (j)</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58" w:lineRule="exact"/>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Nacionalni ekvivalent</w:t>
            </w:r>
          </w:p>
          <w:p w:rsidR="009B2E82" w:rsidRPr="009B2E82" w:rsidRDefault="009B2E82" w:rsidP="009B2E82">
            <w:pPr>
              <w:widowControl w:val="0"/>
              <w:shd w:val="clear" w:color="auto" w:fill="FFFFFF"/>
              <w:autoSpaceDE w:val="0"/>
              <w:autoSpaceDN w:val="0"/>
              <w:adjustRightInd w:val="0"/>
              <w:spacing w:after="0" w:line="221" w:lineRule="exact"/>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 xml:space="preserve"> (k) = (b) * ((j)/(a)</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 xml:space="preserve">(l) = (j) / </w:t>
            </w:r>
          </w:p>
          <w:p w:rsidR="009B2E82" w:rsidRPr="009B2E82" w:rsidRDefault="009B2E82" w:rsidP="009B2E82">
            <w:pPr>
              <w:widowControl w:val="0"/>
              <w:shd w:val="clear" w:color="auto" w:fill="FFFFFF"/>
              <w:autoSpaceDE w:val="0"/>
              <w:autoSpaceDN w:val="0"/>
              <w:adjustRightInd w:val="0"/>
              <w:spacing w:after="0" w:line="240" w:lineRule="auto"/>
              <w:ind w:left="24"/>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(a) * 100</w:t>
            </w:r>
          </w:p>
        </w:tc>
      </w:tr>
      <w:tr w:rsidR="009B2E82" w:rsidRPr="009B2E82" w:rsidTr="009B2E82">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8"/>
                <w:szCs w:val="8"/>
                <w:lang w:eastAsia="hr-HR"/>
              </w:rPr>
            </w:pPr>
            <w:r w:rsidRPr="009B2E82">
              <w:rPr>
                <w:rFonts w:ascii="Times New Roman" w:eastAsia="Times New Roman" w:hAnsi="Times New Roman" w:cs="Times New Roman"/>
                <w:b/>
                <w:bCs/>
                <w:color w:val="000000"/>
                <w:sz w:val="8"/>
                <w:szCs w:val="8"/>
                <w:lang w:eastAsia="hr-HR"/>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664.792.165 00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117.316.264 00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1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17.316.264 00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22"/>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100.000.000 00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782.108.429 00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624.904.635 00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7"/>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110.277.288 14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39.887.530 00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7.038.975 86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6 00%</w:t>
            </w:r>
          </w:p>
        </w:tc>
      </w:tr>
      <w:tr w:rsidR="009B2E82" w:rsidRPr="009B2E82" w:rsidTr="009B2E82">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8"/>
                <w:szCs w:val="8"/>
                <w:lang w:eastAsia="hr-HR"/>
              </w:rPr>
            </w:pPr>
            <w:r w:rsidRPr="009B2E82">
              <w:rPr>
                <w:rFonts w:ascii="Times New Roman" w:eastAsia="Times New Roman" w:hAnsi="Times New Roman" w:cs="Times New Roman"/>
                <w:b/>
                <w:bCs/>
                <w:color w:val="000000"/>
                <w:sz w:val="8"/>
                <w:szCs w:val="8"/>
                <w:lang w:eastAsia="hr-HR"/>
              </w:rPr>
              <w:t>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318.952.676 00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56.285.767 00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1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10.000.000 00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46.285.767 00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375.238.443 00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150.000.000 00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299.815.515 00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52.908.620 90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19.137.161 00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3.377.146 10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6 00%</w:t>
            </w:r>
          </w:p>
        </w:tc>
      </w:tr>
      <w:tr w:rsidR="009B2E82" w:rsidRPr="009B2E82" w:rsidTr="009B2E82">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8"/>
                <w:szCs w:val="8"/>
                <w:lang w:eastAsia="hr-HR"/>
              </w:rPr>
            </w:pPr>
            <w:r w:rsidRPr="009B2E82">
              <w:rPr>
                <w:rFonts w:ascii="Times New Roman" w:eastAsia="Times New Roman" w:hAnsi="Times New Roman" w:cs="Times New Roman"/>
                <w:b/>
                <w:bCs/>
                <w:color w:val="000000"/>
                <w:sz w:val="8"/>
                <w:szCs w:val="8"/>
                <w:lang w:eastAsia="hr-HR"/>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970.000.000 00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171.176.471 00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1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11.176.471 00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22"/>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160.000.000 00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1.141.176.471 00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911.800.000 00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7"/>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160.905.882 74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58.200.000 00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1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10.270.588 26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6 00%</w:t>
            </w:r>
          </w:p>
        </w:tc>
      </w:tr>
      <w:tr w:rsidR="009B2E82" w:rsidRPr="009B2E82" w:rsidTr="009B2E82">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531.810.805 00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93.848.966 00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93.848.966 00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625.659.771 00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496.012.130 00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87.531.552 74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35.798.675 00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6.317.413 26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6 73%</w:t>
            </w:r>
          </w:p>
        </w:tc>
      </w:tr>
      <w:tr w:rsidR="009B2E82" w:rsidRPr="009B2E82" w:rsidTr="009B2E82">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245.396.147 00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43.305.202 00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43.305.202 00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288.701.349 00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228.773.026 00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4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40.371.710 09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16.623.121 00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2.933.491 91</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6 77%</w:t>
            </w:r>
          </w:p>
        </w:tc>
      </w:tr>
      <w:tr w:rsidR="009B2E82" w:rsidRPr="009B2E82" w:rsidTr="009B2E82">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59.650.657 00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397.671.049 00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315.102.610 00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55.606.342 56</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22.917.782 00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4.044.314 44</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6 78%</w:t>
            </w:r>
          </w:p>
        </w:tc>
      </w:tr>
      <w:tr w:rsidR="009B2E82" w:rsidRPr="009B2E82" w:rsidTr="009B2E82">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KF</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1.649.340.21600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291.060.038 00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1.940.400.254 00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1.550.379.802 00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273.596.435 54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98.960.414 00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1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17.463.602 46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6 00%</w:t>
            </w:r>
          </w:p>
        </w:tc>
      </w:tr>
      <w:tr w:rsidR="009B2E82" w:rsidRPr="009B2E82" w:rsidTr="009B2E82">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400.000.000 00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70.588.235 00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70.588.235 00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470.588.235 00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372.109.973 00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65.666.465 55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27.890.027 00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4.921.769 45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6 97%</w:t>
            </w:r>
          </w:p>
        </w:tc>
      </w:tr>
      <w:tr w:rsidR="009B2E82" w:rsidRPr="009B2E82" w:rsidTr="009B2E82">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KF</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910.205.755 00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160.624.545 00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160.624.545 00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1.070.830.300 00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855.593.410 00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7"/>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150.987.072 35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54.612.345 00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9.637.472 65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6 00%</w:t>
            </w:r>
          </w:p>
        </w:tc>
      </w:tr>
      <w:tr w:rsidR="009B2E82" w:rsidRPr="009B2E82" w:rsidTr="009B2E82">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376.500.000 00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66.441.17600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66.441.176 00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442.941.176 00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353.910.000 00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62.454.705 44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22.590.000 00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3.986.470 56</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6 00%</w:t>
            </w:r>
          </w:p>
        </w:tc>
      </w:tr>
      <w:tr w:rsidR="009B2E82" w:rsidRPr="009B2E82" w:rsidTr="009B2E82">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259.914.791 00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45.867.31600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45.867.31600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305.782.107 00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244.319.904 00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4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43.115.277 12</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15.594.887 00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2.752.038 88</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6 00%</w:t>
            </w:r>
          </w:p>
        </w:tc>
      </w:tr>
      <w:tr w:rsidR="009B2E82" w:rsidRPr="009B2E82" w:rsidTr="009B2E82">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 xml:space="preserve">Ukupno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216.112.61200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38.137.51900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6"/>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38.137.51900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254.250.131 00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6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8"/>
                <w:szCs w:val="8"/>
                <w:lang w:eastAsia="hr-HR"/>
              </w:rPr>
              <w:t>85 00%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8"/>
                <w:szCs w:val="8"/>
                <w:lang w:eastAsia="hr-HR"/>
              </w:rPr>
              <w:t>0 00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216.112.612 00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38.137.519 00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8"/>
                <w:szCs w:val="8"/>
                <w:lang w:eastAsia="hr-HR"/>
              </w:rPr>
            </w:pPr>
            <w:r w:rsidRPr="009B2E82">
              <w:rPr>
                <w:rFonts w:ascii="Times New Roman" w:eastAsia="Times New Roman" w:hAnsi="Times New Roman" w:cs="Times New Roman"/>
                <w:color w:val="000000"/>
                <w:sz w:val="8"/>
                <w:szCs w:val="8"/>
                <w:lang w:eastAsia="hr-HR"/>
              </w:rPr>
              <w:t>Ukupno 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8"/>
                <w:szCs w:val="8"/>
                <w:lang w:eastAsia="hr-HR"/>
              </w:rPr>
              <w:t>EFRR</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 xml:space="preserve">Manje razvijena </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4.321.499.588,00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8"/>
                <w:szCs w:val="8"/>
                <w:lang w:eastAsia="hr-HR"/>
              </w:rPr>
              <w:t>762.617.573,00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456.331.806,00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306.285.767,00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5.084.117.161,00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47"/>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8"/>
                <w:szCs w:val="8"/>
                <w:lang w:eastAsia="hr-HR"/>
              </w:rPr>
              <w:t>85,00%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4.062.860.405,00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716.975.364,28</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258.639.183,00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45.642.208,72</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5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8"/>
                <w:szCs w:val="8"/>
                <w:lang w:eastAsia="hr-HR"/>
              </w:rPr>
              <w:t>5,98%</w:t>
            </w:r>
          </w:p>
        </w:tc>
      </w:tr>
      <w:tr w:rsidR="009B2E82" w:rsidRPr="009B2E82" w:rsidTr="009B2E82">
        <w:trPr>
          <w:trHeight w:hRule="exact" w:val="35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8"/>
                <w:szCs w:val="8"/>
                <w:lang w:eastAsia="hr-HR"/>
              </w:rPr>
            </w:pPr>
            <w:r w:rsidRPr="009B2E82">
              <w:rPr>
                <w:rFonts w:ascii="Times New Roman" w:eastAsia="Times New Roman" w:hAnsi="Times New Roman" w:cs="Times New Roman"/>
                <w:color w:val="000000"/>
                <w:sz w:val="8"/>
                <w:szCs w:val="8"/>
                <w:lang w:eastAsia="hr-HR"/>
              </w:rPr>
              <w:t>Ukupno 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8"/>
                <w:szCs w:val="8"/>
                <w:lang w:eastAsia="hr-HR"/>
              </w:rPr>
              <w:t>KF</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2.559.545.971,00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451.684.583,00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451.684.583,00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8"/>
                <w:szCs w:val="8"/>
                <w:lang w:eastAsia="hr-HR"/>
              </w:rPr>
              <w:t>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3.011.230.554,00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47"/>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8"/>
                <w:szCs w:val="8"/>
                <w:lang w:eastAsia="hr-HR"/>
              </w:rPr>
              <w:t>85,00%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2.405.973.212,00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7"/>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424.583.507,89</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153.572.759,00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8"/>
                <w:szCs w:val="8"/>
                <w:lang w:eastAsia="hr-HR"/>
              </w:rPr>
              <w:t>27.101.075,11</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5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8"/>
                <w:szCs w:val="8"/>
                <w:lang w:eastAsia="hr-HR"/>
              </w:rPr>
              <w:t>6,00%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6"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6"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20"/>
        <w:gridCol w:w="710"/>
        <w:gridCol w:w="1555"/>
        <w:gridCol w:w="998"/>
        <w:gridCol w:w="845"/>
        <w:gridCol w:w="854"/>
        <w:gridCol w:w="845"/>
        <w:gridCol w:w="998"/>
        <w:gridCol w:w="989"/>
        <w:gridCol w:w="989"/>
        <w:gridCol w:w="998"/>
        <w:gridCol w:w="989"/>
        <w:gridCol w:w="989"/>
        <w:gridCol w:w="998"/>
        <w:gridCol w:w="845"/>
        <w:gridCol w:w="874"/>
      </w:tblGrid>
      <w:tr w:rsidR="009B2E82" w:rsidRPr="009B2E82" w:rsidTr="009B2E82">
        <w:trPr>
          <w:trHeight w:hRule="exact" w:val="1267"/>
        </w:trPr>
        <w:tc>
          <w:tcPr>
            <w:tcW w:w="720"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3"/>
                <w:sz w:val="16"/>
                <w:szCs w:val="16"/>
                <w:lang w:eastAsia="hr-HR"/>
              </w:rPr>
              <w:lastRenderedPageBreak/>
              <w:t xml:space="preserve">Prioritetna os </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182" w:lineRule="exact"/>
              <w:rPr>
                <w:rFonts w:ascii="Times New Roman" w:eastAsia="Times New Roman" w:hAnsi="Times New Roman" w:cs="Times New Roman"/>
                <w:sz w:val="16"/>
                <w:szCs w:val="16"/>
                <w:lang w:eastAsia="hr-HR"/>
              </w:rPr>
            </w:pPr>
          </w:p>
        </w:tc>
        <w:tc>
          <w:tcPr>
            <w:tcW w:w="710"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5"/>
                <w:sz w:val="16"/>
                <w:szCs w:val="16"/>
                <w:lang w:eastAsia="hr-HR"/>
              </w:rPr>
              <w:t>Fond</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16"/>
                <w:szCs w:val="16"/>
                <w:lang w:eastAsia="hr-HR"/>
              </w:rPr>
            </w:pPr>
          </w:p>
        </w:tc>
        <w:tc>
          <w:tcPr>
            <w:tcW w:w="1555"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 xml:space="preserve">Kategorija regije </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16"/>
                <w:szCs w:val="16"/>
                <w:lang w:eastAsia="hr-HR"/>
              </w:rPr>
            </w:pPr>
          </w:p>
        </w:tc>
        <w:tc>
          <w:tcPr>
            <w:tcW w:w="998"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jc w:val="center"/>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Osnova za izračun potpore EU-a (ukupni opravdani trošak ili javni opravdani trošak</w:t>
            </w:r>
            <w:r w:rsidRPr="009B2E82">
              <w:rPr>
                <w:rFonts w:ascii="Times New Roman" w:eastAsia="Times New Roman" w:hAnsi="Times New Roman" w:cs="Times New Roman"/>
                <w:color w:val="000000"/>
                <w:spacing w:val="-8"/>
                <w:sz w:val="16"/>
                <w:szCs w:val="16"/>
                <w:lang w:eastAsia="hr-HR"/>
              </w:rPr>
              <w:t>)</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182" w:lineRule="exact"/>
              <w:jc w:val="center"/>
              <w:rPr>
                <w:rFonts w:ascii="Times New Roman" w:eastAsia="Times New Roman" w:hAnsi="Times New Roman" w:cs="Times New Roman"/>
                <w:sz w:val="16"/>
                <w:szCs w:val="16"/>
                <w:lang w:eastAsia="hr-HR"/>
              </w:rPr>
            </w:pPr>
          </w:p>
        </w:tc>
        <w:tc>
          <w:tcPr>
            <w:tcW w:w="845"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3" w:right="43" w:firstLine="58"/>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Podrška Unij</w:t>
            </w:r>
            <w:r w:rsidRPr="009B2E82">
              <w:rPr>
                <w:rFonts w:ascii="Times New Roman" w:eastAsia="Times New Roman" w:hAnsi="Times New Roman" w:cs="Times New Roman"/>
                <w:color w:val="000000"/>
                <w:spacing w:val="-3"/>
                <w:sz w:val="16"/>
                <w:szCs w:val="16"/>
                <w:lang w:eastAsia="hr-HR"/>
              </w:rPr>
              <w:t>e</w:t>
            </w:r>
          </w:p>
          <w:p w:rsidR="009B2E82" w:rsidRPr="009B2E82" w:rsidRDefault="009B2E82" w:rsidP="009B2E82">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16"/>
                <w:szCs w:val="16"/>
                <w:lang w:eastAsia="hr-HR"/>
              </w:rPr>
            </w:pPr>
            <w:r w:rsidRPr="009B2E82">
              <w:rPr>
                <w:rFonts w:ascii="Times New Roman" w:eastAsia="Times New Roman" w:hAnsi="Times New Roman" w:cs="Times New Roman"/>
                <w:bCs/>
                <w:color w:val="000000"/>
                <w:spacing w:val="-11"/>
                <w:sz w:val="16"/>
                <w:szCs w:val="16"/>
                <w:lang w:eastAsia="hr-HR"/>
              </w:rPr>
              <w:t>(a)</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16"/>
                <w:szCs w:val="16"/>
                <w:lang w:eastAsia="hr-HR"/>
              </w:rPr>
            </w:pPr>
          </w:p>
        </w:tc>
        <w:tc>
          <w:tcPr>
            <w:tcW w:w="854"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firstLine="53"/>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5"/>
                <w:sz w:val="16"/>
                <w:szCs w:val="16"/>
                <w:lang w:eastAsia="hr-HR"/>
              </w:rPr>
              <w:t>Državni udio</w:t>
            </w:r>
          </w:p>
          <w:p w:rsidR="009B2E82" w:rsidRPr="009B2E82" w:rsidRDefault="009B2E82" w:rsidP="009B2E82">
            <w:pPr>
              <w:widowControl w:val="0"/>
              <w:shd w:val="clear" w:color="auto" w:fill="FFFFFF"/>
              <w:autoSpaceDE w:val="0"/>
              <w:autoSpaceDN w:val="0"/>
              <w:adjustRightInd w:val="0"/>
              <w:spacing w:after="0" w:line="197" w:lineRule="exact"/>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(b) = (c) + (d)</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197" w:lineRule="exact"/>
              <w:rPr>
                <w:rFonts w:ascii="Times New Roman" w:eastAsia="Times New Roman" w:hAnsi="Times New Roman" w:cs="Times New Roman"/>
                <w:sz w:val="16"/>
                <w:szCs w:val="16"/>
                <w:lang w:eastAsia="hr-HR"/>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Indikativni pregled državnog udjela</w:t>
            </w:r>
          </w:p>
        </w:tc>
        <w:tc>
          <w:tcPr>
            <w:tcW w:w="989"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8" w:right="53"/>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Ukupno financiranje</w:t>
            </w:r>
          </w:p>
          <w:p w:rsidR="009B2E82" w:rsidRPr="009B2E82" w:rsidRDefault="009B2E82" w:rsidP="009B2E82">
            <w:pPr>
              <w:widowControl w:val="0"/>
              <w:shd w:val="clear" w:color="auto" w:fill="FFFFFF"/>
              <w:autoSpaceDE w:val="0"/>
              <w:autoSpaceDN w:val="0"/>
              <w:adjustRightInd w:val="0"/>
              <w:spacing w:after="0" w:line="202" w:lineRule="exact"/>
              <w:ind w:left="48" w:right="53"/>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 xml:space="preserve">(e) = (a) + </w:t>
            </w:r>
            <w:r w:rsidRPr="009B2E82">
              <w:rPr>
                <w:rFonts w:ascii="Times New Roman" w:eastAsia="Times New Roman" w:hAnsi="Times New Roman" w:cs="Times New Roman"/>
                <w:color w:val="000000"/>
                <w:spacing w:val="-9"/>
                <w:sz w:val="16"/>
                <w:szCs w:val="16"/>
                <w:lang w:eastAsia="hr-HR"/>
              </w:rPr>
              <w:t>(b)</w:t>
            </w:r>
          </w:p>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02" w:lineRule="exact"/>
              <w:ind w:left="48" w:right="53"/>
              <w:rPr>
                <w:rFonts w:ascii="Times New Roman" w:eastAsia="Times New Roman" w:hAnsi="Times New Roman" w:cs="Times New Roman"/>
                <w:sz w:val="16"/>
                <w:szCs w:val="16"/>
                <w:lang w:eastAsia="hr-HR"/>
              </w:rPr>
            </w:pPr>
          </w:p>
        </w:tc>
        <w:tc>
          <w:tcPr>
            <w:tcW w:w="989"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62" w:right="58"/>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10"/>
                <w:sz w:val="16"/>
                <w:szCs w:val="16"/>
                <w:lang w:eastAsia="hr-HR"/>
              </w:rPr>
              <w:t>Sufinanciranje</w:t>
            </w:r>
          </w:p>
          <w:p w:rsidR="009B2E82" w:rsidRPr="009B2E82" w:rsidRDefault="009B2E82" w:rsidP="009B2E82">
            <w:pPr>
              <w:widowControl w:val="0"/>
              <w:shd w:val="clear" w:color="auto" w:fill="FFFFFF"/>
              <w:autoSpaceDE w:val="0"/>
              <w:autoSpaceDN w:val="0"/>
              <w:adjustRightInd w:val="0"/>
              <w:spacing w:after="0" w:line="202" w:lineRule="exact"/>
              <w:ind w:left="62" w:right="58"/>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 xml:space="preserve">(f) = (a) / </w:t>
            </w:r>
            <w:r w:rsidRPr="009B2E82">
              <w:rPr>
                <w:rFonts w:ascii="Times New Roman" w:eastAsia="Times New Roman" w:hAnsi="Times New Roman" w:cs="Times New Roman"/>
                <w:color w:val="000000"/>
                <w:spacing w:val="-9"/>
                <w:sz w:val="16"/>
                <w:szCs w:val="16"/>
                <w:lang w:eastAsia="hr-HR"/>
              </w:rPr>
              <w:t>(e) (2)</w:t>
            </w:r>
          </w:p>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02" w:lineRule="exact"/>
              <w:ind w:left="62" w:right="58"/>
              <w:rPr>
                <w:rFonts w:ascii="Times New Roman" w:eastAsia="Times New Roman" w:hAnsi="Times New Roman" w:cs="Times New Roman"/>
                <w:sz w:val="16"/>
                <w:szCs w:val="16"/>
                <w:lang w:eastAsia="hr-HR"/>
              </w:rPr>
            </w:pPr>
          </w:p>
        </w:tc>
        <w:tc>
          <w:tcPr>
            <w:tcW w:w="998"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Doprinos EIB-a</w:t>
            </w: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z w:val="16"/>
                <w:szCs w:val="16"/>
                <w:lang w:eastAsia="hr-HR"/>
              </w:rPr>
              <w:t>s(g)</w:t>
            </w:r>
          </w:p>
          <w:p w:rsidR="009B2E82" w:rsidRPr="009B2E82" w:rsidRDefault="009B2E82" w:rsidP="009B2E8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978"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 xml:space="preserve">Glavna alokacija </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82"/>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5"/>
                <w:sz w:val="16"/>
                <w:szCs w:val="16"/>
                <w:lang w:eastAsia="hr-HR"/>
              </w:rPr>
              <w:t xml:space="preserve">Pričuva za ostvarenje rezultata </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58" w:lineRule="exact"/>
              <w:ind w:right="10"/>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Iznos pričuve za ostvarenje rezultata u obliku udjela u ukupne podrške Unije</w:t>
            </w:r>
          </w:p>
        </w:tc>
      </w:tr>
      <w:tr w:rsidR="009B2E82" w:rsidRPr="009B2E82" w:rsidTr="009B2E82">
        <w:trPr>
          <w:trHeight w:hRule="exact" w:val="1037"/>
        </w:trPr>
        <w:tc>
          <w:tcPr>
            <w:tcW w:w="720"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710"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1555"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998"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845"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854"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14" w:right="19"/>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Državno javno financiranje</w:t>
            </w:r>
          </w:p>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2"/>
                <w:sz w:val="16"/>
                <w:szCs w:val="16"/>
                <w:lang w:eastAsia="hr-HR"/>
              </w:rPr>
              <w:t>(c)</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91" w:right="96"/>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6"/>
                <w:sz w:val="16"/>
                <w:szCs w:val="16"/>
                <w:lang w:eastAsia="hr-HR"/>
              </w:rPr>
              <w:t>Državno privatno financiranje</w:t>
            </w:r>
          </w:p>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(d) (1)</w:t>
            </w:r>
          </w:p>
        </w:tc>
        <w:tc>
          <w:tcPr>
            <w:tcW w:w="989"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p>
        </w:tc>
        <w:tc>
          <w:tcPr>
            <w:tcW w:w="989"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p>
        </w:tc>
        <w:tc>
          <w:tcPr>
            <w:tcW w:w="998"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5" w:firstLine="178"/>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Potpora Unije (h)</w:t>
            </w: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 (a) – (j)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Nacionalni ekvivalent</w:t>
            </w: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 xml:space="preserve"> (i) = (b)-</w:t>
            </w:r>
          </w:p>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(k)</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5" w:firstLine="178"/>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Potpora Unije (h)</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 (a) – (j)</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Nacionalni ekvivalent</w:t>
            </w: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 xml:space="preserve"> (i) = (b)-</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(k)</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
              <w:rPr>
                <w:rFonts w:ascii="Times New Roman" w:eastAsia="Times New Roman" w:hAnsi="Times New Roman" w:cs="Times New Roman"/>
                <w:color w:val="000000"/>
                <w:spacing w:val="-8"/>
                <w:sz w:val="16"/>
                <w:szCs w:val="16"/>
                <w:lang w:eastAsia="hr-HR"/>
              </w:rPr>
            </w:pPr>
            <w:r w:rsidRPr="009B2E82">
              <w:rPr>
                <w:rFonts w:ascii="Times New Roman" w:eastAsia="Times New Roman" w:hAnsi="Times New Roman" w:cs="Times New Roman"/>
                <w:color w:val="000000"/>
                <w:spacing w:val="-8"/>
                <w:sz w:val="16"/>
                <w:szCs w:val="16"/>
                <w:lang w:eastAsia="hr-HR"/>
              </w:rPr>
              <w:t xml:space="preserve">(l) = (j) / </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8"/>
                <w:sz w:val="16"/>
                <w:szCs w:val="16"/>
                <w:lang w:eastAsia="hr-HR"/>
              </w:rPr>
              <w:t>(a) * 100</w:t>
            </w: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p>
        </w:tc>
      </w:tr>
      <w:tr w:rsidR="009B2E82" w:rsidRPr="009B2E82" w:rsidTr="009B2E82">
        <w:trPr>
          <w:trHeight w:hRule="exact" w:val="35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w w:val="112"/>
                <w:sz w:val="8"/>
                <w:szCs w:val="8"/>
                <w:lang w:eastAsia="hr-HR"/>
              </w:rPr>
              <w:t>Sveukupno</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1"/>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6.881.045.559,00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1.214.302.156,00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908.016.389,00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306.285.767,00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8.095.347.715,00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47"/>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85,00%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150.000.000,00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6,468,833,617.00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color w:val="000000"/>
                <w:spacing w:val="-1"/>
                <w:sz w:val="8"/>
                <w:szCs w:val="8"/>
                <w:lang w:eastAsia="hr-HR"/>
              </w:rPr>
            </w:pPr>
            <w:r w:rsidRPr="009B2E82">
              <w:rPr>
                <w:rFonts w:ascii="Times New Roman" w:eastAsia="Times New Roman" w:hAnsi="Times New Roman" w:cs="Times New Roman"/>
                <w:color w:val="000000"/>
                <w:spacing w:val="-1"/>
                <w:sz w:val="8"/>
                <w:szCs w:val="8"/>
                <w:lang w:eastAsia="hr-HR"/>
              </w:rPr>
              <w:t>1,141,558,872.17</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412.211.942,00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8"/>
                <w:szCs w:val="8"/>
                <w:lang w:eastAsia="hr-HR"/>
              </w:rPr>
              <w:t>72.743.283,83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51"/>
              <w:rPr>
                <w:rFonts w:ascii="Arial" w:eastAsia="Times New Roman" w:hAnsi="Arial" w:cs="Arial"/>
                <w:sz w:val="20"/>
                <w:szCs w:val="20"/>
                <w:lang w:eastAsia="hr-HR"/>
              </w:rPr>
            </w:pPr>
            <w:r w:rsidRPr="009B2E82">
              <w:rPr>
                <w:rFonts w:ascii="Times New Roman" w:eastAsia="Times New Roman" w:hAnsi="Times New Roman" w:cs="Times New Roman"/>
                <w:color w:val="000000"/>
                <w:sz w:val="8"/>
                <w:szCs w:val="8"/>
                <w:lang w:eastAsia="hr-HR"/>
              </w:rPr>
              <w:t>5.99%</w:t>
            </w:r>
          </w:p>
        </w:tc>
      </w:tr>
    </w:tbl>
    <w:p w:rsidR="009B2E82" w:rsidRPr="009B2E82" w:rsidRDefault="009B2E82" w:rsidP="009B2E82">
      <w:pPr>
        <w:widowControl w:val="0"/>
        <w:numPr>
          <w:ilvl w:val="0"/>
          <w:numId w:val="20"/>
        </w:numPr>
        <w:shd w:val="clear" w:color="auto" w:fill="FFFFFF"/>
        <w:tabs>
          <w:tab w:val="left" w:pos="821"/>
        </w:tabs>
        <w:autoSpaceDE w:val="0"/>
        <w:autoSpaceDN w:val="0"/>
        <w:adjustRightInd w:val="0"/>
        <w:spacing w:before="120" w:after="0" w:line="240" w:lineRule="auto"/>
        <w:ind w:left="542"/>
        <w:rPr>
          <w:rFonts w:ascii="Times New Roman" w:eastAsia="Times New Roman" w:hAnsi="Times New Roman" w:cs="Times New Roman"/>
          <w:color w:val="000000"/>
          <w:spacing w:val="-7"/>
          <w:sz w:val="20"/>
          <w:szCs w:val="20"/>
          <w:lang w:eastAsia="hr-HR"/>
        </w:rPr>
      </w:pPr>
      <w:r w:rsidRPr="009B2E82">
        <w:rPr>
          <w:rFonts w:ascii="Times New Roman" w:eastAsia="Times New Roman" w:hAnsi="Times New Roman" w:cs="Times New Roman"/>
          <w:color w:val="000000"/>
          <w:sz w:val="20"/>
          <w:szCs w:val="20"/>
          <w:lang w:eastAsia="hr-HR"/>
        </w:rPr>
        <w:t>Ispunjava se samo kad su prioritetne osi izražene u ukupnom trošku.</w:t>
      </w:r>
    </w:p>
    <w:p w:rsidR="009B2E82" w:rsidRPr="009B2E82" w:rsidRDefault="009B2E82" w:rsidP="009B2E82">
      <w:pPr>
        <w:widowControl w:val="0"/>
        <w:numPr>
          <w:ilvl w:val="0"/>
          <w:numId w:val="20"/>
        </w:numPr>
        <w:shd w:val="clear" w:color="auto" w:fill="FFFFFF"/>
        <w:tabs>
          <w:tab w:val="left" w:pos="821"/>
        </w:tabs>
        <w:autoSpaceDE w:val="0"/>
        <w:autoSpaceDN w:val="0"/>
        <w:adjustRightInd w:val="0"/>
        <w:spacing w:before="120" w:after="5808" w:line="240" w:lineRule="auto"/>
        <w:ind w:left="542"/>
        <w:rPr>
          <w:rFonts w:ascii="Times New Roman" w:eastAsia="Times New Roman" w:hAnsi="Times New Roman" w:cs="Times New Roman"/>
          <w:color w:val="000000"/>
          <w:spacing w:val="-7"/>
          <w:sz w:val="20"/>
          <w:szCs w:val="20"/>
          <w:lang w:eastAsia="hr-HR"/>
        </w:rPr>
      </w:pPr>
      <w:r w:rsidRPr="009B2E82">
        <w:rPr>
          <w:rFonts w:ascii="Times New Roman" w:eastAsia="Times New Roman" w:hAnsi="Times New Roman" w:cs="Times New Roman"/>
          <w:color w:val="000000"/>
          <w:spacing w:val="-1"/>
          <w:sz w:val="20"/>
          <w:szCs w:val="20"/>
          <w:lang w:eastAsia="hr-HR"/>
        </w:rPr>
        <w:t>Ovu je stopu moguće zaokružiti na najbliži cijeli broj u tablici. Točna stopa korištena za refundiranje plaćanja izražena je u omjeru (f).</w:t>
      </w:r>
    </w:p>
    <w:p w:rsidR="009B2E82" w:rsidRPr="009B2E82" w:rsidRDefault="009B2E82" w:rsidP="009B2E82">
      <w:pPr>
        <w:widowControl w:val="0"/>
        <w:numPr>
          <w:ilvl w:val="0"/>
          <w:numId w:val="20"/>
        </w:numPr>
        <w:shd w:val="clear" w:color="auto" w:fill="FFFFFF"/>
        <w:tabs>
          <w:tab w:val="left" w:pos="821"/>
        </w:tabs>
        <w:autoSpaceDE w:val="0"/>
        <w:autoSpaceDN w:val="0"/>
        <w:adjustRightInd w:val="0"/>
        <w:spacing w:before="120" w:after="5808" w:line="240" w:lineRule="auto"/>
        <w:ind w:left="542"/>
        <w:rPr>
          <w:rFonts w:ascii="Times New Roman" w:eastAsia="Times New Roman" w:hAnsi="Times New Roman" w:cs="Times New Roman"/>
          <w:color w:val="000000"/>
          <w:spacing w:val="-7"/>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p w:rsidR="009B2E82" w:rsidRPr="009B2E82" w:rsidRDefault="009B2E82" w:rsidP="009B2E82">
      <w:pPr>
        <w:widowControl w:val="0"/>
        <w:shd w:val="clear" w:color="auto" w:fill="FFFFFF"/>
        <w:autoSpaceDE w:val="0"/>
        <w:autoSpaceDN w:val="0"/>
        <w:adjustRightInd w:val="0"/>
        <w:spacing w:after="0" w:line="240" w:lineRule="auto"/>
        <w:ind w:left="542"/>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6"/>
          <w:szCs w:val="26"/>
          <w:lang w:eastAsia="hr-HR"/>
        </w:rPr>
        <w:lastRenderedPageBreak/>
        <w:t xml:space="preserve">Tablica 18c: Prikaz financijskog plana po prioritetnoj osi, fondu, kategoriji regije i tematskom cilju </w:t>
      </w:r>
    </w:p>
    <w:p w:rsidR="009B2E82" w:rsidRPr="009B2E82" w:rsidRDefault="009B2E82" w:rsidP="009B2E82">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806"/>
        <w:gridCol w:w="2794"/>
        <w:gridCol w:w="4771"/>
        <w:gridCol w:w="1891"/>
        <w:gridCol w:w="1891"/>
        <w:gridCol w:w="2122"/>
      </w:tblGrid>
      <w:tr w:rsidR="009B2E82" w:rsidRPr="009B2E82" w:rsidTr="009B2E82">
        <w:trPr>
          <w:trHeight w:hRule="exact" w:val="6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67" w:right="6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 xml:space="preserve">Prioritetna os </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5"/>
                <w:sz w:val="16"/>
                <w:szCs w:val="16"/>
                <w:lang w:eastAsia="hr-HR"/>
              </w:rPr>
              <w:t>Fond</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4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16"/>
                <w:szCs w:val="16"/>
                <w:lang w:eastAsia="hr-HR"/>
              </w:rPr>
              <w:t xml:space="preserve">Kategorija regije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2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 xml:space="preserve">Tematski cilj </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3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 xml:space="preserve">Podrška Unije </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16"/>
                <w:szCs w:val="16"/>
                <w:lang w:eastAsia="hr-HR"/>
              </w:rPr>
              <w:t xml:space="preserve">Državni udio </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7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 xml:space="preserve">Ukupno financiranje </w:t>
            </w:r>
          </w:p>
        </w:tc>
      </w:tr>
      <w:tr w:rsidR="009B2E82" w:rsidRPr="009B2E82" w:rsidTr="009B2E82">
        <w:trPr>
          <w:trHeight w:hRule="exact" w:val="43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1</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Jačanje istraživanja, tehnološkog razvoja i inovacija</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664.792.165,00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117.316.264,00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782.108.429,00</w:t>
            </w:r>
          </w:p>
        </w:tc>
      </w:tr>
      <w:tr w:rsidR="009B2E82" w:rsidRPr="009B2E82" w:rsidTr="009B2E82">
        <w:trPr>
          <w:trHeight w:hRule="exact" w:val="61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65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 xml:space="preserve">Poboljšanje pristupa informacijskoj i komunikacijskoj tehnologiji te njezina uporaba i kakvoća </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318.952.676,00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56.285.767,00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375.238.443,00</w:t>
            </w:r>
          </w:p>
        </w:tc>
      </w:tr>
      <w:tr w:rsidR="009B2E82" w:rsidRPr="009B2E82" w:rsidTr="009B2E82">
        <w:trPr>
          <w:trHeight w:hRule="exact" w:val="806"/>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3</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Jačanje konkurentnosti malih i srednjih poduzeća, poljoprivrednog sektora (za EPFRR) i sektora za ribarstvo i akvakulturu (za EFPR)</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970.000.000,00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171.176.471,00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1.141.176.471,00</w:t>
            </w:r>
          </w:p>
        </w:tc>
      </w:tr>
      <w:tr w:rsidR="009B2E82" w:rsidRPr="009B2E82" w:rsidTr="009B2E82">
        <w:trPr>
          <w:trHeight w:hRule="exact" w:val="43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4</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Podrška prelasku na ekonomiju s niskom razinom emisije ugljika u svim sektorima</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531.810.805,00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93.848.966,00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625.659.771,00</w:t>
            </w:r>
          </w:p>
        </w:tc>
      </w:tr>
      <w:tr w:rsidR="009B2E82" w:rsidRPr="009B2E82" w:rsidTr="009B2E82">
        <w:trPr>
          <w:trHeight w:hRule="exact" w:val="6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3"/>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854"/>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Promicanje prilagodbe na klimatske promjene, sprečavanje rizika i upravljanje njime</w:t>
            </w:r>
          </w:p>
          <w:p w:rsidR="009B2E82" w:rsidRPr="009B2E82" w:rsidRDefault="009B2E82" w:rsidP="009B2E82">
            <w:pPr>
              <w:widowControl w:val="0"/>
              <w:shd w:val="clear" w:color="auto" w:fill="FFFFFF"/>
              <w:autoSpaceDE w:val="0"/>
              <w:autoSpaceDN w:val="0"/>
              <w:adjustRightInd w:val="0"/>
              <w:spacing w:after="0" w:line="182" w:lineRule="exact"/>
              <w:ind w:right="854"/>
              <w:rPr>
                <w:rFonts w:ascii="Arial" w:eastAsia="Times New Roman" w:hAnsi="Arial" w:cs="Arial"/>
                <w:sz w:val="20"/>
                <w:szCs w:val="20"/>
                <w:lang w:eastAsia="hr-HR"/>
              </w:rPr>
            </w:pP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245.396.147,00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43.305.202,00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288.701.349,00</w:t>
            </w:r>
          </w:p>
        </w:tc>
      </w:tr>
      <w:tr w:rsidR="009B2E82" w:rsidRPr="009B2E82" w:rsidTr="009B2E82">
        <w:trPr>
          <w:trHeight w:hRule="exact" w:val="61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27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Zaštita okoliša i promidžba održive uporabe resursa</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338.020.392,00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59.650.657,00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397.671.049,00</w:t>
            </w:r>
          </w:p>
        </w:tc>
      </w:tr>
      <w:tr w:rsidR="009B2E82" w:rsidRPr="009B2E82" w:rsidTr="009B2E82">
        <w:trPr>
          <w:trHeight w:hRule="exact" w:val="61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6"/>
                <w:szCs w:val="16"/>
                <w:lang w:eastAsia="hr-HR"/>
              </w:rPr>
              <w:t>KF</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27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Zaštita okoliša i promidžba održive uporabe resursa</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1.649.340.216,00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291.060.038,00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1.940.400.254,00</w:t>
            </w:r>
          </w:p>
        </w:tc>
      </w:tr>
      <w:tr w:rsidR="009B2E82" w:rsidRPr="009B2E82" w:rsidTr="009B2E82">
        <w:trPr>
          <w:trHeight w:hRule="exact" w:val="6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7</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right="38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Promicanje održivog prometa i otklanjanje prometnih zastoja u infrastrukturama glavnih mreža</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400.000.000,00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70.588.235,00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470.588.235,00</w:t>
            </w:r>
          </w:p>
        </w:tc>
      </w:tr>
      <w:tr w:rsidR="009B2E82" w:rsidRPr="009B2E82" w:rsidTr="009B2E82">
        <w:trPr>
          <w:trHeight w:hRule="exact" w:val="61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7</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6"/>
                <w:szCs w:val="16"/>
                <w:lang w:eastAsia="hr-HR"/>
              </w:rPr>
              <w:t>KF</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38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Promicanje održivog prometa i otklanjanje prometnih zastoja u infrastrukturama glavnih mreža</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910.205.755,00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160.624.545,00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1.070.830.300,00</w:t>
            </w:r>
          </w:p>
        </w:tc>
      </w:tr>
      <w:tr w:rsidR="009B2E82" w:rsidRPr="009B2E82" w:rsidTr="009B2E82">
        <w:trPr>
          <w:trHeight w:hRule="exact" w:val="43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3"/>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8</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 xml:space="preserve">Promicanje socijalne uključenosti, borba protiv siromaštva i svih oblika diskriminacije </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376.500.000,00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66.441.176,00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442.941.176,00</w:t>
            </w:r>
          </w:p>
        </w:tc>
      </w:tr>
      <w:tr w:rsidR="009B2E82" w:rsidRPr="009B2E82" w:rsidTr="009B2E82">
        <w:trPr>
          <w:trHeight w:hRule="exact" w:val="6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6"/>
                <w:szCs w:val="16"/>
                <w:lang w:eastAsia="hr-HR"/>
              </w:rPr>
              <w:t>9</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EFRR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Manje razvijena </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right="12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Ulaganje u obrazovanje, vještine i cjeloživotno učenje</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259.914.791,00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45.867.316,00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4"/>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305.782.107,00</w:t>
            </w:r>
          </w:p>
        </w:tc>
      </w:tr>
      <w:tr w:rsidR="009B2E82" w:rsidRPr="009B2E82" w:rsidTr="009B2E82">
        <w:trPr>
          <w:trHeight w:hRule="exact" w:val="538"/>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16"/>
                <w:szCs w:val="16"/>
                <w:lang w:eastAsia="hr-HR"/>
              </w:rPr>
              <w:t>Ukupno 1</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16"/>
                <w:szCs w:val="16"/>
                <w:lang w:eastAsia="hr-HR"/>
              </w:rPr>
              <w:t>6.664.932.947,00</w:t>
            </w: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1.176.164.637,00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0"/>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7.841.097.584,00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226"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226" w:right="541" w:bottom="360" w:left="540" w:header="720" w:footer="720" w:gutter="0"/>
          <w:cols w:num="3" w:space="720" w:equalWidth="0">
            <w:col w:w="720" w:space="6926"/>
            <w:col w:w="720" w:space="6667"/>
            <w:col w:w="720"/>
          </w:cols>
          <w:noEndnote/>
        </w:sectPr>
      </w:pPr>
    </w:p>
    <w:p w:rsidR="009B2E82" w:rsidRPr="009B2E82" w:rsidRDefault="009B2E82" w:rsidP="009B2E82">
      <w:pPr>
        <w:widowControl w:val="0"/>
        <w:shd w:val="clear" w:color="auto" w:fill="FFFFFF"/>
        <w:autoSpaceDE w:val="0"/>
        <w:autoSpaceDN w:val="0"/>
        <w:adjustRightInd w:val="0"/>
        <w:spacing w:after="0" w:line="240" w:lineRule="auto"/>
        <w:ind w:left="542"/>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6"/>
          <w:szCs w:val="26"/>
          <w:lang w:eastAsia="hr-HR"/>
        </w:rPr>
        <w:lastRenderedPageBreak/>
        <w:t>Tablica 19: Indikativni iznos potpore koji će se koristiti za ciljeve povezane s klimatskim promjenama</w:t>
      </w:r>
    </w:p>
    <w:p w:rsidR="009B2E82" w:rsidRPr="009B2E82" w:rsidRDefault="009B2E82" w:rsidP="009B2E82">
      <w:pPr>
        <w:widowControl w:val="0"/>
        <w:autoSpaceDE w:val="0"/>
        <w:autoSpaceDN w:val="0"/>
        <w:adjustRightInd w:val="0"/>
        <w:spacing w:after="101"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698"/>
        <w:gridCol w:w="4109"/>
        <w:gridCol w:w="2419"/>
      </w:tblGrid>
      <w:tr w:rsidR="009B2E82" w:rsidRPr="009B2E82" w:rsidTr="009B2E82">
        <w:trPr>
          <w:trHeight w:hRule="exact" w:val="883"/>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5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8"/>
                <w:szCs w:val="18"/>
                <w:lang w:eastAsia="hr-HR"/>
              </w:rPr>
              <w:t xml:space="preserve">Prioritetna os </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269" w:right="27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18"/>
                <w:szCs w:val="18"/>
                <w:lang w:eastAsia="hr-HR"/>
              </w:rPr>
              <w:t xml:space="preserve">indikativni iznos potpore koji će se koristiti za ciljeve klimatskih promjena </w:t>
            </w:r>
            <w:r w:rsidRPr="009B2E82">
              <w:rPr>
                <w:rFonts w:ascii="Times New Roman" w:eastAsia="Times New Roman" w:hAnsi="Times New Roman" w:cs="Times New Roman"/>
                <w:color w:val="000000"/>
                <w:spacing w:val="-1"/>
                <w:sz w:val="18"/>
                <w:szCs w:val="18"/>
                <w:lang w:eastAsia="hr-HR"/>
              </w:rPr>
              <w:t>(u eurima)</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4" w:right="29"/>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8"/>
                <w:szCs w:val="18"/>
                <w:lang w:eastAsia="hr-HR"/>
              </w:rPr>
              <w:t>Udio ukupne alokacije operativnom programu</w:t>
            </w:r>
            <w:r w:rsidRPr="009B2E82">
              <w:rPr>
                <w:rFonts w:ascii="Times New Roman" w:eastAsia="Times New Roman" w:hAnsi="Times New Roman" w:cs="Times New Roman"/>
                <w:b/>
                <w:bCs/>
                <w:color w:val="000000"/>
                <w:spacing w:val="-1"/>
                <w:sz w:val="18"/>
                <w:szCs w:val="18"/>
                <w:lang w:eastAsia="hr-HR"/>
              </w:rPr>
              <w:t xml:space="preserve"> (%)</w:t>
            </w:r>
          </w:p>
        </w:tc>
      </w:tr>
      <w:tr w:rsidR="009B2E82" w:rsidRPr="009B2E82" w:rsidTr="009B2E82">
        <w:trPr>
          <w:trHeight w:hRule="exact" w:val="461"/>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8"/>
                <w:szCs w:val="18"/>
                <w:lang w:eastAsia="hr-HR"/>
              </w:rPr>
              <w:t>1</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942"/>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8"/>
                <w:szCs w:val="18"/>
                <w:lang w:eastAsia="hr-HR"/>
              </w:rPr>
              <w:t>5.000.000,00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23"/>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8"/>
                <w:szCs w:val="18"/>
                <w:lang w:eastAsia="hr-HR"/>
              </w:rPr>
              <w:t>0,07%</w:t>
            </w:r>
          </w:p>
        </w:tc>
      </w:tr>
      <w:tr w:rsidR="009B2E82" w:rsidRPr="009B2E82" w:rsidTr="009B2E82">
        <w:trPr>
          <w:trHeight w:hRule="exact" w:val="451"/>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3"/>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8"/>
                <w:szCs w:val="18"/>
                <w:lang w:eastAsia="hr-HR"/>
              </w:rPr>
              <w:t>4</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6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8"/>
                <w:szCs w:val="18"/>
                <w:lang w:eastAsia="hr-HR"/>
              </w:rPr>
              <w:t>519.810.805,00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9"/>
                <w:sz w:val="18"/>
                <w:szCs w:val="18"/>
                <w:lang w:eastAsia="hr-HR"/>
              </w:rPr>
              <w:t>7,55%</w:t>
            </w:r>
          </w:p>
        </w:tc>
      </w:tr>
      <w:tr w:rsidR="009B2E82" w:rsidRPr="009B2E82" w:rsidTr="009B2E82">
        <w:trPr>
          <w:trHeight w:hRule="exact" w:val="461"/>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3"/>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8"/>
                <w:szCs w:val="18"/>
                <w:lang w:eastAsia="hr-HR"/>
              </w:rPr>
              <w:t>5</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5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8"/>
                <w:szCs w:val="18"/>
                <w:lang w:eastAsia="hr-HR"/>
              </w:rPr>
              <w:t>206.396.147,00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28"/>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8"/>
                <w:szCs w:val="18"/>
                <w:lang w:eastAsia="hr-HR"/>
              </w:rPr>
              <w:t>3,00%</w:t>
            </w:r>
          </w:p>
        </w:tc>
      </w:tr>
      <w:tr w:rsidR="009B2E82" w:rsidRPr="009B2E82" w:rsidTr="009B2E82">
        <w:trPr>
          <w:trHeight w:hRule="exact" w:val="451"/>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8"/>
                <w:szCs w:val="18"/>
                <w:lang w:eastAsia="hr-HR"/>
              </w:rPr>
              <w:t>6</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85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8"/>
                <w:szCs w:val="18"/>
                <w:lang w:eastAsia="hr-HR"/>
              </w:rPr>
              <w:t>74.000.000,00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2"/>
                <w:sz w:val="18"/>
                <w:szCs w:val="18"/>
                <w:lang w:eastAsia="hr-HR"/>
              </w:rPr>
              <w:t>1,08%</w:t>
            </w:r>
          </w:p>
        </w:tc>
      </w:tr>
      <w:tr w:rsidR="009B2E82" w:rsidRPr="009B2E82" w:rsidTr="009B2E82">
        <w:trPr>
          <w:trHeight w:hRule="exact" w:val="461"/>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18"/>
                <w:szCs w:val="18"/>
                <w:lang w:eastAsia="hr-HR"/>
              </w:rPr>
              <w:t>7</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6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8"/>
                <w:szCs w:val="18"/>
                <w:lang w:eastAsia="hr-HR"/>
              </w:rPr>
              <w:t>316.082.302,00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1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8"/>
                <w:sz w:val="18"/>
                <w:szCs w:val="18"/>
                <w:lang w:eastAsia="hr-HR"/>
              </w:rPr>
              <w:t>4,59%</w:t>
            </w:r>
          </w:p>
        </w:tc>
      </w:tr>
      <w:tr w:rsidR="009B2E82" w:rsidRPr="009B2E82" w:rsidTr="00D314B7">
        <w:trPr>
          <w:trHeight w:hRule="exact" w:val="399"/>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18"/>
                <w:szCs w:val="18"/>
                <w:lang w:eastAsia="hr-HR"/>
              </w:rPr>
              <w:t>Ukupno 1</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63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8"/>
                <w:szCs w:val="18"/>
                <w:lang w:eastAsia="hr-HR"/>
              </w:rPr>
              <w:t>1.121.289.254,00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61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18"/>
                <w:szCs w:val="18"/>
                <w:lang w:eastAsia="hr-HR"/>
              </w:rPr>
              <w:t>16,30%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363"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363" w:right="541" w:bottom="360" w:left="540" w:header="720" w:footer="720" w:gutter="0"/>
          <w:cols w:num="3" w:space="720" w:equalWidth="0">
            <w:col w:w="720" w:space="6926"/>
            <w:col w:w="720" w:space="6667"/>
            <w:col w:w="720"/>
          </w:cols>
          <w:noEndnote/>
        </w:sectPr>
      </w:pPr>
    </w:p>
    <w:p w:rsidR="009B2E82" w:rsidRPr="009B2E82" w:rsidRDefault="009B2E82" w:rsidP="00D314B7">
      <w:pPr>
        <w:widowControl w:val="0"/>
        <w:shd w:val="clear" w:color="auto" w:fill="FFFFFF"/>
        <w:autoSpaceDE w:val="0"/>
        <w:autoSpaceDN w:val="0"/>
        <w:adjustRightInd w:val="0"/>
        <w:spacing w:after="0" w:line="240" w:lineRule="auto"/>
        <w:ind w:left="826"/>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4"/>
          <w:szCs w:val="24"/>
          <w:lang w:eastAsia="hr-HR"/>
        </w:rPr>
        <w:lastRenderedPageBreak/>
        <w:t xml:space="preserve">4. INTEGRIRANI PRISTUP TERITORIJALNOM RAZVOJU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Opis integriranog pristupa teritorijalnom razvoju uzima u obzir sadržaj i ciljeve operativnog programa u pogledu Partnerskog sporazuma i pokazuje kako operativni program pridonosi postizanju ciljeva operativnog programa i očekivanih rezultata.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Zbog svog širokog opsega koji obuhvaća čitav teritorij RH , Operativni program konkurentnost i kohezija (OPKK) smatra se najvažnijim programom koji će omogućiti postizanje glavnih ciljeva vezanih za integrirani teritorijalni razvoj kroz ESI fondove, kako je definirano u Partnerskom sporazumu, tj. </w:t>
      </w:r>
      <w:r w:rsidRPr="009B2E82">
        <w:rPr>
          <w:rFonts w:ascii="Times New Roman" w:eastAsia="Times New Roman" w:hAnsi="Times New Roman" w:cs="Times New Roman"/>
          <w:b/>
          <w:i/>
          <w:color w:val="000000"/>
          <w:sz w:val="24"/>
          <w:szCs w:val="24"/>
          <w:lang w:eastAsia="hr-HR"/>
        </w:rPr>
        <w:t xml:space="preserve">poticanje uravnoteženijeg teritorijalnog razvoja </w:t>
      </w:r>
      <w:r w:rsidRPr="009B2E82">
        <w:rPr>
          <w:rFonts w:ascii="Times New Roman" w:eastAsia="Times New Roman" w:hAnsi="Times New Roman" w:cs="Times New Roman"/>
          <w:color w:val="000000"/>
          <w:sz w:val="24"/>
          <w:szCs w:val="24"/>
          <w:lang w:eastAsia="hr-HR"/>
        </w:rPr>
        <w:t>i</w:t>
      </w:r>
      <w:r w:rsidRPr="009B2E82">
        <w:rPr>
          <w:rFonts w:ascii="Times New Roman" w:eastAsia="Times New Roman" w:hAnsi="Times New Roman" w:cs="Times New Roman"/>
          <w:b/>
          <w:i/>
          <w:color w:val="000000"/>
          <w:sz w:val="24"/>
          <w:szCs w:val="24"/>
          <w:lang w:eastAsia="hr-HR"/>
        </w:rPr>
        <w:t xml:space="preserve"> korištenje komparativnih prednosti različitih teritorija.</w:t>
      </w:r>
      <w:r w:rsidRPr="009B2E82">
        <w:rPr>
          <w:rFonts w:ascii="Times New Roman" w:eastAsia="Times New Roman" w:hAnsi="Times New Roman" w:cs="Times New Roman"/>
          <w:color w:val="000000"/>
          <w:sz w:val="24"/>
          <w:szCs w:val="24"/>
          <w:lang w:eastAsia="hr-HR"/>
        </w:rPr>
        <w:t xml:space="preserve">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U cilju poticanja uravnoteženog teritorijalnog razvoja, aktivnostima koje će se provoditi na područjima s posebnim razvojnim potrebama kao što su potpomognuta područja (prema indeksu razvijenosti) i/ili otoci imati će određene prednosti. Navedene prednosti uključuju pružanje dodatne podrške (kroz ciljane pozive ili alokacije, dodatno bodovanje i/ili moduliranje financijske potpore) za vrijeme odabira i provedbe projekata.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Prethodno spomenuta područja zaostaju u sektorima </w:t>
      </w:r>
      <w:r w:rsidRPr="009B2E82">
        <w:rPr>
          <w:rFonts w:ascii="Times New Roman" w:eastAsia="Times New Roman" w:hAnsi="Times New Roman" w:cs="Times New Roman"/>
          <w:b/>
          <w:color w:val="000000"/>
          <w:sz w:val="24"/>
          <w:szCs w:val="24"/>
          <w:lang w:eastAsia="hr-HR"/>
        </w:rPr>
        <w:t xml:space="preserve">stvaranja radnih mjesta i osnivanju novih poduzeća </w:t>
      </w:r>
      <w:r w:rsidRPr="009B2E82">
        <w:rPr>
          <w:rFonts w:ascii="Times New Roman" w:eastAsia="Times New Roman" w:hAnsi="Times New Roman" w:cs="Times New Roman"/>
          <w:color w:val="000000"/>
          <w:sz w:val="24"/>
          <w:szCs w:val="24"/>
          <w:lang w:eastAsia="hr-HR"/>
        </w:rPr>
        <w:t xml:space="preserve">(Tematski cilj 3), </w:t>
      </w:r>
      <w:r w:rsidRPr="009B2E82">
        <w:rPr>
          <w:rFonts w:ascii="Times New Roman" w:eastAsia="Times New Roman" w:hAnsi="Times New Roman" w:cs="Times New Roman"/>
          <w:b/>
          <w:color w:val="000000"/>
          <w:sz w:val="24"/>
          <w:szCs w:val="24"/>
          <w:lang w:eastAsia="hr-HR"/>
        </w:rPr>
        <w:t>razvoja komunalne infrastrukture</w:t>
      </w:r>
      <w:r w:rsidRPr="009B2E82">
        <w:rPr>
          <w:rFonts w:ascii="Times New Roman" w:eastAsia="Times New Roman" w:hAnsi="Times New Roman" w:cs="Times New Roman"/>
          <w:color w:val="000000"/>
          <w:sz w:val="24"/>
          <w:szCs w:val="24"/>
          <w:lang w:eastAsia="hr-HR"/>
        </w:rPr>
        <w:t xml:space="preserve"> (Tematski cilj 6), </w:t>
      </w:r>
      <w:r w:rsidRPr="009B2E82">
        <w:rPr>
          <w:rFonts w:ascii="Times New Roman" w:eastAsia="Times New Roman" w:hAnsi="Times New Roman" w:cs="Times New Roman"/>
          <w:b/>
          <w:color w:val="000000"/>
          <w:sz w:val="24"/>
          <w:szCs w:val="24"/>
          <w:lang w:eastAsia="hr-HR"/>
        </w:rPr>
        <w:t>povezanosti</w:t>
      </w:r>
      <w:r w:rsidRPr="009B2E82">
        <w:rPr>
          <w:rFonts w:ascii="Times New Roman" w:eastAsia="Times New Roman" w:hAnsi="Times New Roman" w:cs="Times New Roman"/>
          <w:color w:val="000000"/>
          <w:sz w:val="24"/>
          <w:szCs w:val="24"/>
          <w:lang w:eastAsia="hr-HR"/>
        </w:rPr>
        <w:t xml:space="preserve"> (Tematski ciljevi 2 i 7) i </w:t>
      </w:r>
      <w:r w:rsidRPr="009B2E82">
        <w:rPr>
          <w:rFonts w:ascii="Times New Roman" w:eastAsia="Times New Roman" w:hAnsi="Times New Roman" w:cs="Times New Roman"/>
          <w:b/>
          <w:color w:val="000000"/>
          <w:sz w:val="24"/>
          <w:szCs w:val="24"/>
          <w:lang w:eastAsia="hr-HR"/>
        </w:rPr>
        <w:t>infrastrukture povezane s uslugama</w:t>
      </w:r>
      <w:r w:rsidRPr="009B2E82">
        <w:rPr>
          <w:rFonts w:ascii="Times New Roman" w:eastAsia="Times New Roman" w:hAnsi="Times New Roman" w:cs="Times New Roman"/>
          <w:color w:val="000000"/>
          <w:sz w:val="24"/>
          <w:szCs w:val="24"/>
          <w:lang w:eastAsia="hr-HR"/>
        </w:rPr>
        <w:t xml:space="preserve"> (Tematski ciljevi 9 i 10) te je u navedenim područjima potrebno osigurati odgovarajuće prednosti. Zato je teritorijalni pristup  izrazito važan za postizanje specifičnih ciljeva OPKK-a postavljenih na razini prethodno spomenutih sektora/tematskih ciljeva.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Ovime se ne isključuje mogućnost uvođenja posebno osmišljenih mjera i poziva na prijavu projekata za pojedina područja s posebnim potrebama određenim kao nacionalni ili regionalni prioriteti tijekom provođenja OPKK-a.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Teritorijalne strategije imaju važnu ulogu u određivanju razvojnih potreba i potencijala određenih područja. Ciljevi i mjere određeni u okviru teritorijalnih strategija (npr. Strategija regionalnoga razvoja RH, županijske razvojne strategije, strategije urbanog razvoja, kao i drugi programi razvijeni za posebna područja) također će biti temelj za buduća ulaganja iz ESI fondova, uključujući OPKK. Na taj će način usklađenost EU, nacionalnih i drugih fondova pridonijeti integriranim teritorijalnim ciljevima postavljenima na razini svakog pojedinog strateškog dokumenta.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i/>
          <w:color w:val="000000"/>
          <w:sz w:val="24"/>
          <w:szCs w:val="24"/>
          <w:lang w:eastAsia="hr-HR"/>
        </w:rPr>
      </w:pPr>
      <w:r w:rsidRPr="009B2E82">
        <w:rPr>
          <w:rFonts w:ascii="Times New Roman" w:eastAsia="Times New Roman" w:hAnsi="Times New Roman" w:cs="Times New Roman"/>
          <w:color w:val="000000"/>
          <w:sz w:val="24"/>
          <w:szCs w:val="24"/>
          <w:lang w:eastAsia="hr-HR"/>
        </w:rPr>
        <w:t>OPKK će imati važnu ulogu u ulaganjima vezanim uz održivi urbani razvoj kroz integrirana teritorijalna ulaganja (kako je opisano pod 4.2.</w:t>
      </w:r>
      <w:r w:rsidRPr="009B2E82">
        <w:rPr>
          <w:rFonts w:ascii="Times New Roman" w:eastAsia="Times New Roman" w:hAnsi="Times New Roman" w:cs="Times New Roman"/>
          <w:i/>
          <w:color w:val="000000"/>
          <w:sz w:val="24"/>
          <w:szCs w:val="24"/>
          <w:lang w:eastAsia="hr-HR"/>
        </w:rPr>
        <w:t xml:space="preserve"> Integrirane aktivnosti za održivi urbani razvoj) </w:t>
      </w:r>
      <w:r w:rsidRPr="009B2E82">
        <w:rPr>
          <w:rFonts w:ascii="Times New Roman" w:eastAsia="Times New Roman" w:hAnsi="Times New Roman" w:cs="Times New Roman"/>
          <w:color w:val="000000"/>
          <w:sz w:val="24"/>
          <w:szCs w:val="24"/>
          <w:lang w:eastAsia="hr-HR"/>
        </w:rPr>
        <w:t>i ulaganjima u područjima koja su najviše pogođena siromaštvom (kako je opisano u poglavlju</w:t>
      </w:r>
      <w:r w:rsidRPr="009B2E82">
        <w:rPr>
          <w:rFonts w:ascii="Times New Roman" w:eastAsia="Times New Roman" w:hAnsi="Times New Roman" w:cs="Times New Roman"/>
          <w:i/>
          <w:color w:val="000000"/>
          <w:sz w:val="24"/>
          <w:szCs w:val="24"/>
          <w:lang w:eastAsia="hr-HR"/>
        </w:rPr>
        <w:t xml:space="preserve"> </w:t>
      </w:r>
      <w:r w:rsidRPr="009B2E82">
        <w:rPr>
          <w:rFonts w:ascii="Times New Roman" w:eastAsia="Times New Roman" w:hAnsi="Times New Roman" w:cs="Times New Roman"/>
          <w:color w:val="000000"/>
          <w:sz w:val="24"/>
          <w:szCs w:val="24"/>
          <w:lang w:eastAsia="hr-HR"/>
        </w:rPr>
        <w:t>5.</w:t>
      </w:r>
      <w:r w:rsidRPr="009B2E82">
        <w:rPr>
          <w:rFonts w:ascii="Times New Roman" w:eastAsia="Times New Roman" w:hAnsi="Times New Roman" w:cs="Times New Roman"/>
          <w:i/>
          <w:color w:val="000000"/>
          <w:sz w:val="24"/>
          <w:szCs w:val="24"/>
          <w:lang w:eastAsia="hr-HR"/>
        </w:rPr>
        <w:t xml:space="preserve"> Specifične potrebe geografskih područja koja su najviše pogođena siromaštvom ili ciljanih skupina s najvećim rizikom od diskriminacije ili socijalne isključenosti).</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i/>
          <w:color w:val="000000"/>
          <w:sz w:val="24"/>
          <w:szCs w:val="24"/>
          <w:lang w:eastAsia="hr-HR"/>
        </w:rPr>
      </w:pP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bCs/>
          <w:color w:val="000000"/>
          <w:sz w:val="24"/>
          <w:szCs w:val="24"/>
          <w:lang w:eastAsia="hr-HR"/>
        </w:rPr>
        <w:t xml:space="preserve">4.2 Integrirane aktivnosti za održivi urbani razvoj </w:t>
      </w:r>
      <w:r w:rsidRPr="009B2E82">
        <w:rPr>
          <w:rFonts w:ascii="Times New Roman" w:eastAsia="Times New Roman" w:hAnsi="Times New Roman" w:cs="Times New Roman"/>
          <w:color w:val="000000"/>
          <w:sz w:val="24"/>
          <w:szCs w:val="24"/>
          <w:lang w:eastAsia="hr-HR"/>
        </w:rPr>
        <w:t xml:space="preserve">(po potrebi)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Po potrebi, indikativni iznos potpore EFRR-a za integrirane aktivnosti za održivi urbani razvoj koji će se provesti u skladu s odredbama iz članka 7. stavka 2. Uredbe (EU) br. 1301/2013 i predviđene alokacije potpore ESF-a za integrirane aktivnosti.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Povećanje konkurentnosti hrvatskog gospodarstva u velikoj mjeri ovisi o ulaganjima u njegovim najaktivnijim područjima koja čine područja najvećih urbanih centara. Urbani centri također imaju ulogu pokretača razvoja za okolna područja. Poštujući odredbe članka 96. stavka 3. Uredbe (EU) 1303/2013 i članka 7. Uredbe (EU) 1301/2013, </w:t>
      </w:r>
      <w:r w:rsidRPr="009B2E82">
        <w:rPr>
          <w:rFonts w:ascii="Times New Roman" w:eastAsia="Times New Roman" w:hAnsi="Times New Roman" w:cs="Times New Roman"/>
          <w:color w:val="000000"/>
          <w:sz w:val="24"/>
          <w:szCs w:val="24"/>
          <w:lang w:eastAsia="hr-HR"/>
        </w:rPr>
        <w:lastRenderedPageBreak/>
        <w:t xml:space="preserve">odgovarajuće alokacije EFRR-a i ESF-a dodijeljene su  aktivnostima vezanim uz održivi urbani razvoj koje će se provoditi kroz integrirana teritorijalna ulaganja (ITU). Također, alokacija iz KF-a dodijeljena je za prethodno spomenute integrirane aktivnosti.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Indikativne alokacije iz EFRR-a i KF-a u potpunosti su definirane unutar OPKK-a i obuhvatit će infrastrukturna ulaganja koja imaju za cilj najbolju uporabu postojećih i razvijanje novih resursa. Tu  spadaju  aktivnosti vezane uz, primjerice, razvoj poslovnog okruženja, niskougljičnog gospodarstva i gradskog prijevoza s niskom razinom emisije ugljika, kulturne baštine i brownfield područja te razvoj društvene infrastrukture kako je opisano u 2. odjeljku OPKK-a. Indikativna alokacija sredstava iz ESF-a u potpunosti je određena Operativnim programom </w:t>
      </w:r>
      <w:r w:rsidRPr="009B2E82">
        <w:rPr>
          <w:rFonts w:ascii="Times New Roman" w:eastAsia="Times New Roman" w:hAnsi="Times New Roman" w:cs="Times New Roman"/>
          <w:i/>
          <w:color w:val="000000"/>
          <w:sz w:val="24"/>
          <w:szCs w:val="24"/>
          <w:lang w:eastAsia="hr-HR"/>
        </w:rPr>
        <w:t>Učinkoviti ljudski potencijali</w:t>
      </w:r>
      <w:r w:rsidRPr="009B2E82">
        <w:rPr>
          <w:rFonts w:ascii="Times New Roman" w:eastAsia="Times New Roman" w:hAnsi="Times New Roman" w:cs="Times New Roman"/>
          <w:color w:val="000000"/>
          <w:sz w:val="24"/>
          <w:szCs w:val="24"/>
          <w:lang w:eastAsia="hr-HR"/>
        </w:rPr>
        <w:t xml:space="preserve"> (OPEHR).</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Ulaganja u urbana područja u kojima će se provoditi ITU temeljit će se na strategijama integriranog urbanog razvoja u kojima će gradske vlasti, zajedno sa partnerima, odrediti razvojne potrebe i potencijale pojedinih urbanih područja. Indikativni popis sektora za  održivi urbani razvoj izrađen je kroz aktivni dijalog s tijelima lokalne samouprave, a skup jasnih aktivnosti na razini svakog ITU-a definirat će se po završetku i verifikaciji strategija integriranog urbanog razvoja. Aktivnosti koje predlažu tijela lokalne vlasti moraju biti usmjerene i prioriteti trebaju biti definirani na način da adresiraju razvojne potencijale (npr.  razvoj poslovnog okruženja) i izazove  koji su posljedica koncentracije stanovništva (npr. urbani prijevoz ili nedostatak društvene infrastrukture). Strategije će također obuhvatiti i aktivnosti izvan opsega ITU-a kako bi se osigurala integracija svih aktivnosti koje se financiraju u urbanim područjima iz EU-a, nacionalnih i lokalnih (privatnih ili javnih) izvora. </w:t>
      </w:r>
    </w:p>
    <w:p w:rsidR="009B2E82" w:rsidRPr="009B2E82" w:rsidRDefault="009B2E82" w:rsidP="00D314B7">
      <w:pPr>
        <w:widowControl w:val="0"/>
        <w:shd w:val="clear" w:color="auto" w:fill="FFFFFF"/>
        <w:autoSpaceDE w:val="0"/>
        <w:autoSpaceDN w:val="0"/>
        <w:adjustRightInd w:val="0"/>
        <w:spacing w:before="120"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Provođenje ITU-a omogućit će aktivniju ulogu tijela lokalne samouprave u određivanju razvojnih ciljeva, ali će također omogućiti integraciju složenih projekata koji se trebaju financirati iz različitih prioritetnih osi OPKK-a i/ili OPEHR-a.</w:t>
      </w:r>
    </w:p>
    <w:p w:rsidR="009B2E82" w:rsidRPr="009B2E82" w:rsidRDefault="009B2E82" w:rsidP="00D314B7">
      <w:pPr>
        <w:widowControl w:val="0"/>
        <w:shd w:val="clear" w:color="auto" w:fill="FFFFFF"/>
        <w:autoSpaceDE w:val="0"/>
        <w:autoSpaceDN w:val="0"/>
        <w:adjustRightInd w:val="0"/>
        <w:spacing w:after="0" w:line="274" w:lineRule="exact"/>
        <w:ind w:left="816"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Ministarstvo nadležno za ITU (istovremeno UT OPKK-a) određivat će opseg zadataka koje će provoditi nadležna tijela lokalne samouprave za svaki ITU ovisno o postojećim kapacitetima nadležnog tijela , što će uključivati najmanje odabir operacija. Ministarstvo nadležno za ITU također će biti zaduženo za koordinaciju aktivnosti iz ESF-a i EFRR-a/KF-a vezanih uz održivi urbani razvoj. Osim infrastrukturnih projekata koji se financiraju u urbanim područjima unutar okvira OPKK-a, sredstva iz Tehničke pomoći koristi će se kako bi se olakšalo provođenje ITU-a u urbanim sredinama.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12634" w:after="0" w:line="240" w:lineRule="auto"/>
        <w:rPr>
          <w:rFonts w:ascii="Arial" w:eastAsia="Times New Roman" w:hAnsi="Arial" w:cs="Arial"/>
          <w:sz w:val="20"/>
          <w:szCs w:val="20"/>
          <w:lang w:eastAsia="hr-HR"/>
        </w:rPr>
        <w:sectPr w:rsidR="009B2E82" w:rsidRPr="009B2E82">
          <w:pgSz w:w="11909" w:h="16834"/>
          <w:pgMar w:top="912"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74" w:lineRule="exact"/>
        <w:ind w:left="826" w:right="184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lastRenderedPageBreak/>
        <w:t xml:space="preserve">Tablica 20: Integrirane aktivnosti za održivi urbani razvoj – indikativni iznosi </w:t>
      </w:r>
      <w:r w:rsidRPr="009B2E82">
        <w:rPr>
          <w:rFonts w:ascii="Times New Roman" w:eastAsia="Times New Roman" w:hAnsi="Times New Roman" w:cs="Times New Roman"/>
          <w:b/>
          <w:bCs/>
          <w:color w:val="000000"/>
          <w:sz w:val="24"/>
          <w:szCs w:val="24"/>
          <w:lang w:eastAsia="hr-HR"/>
        </w:rPr>
        <w:t>potpora iz EFRR-a i ESF-a</w:t>
      </w:r>
    </w:p>
    <w:p w:rsidR="009B2E82" w:rsidRPr="009B2E82" w:rsidRDefault="009B2E82" w:rsidP="009B2E82">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3427"/>
        <w:gridCol w:w="2544"/>
        <w:gridCol w:w="2794"/>
      </w:tblGrid>
      <w:tr w:rsidR="009B2E82" w:rsidRPr="009B2E82" w:rsidTr="009B2E82">
        <w:trPr>
          <w:trHeight w:hRule="exact" w:val="672"/>
        </w:trPr>
        <w:tc>
          <w:tcPr>
            <w:tcW w:w="342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378"/>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lang w:eastAsia="hr-HR"/>
              </w:rPr>
              <w:t>Fond</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left="134" w:right="139"/>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lang w:eastAsia="hr-HR"/>
              </w:rPr>
              <w:t xml:space="preserve">Potpora iz EFRR-a i ESF-a </w:t>
            </w:r>
            <w:r w:rsidRPr="009B2E82">
              <w:rPr>
                <w:rFonts w:ascii="Times New Roman" w:eastAsia="Times New Roman" w:hAnsi="Times New Roman" w:cs="Times New Roman"/>
                <w:color w:val="000000"/>
                <w:spacing w:val="-6"/>
                <w:lang w:eastAsia="hr-HR"/>
              </w:rPr>
              <w:t>(indikativno) (u eurima)</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78" w:right="192"/>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lang w:eastAsia="hr-HR"/>
              </w:rPr>
              <w:t xml:space="preserve">Udio ukupne alokacije za program </w:t>
            </w:r>
          </w:p>
        </w:tc>
      </w:tr>
      <w:tr w:rsidR="009B2E82" w:rsidRPr="009B2E82" w:rsidTr="009B2E82">
        <w:trPr>
          <w:trHeight w:hRule="exact" w:val="528"/>
        </w:trPr>
        <w:tc>
          <w:tcPr>
            <w:tcW w:w="342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24"/>
                <w:szCs w:val="24"/>
                <w:lang w:eastAsia="hr-HR"/>
              </w:rPr>
              <w:t xml:space="preserve">Ukupno EFRR </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4"/>
                <w:szCs w:val="24"/>
                <w:lang w:eastAsia="hr-HR"/>
              </w:rPr>
              <w:t>293.351.269,00</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944"/>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24"/>
                <w:szCs w:val="24"/>
                <w:lang w:eastAsia="hr-HR"/>
              </w:rPr>
              <w:t>6,79%</w:t>
            </w:r>
          </w:p>
        </w:tc>
      </w:tr>
      <w:tr w:rsidR="009B2E82" w:rsidRPr="009B2E82" w:rsidTr="009B2E82">
        <w:trPr>
          <w:trHeight w:hRule="exact" w:val="538"/>
        </w:trPr>
        <w:tc>
          <w:tcPr>
            <w:tcW w:w="342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4"/>
                <w:szCs w:val="24"/>
                <w:lang w:eastAsia="hr-HR"/>
              </w:rPr>
              <w:t>Ukupno EFRR +ESF</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4"/>
                <w:szCs w:val="24"/>
                <w:lang w:eastAsia="hr-HR"/>
              </w:rPr>
              <w:t>293.351.269,00</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90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8"/>
                <w:sz w:val="24"/>
                <w:szCs w:val="24"/>
                <w:lang w:eastAsia="hr-HR"/>
              </w:rPr>
              <w:t>4,26%</w:t>
            </w:r>
          </w:p>
        </w:tc>
      </w:tr>
    </w:tbl>
    <w:p w:rsidR="009B2E82" w:rsidRPr="009B2E82" w:rsidRDefault="009B2E82" w:rsidP="009B2E82">
      <w:pPr>
        <w:widowControl w:val="0"/>
        <w:shd w:val="clear" w:color="auto" w:fill="FFFFFF"/>
        <w:autoSpaceDE w:val="0"/>
        <w:autoSpaceDN w:val="0"/>
        <w:adjustRightInd w:val="0"/>
        <w:spacing w:before="514" w:after="0" w:line="240" w:lineRule="auto"/>
        <w:ind w:left="826"/>
        <w:rPr>
          <w:rFonts w:ascii="Times New Roman" w:eastAsia="Times New Roman" w:hAnsi="Times New Roman" w:cs="Times New Roman"/>
          <w:b/>
          <w:bCs/>
          <w:color w:val="000000"/>
          <w:sz w:val="24"/>
          <w:szCs w:val="24"/>
          <w:lang w:eastAsia="hr-HR"/>
        </w:rPr>
      </w:pPr>
      <w:r w:rsidRPr="009B2E82">
        <w:rPr>
          <w:rFonts w:ascii="Times New Roman" w:eastAsia="Times New Roman" w:hAnsi="Times New Roman" w:cs="Times New Roman"/>
          <w:b/>
          <w:bCs/>
          <w:color w:val="000000"/>
          <w:sz w:val="24"/>
          <w:szCs w:val="24"/>
          <w:lang w:eastAsia="hr-HR"/>
        </w:rPr>
        <w:t xml:space="preserve">4.3 Integrirana teritorijalna ulaganja (ITU) (po potrebi) </w:t>
      </w:r>
    </w:p>
    <w:p w:rsidR="009B2E82" w:rsidRPr="009B2E82" w:rsidRDefault="009B2E82" w:rsidP="00D314B7">
      <w:pPr>
        <w:widowControl w:val="0"/>
        <w:shd w:val="clear" w:color="auto" w:fill="FFFFFF"/>
        <w:autoSpaceDE w:val="0"/>
        <w:autoSpaceDN w:val="0"/>
        <w:adjustRightInd w:val="0"/>
        <w:spacing w:before="514" w:after="0" w:line="240" w:lineRule="auto"/>
        <w:ind w:left="826"/>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Cs/>
          <w:color w:val="000000"/>
          <w:sz w:val="24"/>
          <w:szCs w:val="24"/>
          <w:lang w:eastAsia="hr-HR"/>
        </w:rPr>
        <w:t xml:space="preserve">Pristup korištenju integriranih teritorijalnih ulaganja (kako je određeno člankom 36. Uredbe (EU) br. 1303/2013)), osim u slučajevima navedenima pod 4.2, i njihova indikativna financijska alokacija iz svake prioritetne osi. </w:t>
      </w:r>
    </w:p>
    <w:p w:rsidR="009B2E82" w:rsidRPr="009B2E82" w:rsidRDefault="009B2E82" w:rsidP="00D314B7">
      <w:pPr>
        <w:widowControl w:val="0"/>
        <w:shd w:val="clear" w:color="auto" w:fill="FFFFFF"/>
        <w:autoSpaceDE w:val="0"/>
        <w:autoSpaceDN w:val="0"/>
        <w:adjustRightInd w:val="0"/>
        <w:spacing w:before="514" w:after="0" w:line="240" w:lineRule="auto"/>
        <w:ind w:left="826"/>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Cs/>
          <w:color w:val="000000"/>
          <w:sz w:val="24"/>
          <w:szCs w:val="24"/>
          <w:lang w:eastAsia="hr-HR"/>
        </w:rPr>
        <w:t xml:space="preserve">Koncept održivog urbanog razvoja u Republici Hrvatskoj provest će se isključivo putem mehanizma integriranih teritorijalnih ulaganja (ITU). Istraživanje o urbanom razvoju u Hrvatskoj pokazuje da će integrirani pristup održivom urbanom razvoju potencijalno donijeti koristi svim gradovima s brojem stanovnika iznad 35.000, ali u početnoj fazi mogućnost prijave za provedbu ITU-a i korištenje alokacije rezervirane za održivi urbani razvoj ponudit će se  7 najvećih urbanih centara s najvećom koncentracijom stanovništva i kapacitetom za provođenje projekata u okviru ovog mehanizma – aglomeraciji Zagreba, Osijeka, Rijeke i Splita s više od 100.000 stanovnika te Zadru, Slavonskom Brodu i Puli s više od 50.000 stanovnika u središnjim naseljima. Konačna odluka o ITU-ima koji će se provesti u Republici Hrvatskoj temeljit će se na natječaju između prethodno odabranih 7 urbanih centara između kojih će se odabrati otprilike 4 zasebna ITU-a. Natječajni postupak omogućit će odabir najbolje pripremljenih i najaktivnijih gradskih tijela za provedbu ITU-a. Osim toga, ovisno o dostupnosti financiranja, u kasnijoj fazi može se razmotriti provođenje ITU-a i u drugim gradovima koji imaju više od 35.000 stanovnika. </w:t>
      </w:r>
    </w:p>
    <w:p w:rsidR="009B2E82" w:rsidRPr="009B2E82" w:rsidRDefault="009B2E82" w:rsidP="00D314B7">
      <w:pPr>
        <w:widowControl w:val="0"/>
        <w:shd w:val="clear" w:color="auto" w:fill="FFFFFF"/>
        <w:autoSpaceDE w:val="0"/>
        <w:autoSpaceDN w:val="0"/>
        <w:adjustRightInd w:val="0"/>
        <w:spacing w:before="514" w:after="0" w:line="240" w:lineRule="auto"/>
        <w:ind w:left="826"/>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Cs/>
          <w:color w:val="000000"/>
          <w:sz w:val="24"/>
          <w:szCs w:val="24"/>
          <w:lang w:eastAsia="hr-HR"/>
        </w:rPr>
        <w:t>Svaki ITU bit će sufinanciran iz EFRR-a/KF-a kroz integrirani niz aktivnosti iz različitih prioritetnih osi OPKK-a te dodatno kroz aktivnosti sufinancirane iz ESF-a u okviru OPEHR-a. U skladu s analizom razvojnih problema i prilika u velikim urbanim centrima u Hrvatskoj [l], definirane su aktivnosti koje se mogu poticati putem ITU mehanizma i uključuju sljedeća tri tematska područja.</w:t>
      </w:r>
    </w:p>
    <w:p w:rsidR="00D314B7" w:rsidRDefault="009B2E82" w:rsidP="00D314B7">
      <w:pPr>
        <w:widowControl w:val="0"/>
        <w:shd w:val="clear" w:color="auto" w:fill="FFFFFF"/>
        <w:autoSpaceDE w:val="0"/>
        <w:autoSpaceDN w:val="0"/>
        <w:adjustRightInd w:val="0"/>
        <w:spacing w:before="514" w:after="0" w:line="240" w:lineRule="auto"/>
        <w:ind w:left="826"/>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Cs/>
          <w:color w:val="000000"/>
          <w:sz w:val="24"/>
          <w:szCs w:val="24"/>
          <w:lang w:eastAsia="hr-HR"/>
        </w:rPr>
        <w:t>Ciljana urbana područja podržat će se kako bi postala progresivni gradovi i pokretači održivog i pametnog gospodarskog razvoja, pružali poslovnu podršku tvrtkama, stvorili radna mjesta, razvili znanja i vještine i omogućili gospodarski razvoj (na primjer poticat će se razvoj poduzetničkih potpornih institucija). Od gradova se očekuje da ujedine snage s postojećim centrima istraživanja i inovacija te poslovnim sektorom u razvijanju inovativnih rješenja vezanih za društvene izazove (npr. zajednički projekti tijela lokalne uprave s poslovnim i znanstvenim sektorom vezano za društvene inovacije) i postanu aktivni sudionici u osmišljavanju i provođenju obrazovnih programa vezanih uz učinkoviti urbani razvoj i upravljanje (npr. programi cjeloživotnog</w:t>
      </w:r>
      <w:r w:rsidR="00D314B7">
        <w:rPr>
          <w:rFonts w:ascii="Times New Roman" w:eastAsia="Times New Roman" w:hAnsi="Times New Roman" w:cs="Times New Roman"/>
          <w:bCs/>
          <w:color w:val="000000"/>
          <w:sz w:val="24"/>
          <w:szCs w:val="24"/>
          <w:lang w:eastAsia="hr-HR"/>
        </w:rPr>
        <w:t xml:space="preserve"> učenja za lokalne službenike).</w:t>
      </w:r>
    </w:p>
    <w:p w:rsidR="00D314B7" w:rsidRDefault="009B2E82" w:rsidP="00D314B7">
      <w:pPr>
        <w:widowControl w:val="0"/>
        <w:shd w:val="clear" w:color="auto" w:fill="FFFFFF"/>
        <w:autoSpaceDE w:val="0"/>
        <w:autoSpaceDN w:val="0"/>
        <w:adjustRightInd w:val="0"/>
        <w:spacing w:before="514" w:after="0" w:line="240" w:lineRule="auto"/>
        <w:ind w:left="826"/>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Cs/>
          <w:color w:val="000000"/>
          <w:sz w:val="24"/>
          <w:szCs w:val="24"/>
          <w:lang w:eastAsia="hr-HR"/>
        </w:rPr>
        <w:t xml:space="preserve">Pod drugom skupinom tematskih aktivnosti, podupirat će se energetska učinkovitost, štednja energije i intenzivnija uporaba obnovljivih izvora energije kao npr. manji projekti urbanog prijevoza, posebice oni koji se odnose na niskougljične prometne opcije ili one bez emisije ugljika, ulaganja u javnu energetsku infrastrukturu poput toplinskih mreža te projekti zaštite i promidžbe postojeće kulturne baštine, obnove ekološki oslabljenih područja i ponovne gospodarske uporabe brownfield područja </w:t>
      </w:r>
      <w:r w:rsidRPr="009B2E82">
        <w:rPr>
          <w:rFonts w:ascii="Times New Roman" w:eastAsia="Times New Roman" w:hAnsi="Times New Roman" w:cs="Times New Roman"/>
          <w:bCs/>
          <w:color w:val="000000"/>
          <w:sz w:val="24"/>
          <w:szCs w:val="24"/>
          <w:lang w:eastAsia="hr-HR"/>
        </w:rPr>
        <w:lastRenderedPageBreak/>
        <w:t>(industrijskih i vojnih).</w:t>
      </w:r>
    </w:p>
    <w:p w:rsidR="009B2E82" w:rsidRPr="009B2E82" w:rsidRDefault="009B2E82" w:rsidP="00D314B7">
      <w:pPr>
        <w:widowControl w:val="0"/>
        <w:shd w:val="clear" w:color="auto" w:fill="FFFFFF"/>
        <w:autoSpaceDE w:val="0"/>
        <w:autoSpaceDN w:val="0"/>
        <w:adjustRightInd w:val="0"/>
        <w:spacing w:before="514" w:after="0" w:line="240" w:lineRule="auto"/>
        <w:ind w:left="826"/>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Cs/>
          <w:color w:val="000000"/>
          <w:sz w:val="24"/>
          <w:szCs w:val="24"/>
          <w:lang w:eastAsia="hr-HR"/>
        </w:rPr>
        <w:t xml:space="preserve">Treća skupina odabranih aktivnosti odnosi se na uključive gradove, gradove koji se bore sa siromaštvom i koji podržavaju socijalnu integraciju. Velike urbane centre potiče se da preuzmu aktivnu ulogu u smanjenju nezaposlenosti mladih kroz niz odgovarajućih mjera uzimajući u obzir potrebe lokalnog tržišta rada, rješavaju nedostatne infrastrukture i ljudske kapacitete za pružanje usluga u nadležnosti gradova (npr. za starije osobe, beskućnike i slično) i pridonesu razvoju novih modela za pružanje društvenih usluga. </w:t>
      </w:r>
    </w:p>
    <w:p w:rsidR="009B2E82" w:rsidRPr="009B2E82" w:rsidRDefault="009B2E82" w:rsidP="009B2E82">
      <w:pPr>
        <w:widowControl w:val="0"/>
        <w:shd w:val="clear" w:color="auto" w:fill="FFFFFF"/>
        <w:autoSpaceDE w:val="0"/>
        <w:autoSpaceDN w:val="0"/>
        <w:adjustRightInd w:val="0"/>
        <w:spacing w:before="514" w:after="0" w:line="240" w:lineRule="auto"/>
        <w:ind w:left="826"/>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Cs/>
          <w:color w:val="000000"/>
          <w:sz w:val="24"/>
          <w:szCs w:val="24"/>
          <w:lang w:eastAsia="hr-HR"/>
        </w:rPr>
        <w:t xml:space="preserve">Tematski djelokrug i konkretni skup integriranih aktivnosti za svaki ITU razlikovat će se ovisno o analizama i ciljevima određenima u integriranim Strategijama održivog urbanog razvoja. Dodatne aktivnosti koje ne spadaju pod djelokrug ITU-a također će se provesti u gradovima i dopunjavati aktivnosti u okviru ITU-a kako bi se postigao puni integrirani pristup. Aktivnosti predložene u okviru ITU-a moraju biti sastavni dio strategije i moraju biti provedene putem višesektorskog partnerstva. Sveobuhvatni pristup osigurat će se kroz pripremu Strategija održivog urbanog razvoja i formalizaciju partnerstva na lokalnoj razini. Tijela lokalne samouprave odgovorna za provedbu Strategija održivog urbanog razvoja bit će odgovorna za procedure vezane za odabir projekata. Ministarstvo nadležno za ITU izvršit će završnu verifikaciju opravdanosti projekata prije odobrenja. </w:t>
      </w:r>
    </w:p>
    <w:p w:rsidR="00324C8B" w:rsidRDefault="009B2E82" w:rsidP="00324C8B">
      <w:pPr>
        <w:widowControl w:val="0"/>
        <w:shd w:val="clear" w:color="auto" w:fill="FFFFFF"/>
        <w:autoSpaceDE w:val="0"/>
        <w:autoSpaceDN w:val="0"/>
        <w:adjustRightInd w:val="0"/>
        <w:spacing w:before="514" w:after="0" w:line="240" w:lineRule="auto"/>
        <w:ind w:left="826"/>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Cs/>
          <w:color w:val="000000"/>
          <w:sz w:val="24"/>
          <w:szCs w:val="24"/>
          <w:lang w:eastAsia="hr-HR"/>
        </w:rPr>
        <w:t xml:space="preserve"> [1] Pripremljene unutar ugovora IPA2007/HR/16IPO/001-050401, provedenog u razdoblju od rujna 2013. do srpnja 2014. </w:t>
      </w:r>
    </w:p>
    <w:p w:rsidR="009B2E82" w:rsidRPr="009B2E82" w:rsidRDefault="009B2E82" w:rsidP="00324C8B">
      <w:pPr>
        <w:widowControl w:val="0"/>
        <w:shd w:val="clear" w:color="auto" w:fill="FFFFFF"/>
        <w:autoSpaceDE w:val="0"/>
        <w:autoSpaceDN w:val="0"/>
        <w:adjustRightInd w:val="0"/>
        <w:spacing w:before="514"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Tablica 21: Indikativna financijska alokacija za ITU, osim one spomenute pod točkom 4.2 </w:t>
      </w:r>
      <w:r w:rsidRPr="009B2E82">
        <w:rPr>
          <w:rFonts w:ascii="Times New Roman" w:eastAsia="Times New Roman" w:hAnsi="Times New Roman" w:cs="Times New Roman"/>
          <w:color w:val="000000"/>
          <w:spacing w:val="-1"/>
          <w:sz w:val="24"/>
          <w:szCs w:val="24"/>
          <w:lang w:eastAsia="hr-HR"/>
        </w:rPr>
        <w:t>(ukupan iznos)</w:t>
      </w:r>
    </w:p>
    <w:p w:rsidR="009B2E82" w:rsidRPr="009B2E82" w:rsidRDefault="009B2E82" w:rsidP="009B2E82">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3734"/>
        <w:gridCol w:w="1526"/>
        <w:gridCol w:w="3456"/>
      </w:tblGrid>
      <w:tr w:rsidR="009B2E82" w:rsidRPr="009B2E82" w:rsidTr="009B2E82">
        <w:trPr>
          <w:trHeight w:hRule="exact" w:val="64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lang w:eastAsia="hr-HR"/>
              </w:rPr>
              <w:t xml:space="preserve">Prioritetna os </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0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lang w:eastAsia="hr-HR"/>
              </w:rPr>
              <w:t>Fond</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50" w:lineRule="exact"/>
              <w:ind w:right="29"/>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lang w:eastAsia="hr-HR"/>
              </w:rPr>
              <w:t xml:space="preserve">Indikativna financijska alokacija </w:t>
            </w:r>
            <w:r w:rsidRPr="009B2E82">
              <w:rPr>
                <w:rFonts w:ascii="Times New Roman" w:eastAsia="Times New Roman" w:hAnsi="Times New Roman" w:cs="Times New Roman"/>
                <w:b/>
                <w:bCs/>
                <w:color w:val="000000"/>
                <w:spacing w:val="-1"/>
                <w:lang w:eastAsia="hr-HR"/>
              </w:rPr>
              <w:t xml:space="preserve">(podrška Unije ) </w:t>
            </w:r>
            <w:r w:rsidRPr="009B2E82">
              <w:rPr>
                <w:rFonts w:ascii="Times New Roman" w:eastAsia="Times New Roman" w:hAnsi="Times New Roman" w:cs="Times New Roman"/>
                <w:color w:val="000000"/>
                <w:spacing w:val="-1"/>
                <w:lang w:eastAsia="hr-HR"/>
              </w:rPr>
              <w:t>(u eurima)</w:t>
            </w:r>
          </w:p>
        </w:tc>
      </w:tr>
      <w:tr w:rsidR="009B2E82" w:rsidRPr="009B2E82" w:rsidTr="009B2E82">
        <w:trPr>
          <w:trHeight w:hRule="exact" w:val="100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54" w:lineRule="exact"/>
              <w:ind w:left="5" w:right="19"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lang w:eastAsia="hr-HR"/>
              </w:rPr>
              <w:t xml:space="preserve">1 –Jačanje gospodarstva primjenom istraživanja i inovacija </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5"/>
                <w:lang w:eastAsia="hr-HR"/>
              </w:rPr>
              <w:t xml:space="preserve">EFRR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958"/>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lang w:eastAsia="hr-HR"/>
              </w:rPr>
              <w:t>20.000.000,00</w:t>
            </w:r>
          </w:p>
        </w:tc>
      </w:tr>
      <w:tr w:rsidR="009B2E82" w:rsidRPr="009B2E82" w:rsidTr="009B2E82">
        <w:trPr>
          <w:trHeight w:hRule="exact" w:val="50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lang w:eastAsia="hr-HR"/>
              </w:rPr>
              <w:t xml:space="preserve">3 – Poslovna konkurentnost </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5"/>
                <w:lang w:eastAsia="hr-HR"/>
              </w:rPr>
              <w:t xml:space="preserve">EFRR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963"/>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lang w:eastAsia="hr-HR"/>
              </w:rPr>
              <w:t>60.000.000,00</w:t>
            </w:r>
          </w:p>
        </w:tc>
      </w:tr>
      <w:tr w:rsidR="009B2E82" w:rsidRPr="009B2E82" w:rsidTr="009B2E82">
        <w:trPr>
          <w:trHeight w:hRule="exact" w:val="74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59" w:lineRule="exact"/>
              <w:ind w:left="10" w:right="25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lang w:eastAsia="hr-HR"/>
              </w:rPr>
              <w:t xml:space="preserve">4 – Promicanje energetske učinkovitosti i obnovljivih izvora energije </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5"/>
                <w:lang w:eastAsia="hr-HR"/>
              </w:rPr>
              <w:t xml:space="preserve">EFRR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968"/>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lang w:eastAsia="hr-HR"/>
              </w:rPr>
              <w:t>80.000.000,00</w:t>
            </w:r>
          </w:p>
        </w:tc>
      </w:tr>
      <w:tr w:rsidR="009B2E82" w:rsidRPr="009B2E82" w:rsidTr="009B2E82">
        <w:trPr>
          <w:trHeight w:hRule="exact" w:val="75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54" w:lineRule="exact"/>
              <w:ind w:left="14" w:right="571"/>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lang w:eastAsia="hr-HR"/>
              </w:rPr>
              <w:t xml:space="preserve">6 – Zaštita okoliša i održivost izvora </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5"/>
                <w:lang w:eastAsia="hr-HR"/>
              </w:rPr>
              <w:t xml:space="preserve">EFRR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872"/>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lang w:eastAsia="hr-HR"/>
              </w:rPr>
              <w:t>113.351.269,00</w:t>
            </w:r>
          </w:p>
        </w:tc>
      </w:tr>
      <w:tr w:rsidR="009B2E82" w:rsidRPr="009B2E82" w:rsidTr="00324C8B">
        <w:trPr>
          <w:trHeight w:hRule="exact" w:val="39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lang w:eastAsia="hr-HR"/>
              </w:rPr>
              <w:t>7 – Povezanost i mobilnost</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b/>
                <w:bCs/>
                <w:color w:val="000000"/>
                <w:lang w:eastAsia="hr-HR"/>
              </w:rPr>
              <w:t>KF</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963"/>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lang w:eastAsia="hr-HR"/>
              </w:rPr>
              <w:t>50.000.000,00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1909" w:h="16834"/>
          <w:pgMar w:top="934"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934" w:right="360" w:bottom="360" w:left="730" w:header="720" w:footer="720" w:gutter="0"/>
          <w:cols w:num="3" w:space="720" w:equalWidth="0">
            <w:col w:w="720" w:space="4459"/>
            <w:col w:w="720" w:space="420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734"/>
        <w:gridCol w:w="1526"/>
        <w:gridCol w:w="3456"/>
      </w:tblGrid>
      <w:tr w:rsidR="009B2E82" w:rsidRPr="009B2E82" w:rsidTr="009B2E82">
        <w:trPr>
          <w:trHeight w:hRule="exact" w:val="64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81"/>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3"/>
                <w:sz w:val="24"/>
                <w:szCs w:val="24"/>
                <w:lang w:eastAsia="hr-HR"/>
              </w:rPr>
              <w:lastRenderedPageBreak/>
              <w:t xml:space="preserve">Prioritetna os </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03"/>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4"/>
                <w:sz w:val="24"/>
                <w:szCs w:val="24"/>
                <w:lang w:eastAsia="hr-HR"/>
              </w:rPr>
              <w:t>Fond</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50" w:lineRule="exact"/>
              <w:ind w:right="29"/>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4"/>
                <w:sz w:val="24"/>
                <w:szCs w:val="24"/>
                <w:lang w:eastAsia="hr-HR"/>
              </w:rPr>
              <w:t>Indikativna financijska alokacija (podrška Unije ) (u eurima)</w:t>
            </w:r>
          </w:p>
        </w:tc>
      </w:tr>
      <w:tr w:rsidR="009B2E82" w:rsidRPr="009B2E82" w:rsidTr="009B2E82">
        <w:trPr>
          <w:trHeight w:hRule="exact" w:val="50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0"/>
                <w:sz w:val="24"/>
                <w:szCs w:val="24"/>
                <w:lang w:eastAsia="hr-HR"/>
              </w:rPr>
              <w:t>8 – Socijalno uključivanje i zdravlje</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9"/>
                <w:sz w:val="24"/>
                <w:szCs w:val="24"/>
                <w:lang w:eastAsia="hr-HR"/>
              </w:rPr>
              <w:t xml:space="preserve">EFRR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95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1"/>
                <w:sz w:val="24"/>
                <w:szCs w:val="24"/>
                <w:lang w:eastAsia="hr-HR"/>
              </w:rPr>
              <w:t>20.000.000,00</w:t>
            </w:r>
          </w:p>
        </w:tc>
      </w:tr>
      <w:tr w:rsidR="009B2E82" w:rsidRPr="009B2E82" w:rsidTr="009B2E82">
        <w:trPr>
          <w:trHeight w:hRule="exact" w:val="53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3"/>
                <w:sz w:val="24"/>
                <w:szCs w:val="24"/>
                <w:lang w:eastAsia="hr-HR"/>
              </w:rPr>
              <w:t>Ukupno</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84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1"/>
                <w:sz w:val="24"/>
                <w:szCs w:val="24"/>
                <w:lang w:eastAsia="hr-HR"/>
              </w:rPr>
              <w:t>343.351.269,00</w:t>
            </w:r>
          </w:p>
        </w:tc>
      </w:tr>
    </w:tbl>
    <w:p w:rsidR="009B2E82" w:rsidRPr="009B2E82" w:rsidRDefault="009B2E82" w:rsidP="00324C8B">
      <w:pPr>
        <w:widowControl w:val="0"/>
        <w:shd w:val="clear" w:color="auto" w:fill="FFFFFF"/>
        <w:autoSpaceDE w:val="0"/>
        <w:autoSpaceDN w:val="0"/>
        <w:adjustRightInd w:val="0"/>
        <w:spacing w:before="509" w:after="0" w:line="274" w:lineRule="exact"/>
        <w:ind w:left="826" w:right="1766"/>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b/>
          <w:bCs/>
          <w:color w:val="000000"/>
          <w:sz w:val="24"/>
          <w:szCs w:val="24"/>
          <w:lang w:eastAsia="hr-HR"/>
        </w:rPr>
        <w:t xml:space="preserve">4.4 Organiziranje međuregionalnih i međudržavnih aktivnosti unutar operativnog programa, s korisnicima smještenima u barem jednog drugoj zemlji članici </w:t>
      </w:r>
      <w:r w:rsidRPr="009B2E82">
        <w:rPr>
          <w:rFonts w:ascii="Times New Roman" w:eastAsia="Times New Roman" w:hAnsi="Times New Roman" w:cs="Times New Roman"/>
          <w:color w:val="000000"/>
          <w:spacing w:val="-1"/>
          <w:sz w:val="24"/>
          <w:szCs w:val="24"/>
          <w:lang w:eastAsia="hr-HR"/>
        </w:rPr>
        <w:t>(po potrebi)</w:t>
      </w:r>
    </w:p>
    <w:p w:rsidR="009B2E82" w:rsidRPr="009B2E82" w:rsidRDefault="009B2E82" w:rsidP="00324C8B">
      <w:pPr>
        <w:widowControl w:val="0"/>
        <w:shd w:val="clear" w:color="auto" w:fill="FFFFFF"/>
        <w:autoSpaceDE w:val="0"/>
        <w:autoSpaceDN w:val="0"/>
        <w:adjustRightInd w:val="0"/>
        <w:spacing w:before="509" w:after="0" w:line="274" w:lineRule="exact"/>
        <w:ind w:left="826" w:right="1766"/>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4"/>
          <w:szCs w:val="24"/>
          <w:lang w:eastAsia="hr-HR"/>
        </w:rPr>
        <w:t xml:space="preserve">4.5 Doprinos planiranih aktivnosti u okviru programa makroregionalnih i morskih strategija, podložno potrebama programskog područja određenog u zemlji članici </w:t>
      </w:r>
      <w:r w:rsidRPr="009B2E82">
        <w:rPr>
          <w:rFonts w:ascii="Times New Roman" w:eastAsia="Times New Roman" w:hAnsi="Times New Roman" w:cs="Times New Roman"/>
          <w:color w:val="000000"/>
          <w:sz w:val="24"/>
          <w:szCs w:val="24"/>
          <w:lang w:eastAsia="hr-HR"/>
        </w:rPr>
        <w:t>(</w:t>
      </w:r>
      <w:r w:rsidRPr="009B2E82">
        <w:rPr>
          <w:rFonts w:ascii="Times New Roman" w:eastAsia="Times New Roman" w:hAnsi="Times New Roman" w:cs="Times New Roman"/>
          <w:color w:val="000000"/>
          <w:spacing w:val="-1"/>
          <w:sz w:val="24"/>
          <w:szCs w:val="24"/>
          <w:lang w:eastAsia="hr-HR"/>
        </w:rPr>
        <w:t>po potrebi</w:t>
      </w:r>
      <w:r w:rsidRPr="009B2E82">
        <w:rPr>
          <w:rFonts w:ascii="Times New Roman" w:eastAsia="Times New Roman" w:hAnsi="Times New Roman" w:cs="Times New Roman"/>
          <w:color w:val="000000"/>
          <w:sz w:val="24"/>
          <w:szCs w:val="24"/>
          <w:lang w:eastAsia="hr-HR"/>
        </w:rPr>
        <w:t xml:space="preserve">) </w:t>
      </w:r>
    </w:p>
    <w:p w:rsidR="009B2E82" w:rsidRPr="009B2E82" w:rsidRDefault="009B2E82" w:rsidP="00324C8B">
      <w:pPr>
        <w:widowControl w:val="0"/>
        <w:shd w:val="clear" w:color="auto" w:fill="FFFFFF"/>
        <w:autoSpaceDE w:val="0"/>
        <w:autoSpaceDN w:val="0"/>
        <w:adjustRightInd w:val="0"/>
        <w:spacing w:before="115" w:after="0" w:line="274" w:lineRule="exact"/>
        <w:ind w:left="816" w:right="132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(U slučaju sudjelovanja zemlje članice i regije u makroregionalnim i morskim strategijama)</w:t>
      </w:r>
    </w:p>
    <w:p w:rsidR="009B2E82" w:rsidRPr="009B2E82" w:rsidRDefault="009B2E82" w:rsidP="00324C8B">
      <w:pPr>
        <w:widowControl w:val="0"/>
        <w:shd w:val="clear" w:color="auto" w:fill="FFFFFF"/>
        <w:autoSpaceDE w:val="0"/>
        <w:autoSpaceDN w:val="0"/>
        <w:adjustRightInd w:val="0"/>
        <w:spacing w:before="120" w:after="0" w:line="274" w:lineRule="exact"/>
        <w:ind w:left="821" w:right="192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 xml:space="preserve">Republika Hrvatska sastavni je dio dviju makroregionalnih strategija: strategije EU-a za razvoj Dunava (EUSDR) i strategije Jadransko-jonske regije (EUSAIR). Obje su strategije usađene u sve programske dokumente. </w:t>
      </w:r>
    </w:p>
    <w:p w:rsidR="009B2E82" w:rsidRPr="009B2E82" w:rsidRDefault="009B2E82" w:rsidP="00324C8B">
      <w:pPr>
        <w:widowControl w:val="0"/>
        <w:shd w:val="clear" w:color="auto" w:fill="FFFFFF"/>
        <w:autoSpaceDE w:val="0"/>
        <w:autoSpaceDN w:val="0"/>
        <w:adjustRightInd w:val="0"/>
        <w:spacing w:before="283" w:after="0" w:line="274" w:lineRule="exact"/>
        <w:ind w:left="821" w:right="1325"/>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Tijekom provođenja programa, obje strategije su uzete u obzir te su pažljivo ispitani prikladni akcijski planovi i izrađen nacrt posebnih planova OPKK-a tako da odražavaju nacionalne prioritete unutar svake strategije. Očekuje se da će se da kroz podršku projekata unutar određenih specifičnih ciljeva postići znatan doprinos provedbi makroregionalnih strategija. Trenutačno ne postoje specifični kriterij odabira predviđeni za projekte koji spadaju pod ove specifične ciljeve, ali njihovu usklađenosti i doprinos makroregionalnim strategijama u kasnijoj fazi procijenit će Nacionalni koordinacijski odbor (NKO). </w:t>
      </w:r>
    </w:p>
    <w:p w:rsidR="009B2E82" w:rsidRPr="009B2E82" w:rsidRDefault="009B2E82" w:rsidP="00324C8B">
      <w:pPr>
        <w:widowControl w:val="0"/>
        <w:shd w:val="clear" w:color="auto" w:fill="FFFFFF"/>
        <w:autoSpaceDE w:val="0"/>
        <w:autoSpaceDN w:val="0"/>
        <w:adjustRightInd w:val="0"/>
        <w:spacing w:before="278" w:after="0" w:line="274" w:lineRule="exact"/>
        <w:ind w:left="821" w:right="132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NKO će biti uspostavljen za potrebe koordinacije svih dostupnih instrumenata i fondova u Republici Hrvatskoj, kao i makroregionalnih strategija, i imat će ključnu ulogu u daljnjoj provedbi</w:t>
      </w:r>
      <w:r w:rsidRPr="009B2E82">
        <w:rPr>
          <w:rFonts w:ascii="Times New Roman" w:eastAsia="Times New Roman" w:hAnsi="Times New Roman" w:cs="Times New Roman"/>
          <w:color w:val="000000"/>
          <w:spacing w:val="-1"/>
          <w:sz w:val="24"/>
          <w:szCs w:val="24"/>
          <w:lang w:eastAsia="hr-HR"/>
        </w:rPr>
        <w:t xml:space="preserve"> </w:t>
      </w:r>
      <w:r w:rsidRPr="009B2E82">
        <w:rPr>
          <w:rFonts w:ascii="Times New Roman" w:eastAsia="Times New Roman" w:hAnsi="Times New Roman" w:cs="Times New Roman"/>
          <w:color w:val="000000"/>
          <w:sz w:val="24"/>
          <w:szCs w:val="24"/>
          <w:lang w:eastAsia="hr-HR"/>
        </w:rPr>
        <w:t xml:space="preserve">EUSAIR-a i EUSDR-a . </w:t>
      </w:r>
    </w:p>
    <w:p w:rsidR="009B2E82" w:rsidRPr="009B2E82" w:rsidRDefault="009B2E82" w:rsidP="00324C8B">
      <w:pPr>
        <w:widowControl w:val="0"/>
        <w:shd w:val="clear" w:color="auto" w:fill="FFFFFF"/>
        <w:autoSpaceDE w:val="0"/>
        <w:autoSpaceDN w:val="0"/>
        <w:adjustRightInd w:val="0"/>
        <w:spacing w:before="283" w:after="3619" w:line="274" w:lineRule="exact"/>
        <w:ind w:left="816" w:right="1766"/>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 xml:space="preserve">Detaljne analize planiranih aktivnosti OPKK-a koje će pridonijeti EUSDR-u i EUSAIR-u predstavljene su u tablicama u privitku </w:t>
      </w:r>
      <w:r w:rsidRPr="009B2E82">
        <w:rPr>
          <w:rFonts w:ascii="Times New Roman" w:eastAsia="Times New Roman" w:hAnsi="Times New Roman" w:cs="Times New Roman"/>
          <w:color w:val="000000"/>
          <w:spacing w:val="49"/>
          <w:sz w:val="24"/>
          <w:szCs w:val="24"/>
          <w:lang w:eastAsia="hr-HR"/>
        </w:rPr>
        <w:t>(</w:t>
      </w:r>
      <w:r w:rsidRPr="009B2E82">
        <w:rPr>
          <w:rFonts w:ascii="Times New Roman" w:eastAsia="Times New Roman" w:hAnsi="Times New Roman" w:cs="Times New Roman"/>
          <w:color w:val="000000"/>
          <w:spacing w:val="-1"/>
          <w:sz w:val="24"/>
          <w:szCs w:val="24"/>
          <w:lang w:eastAsia="hr-HR"/>
        </w:rPr>
        <w:t>4_5 Strategija EU-a za jadransku i jonsku regiju, korelacijska tablica za sekvencijalni dijagram funkcija i 4_5 Strategija EU-a za dunavsku regiju, korelacijska tablica za sekvencijalni dijagram funkcija</w:t>
      </w:r>
      <w:r w:rsidRPr="009B2E82">
        <w:rPr>
          <w:rFonts w:ascii="Times New Roman" w:eastAsia="Times New Roman" w:hAnsi="Times New Roman" w:cs="Times New Roman"/>
          <w:color w:val="000000"/>
          <w:sz w:val="24"/>
          <w:szCs w:val="24"/>
          <w:lang w:eastAsia="hr-HR"/>
        </w:rPr>
        <w:t xml:space="preserve">, </w:t>
      </w:r>
      <w:r w:rsidRPr="009B2E82">
        <w:rPr>
          <w:rFonts w:ascii="Times New Roman" w:eastAsia="Times New Roman" w:hAnsi="Times New Roman" w:cs="Times New Roman"/>
          <w:color w:val="000000"/>
          <w:spacing w:val="-1"/>
          <w:sz w:val="24"/>
          <w:szCs w:val="24"/>
          <w:lang w:eastAsia="hr-HR"/>
        </w:rPr>
        <w:t>priložene kao Prilog programu).</w:t>
      </w:r>
    </w:p>
    <w:p w:rsidR="009B2E82" w:rsidRPr="009B2E82" w:rsidRDefault="009B2E82" w:rsidP="009B2E82">
      <w:pPr>
        <w:widowControl w:val="0"/>
        <w:shd w:val="clear" w:color="auto" w:fill="FFFFFF"/>
        <w:autoSpaceDE w:val="0"/>
        <w:autoSpaceDN w:val="0"/>
        <w:adjustRightInd w:val="0"/>
        <w:spacing w:before="283" w:after="3619" w:line="274" w:lineRule="exact"/>
        <w:ind w:left="816" w:right="1766"/>
        <w:rPr>
          <w:rFonts w:ascii="Arial" w:eastAsia="Times New Roman" w:hAnsi="Arial" w:cs="Arial"/>
          <w:sz w:val="20"/>
          <w:szCs w:val="20"/>
          <w:lang w:eastAsia="hr-HR"/>
        </w:rPr>
        <w:sectPr w:rsidR="009B2E82" w:rsidRPr="009B2E82">
          <w:pgSz w:w="11909" w:h="16834"/>
          <w:pgMar w:top="929"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929" w:right="360" w:bottom="360" w:left="730" w:header="720" w:footer="720" w:gutter="0"/>
          <w:cols w:num="3" w:space="720" w:equalWidth="0">
            <w:col w:w="720" w:space="4459"/>
            <w:col w:w="720" w:space="4200"/>
            <w:col w:w="720"/>
          </w:cols>
          <w:noEndnote/>
        </w:sectPr>
      </w:pPr>
    </w:p>
    <w:p w:rsidR="009B2E82" w:rsidRPr="009B2E82" w:rsidRDefault="009B2E82" w:rsidP="00324C8B">
      <w:pPr>
        <w:widowControl w:val="0"/>
        <w:shd w:val="clear" w:color="auto" w:fill="FFFFFF"/>
        <w:autoSpaceDE w:val="0"/>
        <w:autoSpaceDN w:val="0"/>
        <w:adjustRightInd w:val="0"/>
        <w:spacing w:after="0" w:line="274" w:lineRule="exact"/>
        <w:ind w:left="821" w:right="1325"/>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4"/>
          <w:szCs w:val="24"/>
          <w:lang w:eastAsia="hr-HR"/>
        </w:rPr>
        <w:lastRenderedPageBreak/>
        <w:t>5. SPECIFIČNE POTREBE GEOGRAFSKIH PODRUČJA KOJA SU NAJPOGOĐENIJA SIROMAŠTVOM ILI CILJANIH SKUPINA S NAJVEĆIM RIZIKOM OD DISKRIMINACIJE ILI SOCIJALNE</w:t>
      </w:r>
      <w:r w:rsidRPr="009B2E82">
        <w:rPr>
          <w:rFonts w:ascii="Times New Roman" w:eastAsia="Times New Roman" w:hAnsi="Times New Roman" w:cs="Times New Roman"/>
          <w:b/>
          <w:bCs/>
          <w:color w:val="000000"/>
          <w:sz w:val="24"/>
          <w:szCs w:val="24"/>
          <w:lang w:eastAsia="hr-HR"/>
        </w:rPr>
        <w:tab/>
        <w:t xml:space="preserve"> ISKLJUČENOSTI </w:t>
      </w:r>
      <w:r w:rsidRPr="009B2E82">
        <w:rPr>
          <w:rFonts w:ascii="Times New Roman" w:eastAsia="Times New Roman" w:hAnsi="Times New Roman" w:cs="Times New Roman"/>
          <w:color w:val="000000"/>
          <w:spacing w:val="-1"/>
          <w:sz w:val="24"/>
          <w:szCs w:val="24"/>
          <w:lang w:eastAsia="hr-HR"/>
        </w:rPr>
        <w:t xml:space="preserve">(PO POTREBI) </w:t>
      </w:r>
    </w:p>
    <w:p w:rsidR="009B2E82" w:rsidRPr="009B2E82" w:rsidRDefault="009B2E82" w:rsidP="00324C8B">
      <w:pPr>
        <w:widowControl w:val="0"/>
        <w:shd w:val="clear" w:color="auto" w:fill="FFFFFF"/>
        <w:autoSpaceDE w:val="0"/>
        <w:autoSpaceDN w:val="0"/>
        <w:adjustRightInd w:val="0"/>
        <w:spacing w:before="523" w:after="0" w:line="269" w:lineRule="exact"/>
        <w:ind w:left="826" w:right="922"/>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5.1 Geografska područja koja su najviše pogođena siromaštvom/ciljane skupine s najvećim rizikom od diskriminacije ili socijalne isključenosti </w:t>
      </w:r>
    </w:p>
    <w:p w:rsidR="009B2E82" w:rsidRPr="009B2E82" w:rsidRDefault="009B2E82" w:rsidP="00324C8B">
      <w:pPr>
        <w:widowControl w:val="0"/>
        <w:shd w:val="clear" w:color="auto" w:fill="FFFFFF"/>
        <w:autoSpaceDE w:val="0"/>
        <w:autoSpaceDN w:val="0"/>
        <w:adjustRightInd w:val="0"/>
        <w:spacing w:before="125" w:after="0" w:line="274" w:lineRule="exact"/>
        <w:ind w:left="816" w:right="922"/>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4"/>
          <w:szCs w:val="24"/>
          <w:lang w:eastAsia="hr-HR"/>
        </w:rPr>
        <w:t xml:space="preserve">Siromaštvo i socijalna isključenost u Hrvatskoj imaju teritorijalnu dimenziju </w:t>
      </w:r>
      <w:r w:rsidRPr="009B2E82">
        <w:rPr>
          <w:rFonts w:ascii="Times New Roman" w:eastAsia="Times New Roman" w:hAnsi="Times New Roman" w:cs="Times New Roman"/>
          <w:bCs/>
          <w:color w:val="000000"/>
          <w:sz w:val="24"/>
          <w:szCs w:val="24"/>
          <w:lang w:eastAsia="hr-HR"/>
        </w:rPr>
        <w:t xml:space="preserve">i povezane su s diferenciranim razvojnim čimbenicima kao što su stupanj prihoda kućanstva i osobnih prihoda, razina obrazovanja, stupanj nezaposlenosti, kvaliteta i okolnosti stanovanja, pristup uslugama, kvaliteta ustanova socijalne skrbi i prilika za stjecanje pristupa uvjetima življenja prema osnovnim standardima društva, kao i s koncentracijom nekoliko osjetljivih grupa s rizikom od socijalne isključenosti, kao što su npr. Romi, izbjeglice, prognanici i povratnici, ratni veterani i članovi njihovih obitelj. </w:t>
      </w:r>
    </w:p>
    <w:p w:rsidR="009B2E82" w:rsidRPr="009B2E82" w:rsidRDefault="009B2E82" w:rsidP="00324C8B">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Najveća geografska koncentracija čimbenika koji utječu na udio ljudi s rizikom od siromaštva i socijalne isključenosti može se pronaći ponajviše na istoku i jugoistoku Hrvatske, duž granice sa Srbijom i Bosnom i Hercegovinom. Ta su područja bila najviše pogođena ratom 1990-ih i karakterizira ih visok udio ranjivih skupina s rizikom od socijalne isključenosti. Osim njih, tu spada i nekolicina malih i srednjih ugroženih gradova (s 10,000 do 50,000 stanovnika) u pretežno ruralnim okruženjima i s većim udjelom ljudi s rizikom od siromaštva i socijalne isključenosti, koji odražava njihovu lošiju ekonomsku pozadinu i, u nekim slučajevima, gubitak zaposlenja zbog rata i tranzicije. Visoka stopa nezaposlenosti (veća od 20%) popraćena je visokim padom broja stanovnika, lošom kvalitetom i ograničenim pristupom društvenim uslugama i osnovnoj infrastrukturi, kao i drugim izazovima razvoja. Udio ljudi s rizikom od siromaštva općenito je niži u većim urbanim aglomeracijama u Hrvatskoj, osim u nekim sub-lokalnim ugroženim četvrtima unutar tih područja. </w:t>
      </w:r>
    </w:p>
    <w:p w:rsidR="009B2E82" w:rsidRPr="009B2E82" w:rsidRDefault="009B2E82" w:rsidP="00324C8B">
      <w:pPr>
        <w:widowControl w:val="0"/>
        <w:shd w:val="clear" w:color="auto" w:fill="FFFFFF"/>
        <w:autoSpaceDE w:val="0"/>
        <w:autoSpaceDN w:val="0"/>
        <w:adjustRightInd w:val="0"/>
        <w:spacing w:before="274" w:after="0" w:line="274" w:lineRule="exact"/>
        <w:ind w:left="816"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 xml:space="preserve">Iako ne postoje karte siromaštva s podacima o prostornoj rasprostranjenosti siromaštva na teritoriju Hrvatske, trenutačno dostupni statistički podatci, analize regionalnog indeksa razvoja i javne baze podataka jasan su pokazatelj područja gospodarske koncentracije siromaštva i socijalne isključenosti. </w:t>
      </w:r>
    </w:p>
    <w:p w:rsidR="009B2E82" w:rsidRPr="009B2E82" w:rsidRDefault="009B2E82" w:rsidP="00324C8B">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Budući da će se mapiranje siromaštva razviti pod prioritetnom osi Socijalno uključivanje i zdravlje (odabrani Investicijski prioritet 9.2) tijekom provođenja OPKK-a, početna podrška područjima koja su najviše pogođena siromaštvom postići će se kroz nekoliko pilot projekata. Temeljem trenutno dostupnih podataka, pilot područja prethodno će se odabrati među malim gradovima s brojem stanovnika između 10.000 i 35.000 u ratom pogođenim područjima, prema najnižem zabilježenom indeksu višestruke ugroženosti koji će se izračunati iz postojećih društveno-gospodarskih podataka o broju stanovnika, nezaposlenosti, stupnju obrazovanja, stupnju društvenih i zajedničkih usluga, ugroženog okoliša, s jednim gradom koji zadovoljava kriterij značajnog dijela romske manjine. Vrijednost odabranih društveno-gospodarskih pokazatelja za koje su podatci dostupni na općinskoj razini bit će izračunat za svaki grad i prikazan kao indeks višestruke ugroženosti. </w:t>
      </w:r>
    </w:p>
    <w:p w:rsidR="009B2E82" w:rsidRPr="009B2E82" w:rsidRDefault="009B2E82" w:rsidP="00324C8B">
      <w:pPr>
        <w:widowControl w:val="0"/>
        <w:shd w:val="clear" w:color="auto" w:fill="FFFFFF"/>
        <w:autoSpaceDE w:val="0"/>
        <w:autoSpaceDN w:val="0"/>
        <w:adjustRightInd w:val="0"/>
        <w:spacing w:before="274" w:after="0" w:line="274" w:lineRule="exact"/>
        <w:ind w:left="816" w:right="922"/>
        <w:jc w:val="both"/>
        <w:rPr>
          <w:rFonts w:ascii="Arial" w:eastAsia="Times New Roman" w:hAnsi="Arial" w:cs="Arial"/>
          <w:sz w:val="20"/>
          <w:szCs w:val="20"/>
          <w:lang w:eastAsia="hr-HR"/>
        </w:rPr>
      </w:pPr>
      <w:r w:rsidRPr="009B2E82">
        <w:rPr>
          <w:rFonts w:ascii="Times New Roman" w:eastAsia="Times New Roman" w:hAnsi="Times New Roman" w:cs="Times New Roman"/>
          <w:i/>
          <w:iCs/>
          <w:color w:val="000000"/>
          <w:spacing w:val="-1"/>
          <w:sz w:val="24"/>
          <w:szCs w:val="24"/>
          <w:u w:val="single"/>
          <w:lang w:eastAsia="hr-HR"/>
        </w:rPr>
        <w:t xml:space="preserve">Razvojna područja </w:t>
      </w:r>
      <w:r w:rsidRPr="009B2E82">
        <w:rPr>
          <w:rFonts w:ascii="Times New Roman" w:eastAsia="Times New Roman" w:hAnsi="Times New Roman" w:cs="Times New Roman"/>
          <w:iCs/>
          <w:color w:val="000000"/>
          <w:spacing w:val="-1"/>
          <w:sz w:val="24"/>
          <w:szCs w:val="24"/>
          <w:lang w:eastAsia="hr-HR"/>
        </w:rPr>
        <w:t xml:space="preserve">bit će odabrana među malim i srednjim gradovima s brojem stanovnika između 10.000 i 50.000 s najvećim rizikom od ugroženosti temeljem mapiranje siromaštva i indeksa višestruke ugroženosti. Određivanje prethodno spomenutih područja temelji se na demografskoj depopulaciji i starenju stanovništva, niskoj razini gospodarske aktivnosti, visokoj nezaposlenosti, niskoj razini obrazovanja, ugroženom okolišu, niskoj razini socijalnih i </w:t>
      </w:r>
      <w:r w:rsidRPr="009B2E82">
        <w:rPr>
          <w:rFonts w:ascii="Times New Roman" w:eastAsia="Times New Roman" w:hAnsi="Times New Roman" w:cs="Times New Roman"/>
          <w:color w:val="000000"/>
          <w:spacing w:val="-1"/>
          <w:sz w:val="24"/>
          <w:szCs w:val="24"/>
          <w:lang w:eastAsia="hr-HR"/>
        </w:rPr>
        <w:t xml:space="preserve">komunalnih usluga, visokom riziku od siromaštva i isključenosti. </w:t>
      </w:r>
      <w:r w:rsidRPr="009B2E82">
        <w:rPr>
          <w:rFonts w:ascii="Times New Roman" w:eastAsia="Times New Roman" w:hAnsi="Times New Roman" w:cs="Times New Roman"/>
          <w:iCs/>
          <w:color w:val="000000"/>
          <w:spacing w:val="-1"/>
          <w:sz w:val="24"/>
          <w:szCs w:val="24"/>
          <w:lang w:eastAsia="hr-HR"/>
        </w:rPr>
        <w:t xml:space="preserve">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662" w:after="0" w:line="240" w:lineRule="auto"/>
        <w:rPr>
          <w:rFonts w:ascii="Arial" w:eastAsia="Times New Roman" w:hAnsi="Arial" w:cs="Arial"/>
          <w:sz w:val="20"/>
          <w:szCs w:val="20"/>
          <w:lang w:eastAsia="hr-HR"/>
        </w:rPr>
      </w:pPr>
    </w:p>
    <w:p w:rsidR="009B2E82" w:rsidRPr="009B2E82" w:rsidRDefault="009B2E82" w:rsidP="00324C8B">
      <w:pPr>
        <w:widowControl w:val="0"/>
        <w:shd w:val="clear" w:color="auto" w:fill="FFFFFF"/>
        <w:autoSpaceDE w:val="0"/>
        <w:autoSpaceDN w:val="0"/>
        <w:adjustRightInd w:val="0"/>
        <w:spacing w:after="0" w:line="274" w:lineRule="exact"/>
        <w:ind w:left="830" w:right="151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Bit će odabrano najmanje 5 razvojnih područja temeljem indeksa višestruke ugroženosti i mapiranja siromaštva, a podržat će se posebnim intervencijama obnove područja uz korištenje integriranog pristupa. </w:t>
      </w:r>
    </w:p>
    <w:p w:rsidR="009B2E82" w:rsidRPr="009B2E82" w:rsidRDefault="009B2E82" w:rsidP="00324C8B">
      <w:pPr>
        <w:widowControl w:val="0"/>
        <w:shd w:val="clear" w:color="auto" w:fill="FFFFFF"/>
        <w:autoSpaceDE w:val="0"/>
        <w:autoSpaceDN w:val="0"/>
        <w:adjustRightInd w:val="0"/>
        <w:spacing w:after="0" w:line="274" w:lineRule="exact"/>
        <w:ind w:left="830" w:right="1512"/>
        <w:jc w:val="both"/>
        <w:rPr>
          <w:rFonts w:ascii="Arial" w:eastAsia="Times New Roman" w:hAnsi="Arial" w:cs="Arial"/>
          <w:sz w:val="20"/>
          <w:szCs w:val="20"/>
          <w:lang w:eastAsia="hr-HR"/>
        </w:rPr>
      </w:pPr>
    </w:p>
    <w:p w:rsidR="009B2E82" w:rsidRPr="009B2E82" w:rsidRDefault="009B2E82" w:rsidP="00324C8B">
      <w:pPr>
        <w:widowControl w:val="0"/>
        <w:shd w:val="clear" w:color="auto" w:fill="FFFFFF"/>
        <w:autoSpaceDE w:val="0"/>
        <w:autoSpaceDN w:val="0"/>
        <w:adjustRightInd w:val="0"/>
        <w:spacing w:after="0" w:line="274" w:lineRule="exact"/>
        <w:ind w:left="830" w:right="151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Na temelju rezultata mapiranja siromaštva planira se razvojna faza projekata fizičke, društvene i gospodarske obnove. </w:t>
      </w:r>
      <w:r w:rsidRPr="009B2E82">
        <w:rPr>
          <w:rFonts w:ascii="Times New Roman" w:eastAsia="Times New Roman" w:hAnsi="Times New Roman" w:cs="Times New Roman"/>
          <w:i/>
          <w:color w:val="000000"/>
          <w:spacing w:val="-1"/>
          <w:sz w:val="24"/>
          <w:szCs w:val="24"/>
          <w:u w:val="single"/>
          <w:lang w:eastAsia="hr-HR"/>
        </w:rPr>
        <w:t>Razvojna područja</w:t>
      </w:r>
      <w:r w:rsidRPr="009B2E82">
        <w:rPr>
          <w:rFonts w:ascii="Times New Roman" w:eastAsia="Times New Roman" w:hAnsi="Times New Roman" w:cs="Times New Roman"/>
          <w:color w:val="000000"/>
          <w:spacing w:val="-1"/>
          <w:sz w:val="24"/>
          <w:szCs w:val="24"/>
          <w:lang w:eastAsia="hr-HR"/>
        </w:rPr>
        <w:t xml:space="preserve"> bit će odabrana među malim i srednjim gradovima s više od 10.000 do 50.000 stanovnika s najvišim rizikom od deprivacije na temelju mapiranja siromaštva i indeksa višestruke deprivacije. Utvrđivanje navedenih područja temelji se na demografskoj depopulaciji i starenju, niskoj razini gospodarske aktivnosti, visokoj nezaposlenosti, niskoj razini obrazovanosti, zapuštenom okolišu, niskoj razini društvenih i komunalnih usluga, visokom riziku od siromaštva i isključenosti. Barem 5 novih gradova bit će odabrano za razvoj na temelju indeksa višestruke deprivacije i mapiranja siromaštva, a bit će podržani posebnim intervencijama obnove područja uz pomoć integriranog pristupa.</w:t>
      </w:r>
    </w:p>
    <w:p w:rsidR="009B2E82" w:rsidRPr="009B2E82" w:rsidRDefault="009B2E82" w:rsidP="00324C8B">
      <w:pPr>
        <w:widowControl w:val="0"/>
        <w:shd w:val="clear" w:color="auto" w:fill="FFFFFF"/>
        <w:autoSpaceDE w:val="0"/>
        <w:autoSpaceDN w:val="0"/>
        <w:adjustRightInd w:val="0"/>
        <w:spacing w:before="360" w:after="0" w:line="274" w:lineRule="exact"/>
        <w:ind w:left="816" w:right="924"/>
        <w:jc w:val="both"/>
        <w:rPr>
          <w:rFonts w:ascii="Times New Roman" w:eastAsia="Times New Roman" w:hAnsi="Times New Roman" w:cs="Times New Roman"/>
          <w:b/>
          <w:bCs/>
          <w:color w:val="000000"/>
          <w:spacing w:val="-1"/>
          <w:sz w:val="24"/>
          <w:szCs w:val="24"/>
          <w:lang w:eastAsia="hr-HR"/>
        </w:rPr>
      </w:pPr>
      <w:r w:rsidRPr="009B2E82">
        <w:rPr>
          <w:rFonts w:ascii="Times New Roman" w:eastAsia="Times New Roman" w:hAnsi="Times New Roman" w:cs="Times New Roman"/>
          <w:b/>
          <w:bCs/>
          <w:color w:val="000000"/>
          <w:spacing w:val="-1"/>
          <w:sz w:val="24"/>
          <w:szCs w:val="24"/>
          <w:lang w:eastAsia="hr-HR"/>
        </w:rPr>
        <w:t xml:space="preserve">5.2 Strategija za rješavanje određenih potreba geografskih područja koja su najviše pogođena siromaštvom/ciljanih skupina s najvećim rizikom od diskriminacije ili socijalne isključenosti i, po potrebi, doprinos integriranom pristupu iznesenog u Partnerskom sporazumu </w:t>
      </w:r>
    </w:p>
    <w:p w:rsidR="009B2E82" w:rsidRPr="009B2E82" w:rsidRDefault="009B2E82" w:rsidP="00324C8B">
      <w:pPr>
        <w:widowControl w:val="0"/>
        <w:shd w:val="clear" w:color="auto" w:fill="FFFFFF"/>
        <w:autoSpaceDE w:val="0"/>
        <w:autoSpaceDN w:val="0"/>
        <w:adjustRightInd w:val="0"/>
        <w:spacing w:before="125" w:after="0" w:line="274" w:lineRule="exact"/>
        <w:ind w:left="816"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Ulaganja u potpomognuta područja i marginalizirane zajednice u Hrvatskoj tijekom zadnjih 20 godina, boreći se ponajviše s ratnim posljedicama, pitanjima siromaštva i izazovima razvoja, najčešće su bila reaktivna, temeljeći se na „planiranju u slučaju nužde“ radije nego na integriranom pristupu obnovi. Stoga je utjecaj investicija bio ograničen i palijativan. Negativni trendovi nisu promijenjeni – visoka stopa depopulacije i nezaposlenosti, niska stopa ulaganja i gospodarske aktivnosti, skupe javne usluge i njihova loša kvaliteta te ograničeni pristup u nekim područjima, zajedno su rezultirali visokom stopom siromaštva i socijalne isključenosti. </w:t>
      </w:r>
    </w:p>
    <w:p w:rsidR="009B2E82" w:rsidRPr="009B2E82" w:rsidRDefault="009B2E82" w:rsidP="00324C8B">
      <w:pPr>
        <w:widowControl w:val="0"/>
        <w:shd w:val="clear" w:color="auto" w:fill="FFFFFF"/>
        <w:autoSpaceDE w:val="0"/>
        <w:autoSpaceDN w:val="0"/>
        <w:adjustRightInd w:val="0"/>
        <w:spacing w:before="278" w:after="0" w:line="274" w:lineRule="exact"/>
        <w:ind w:left="816" w:right="92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 xml:space="preserve">Novi pristup koji Hrvatska namjerava provesti bit će manje reaktivan i pridonijet će boljoj integraciji različitih elemenata (zapošljavanja, infrastrukture, okoliša, usluga i struktura socijalne podrške, kao i socijalnog uključivanja i integracije) te će rezultirati povećanjem razvojnog potencijala prepoznatih područja. Prostorni pristup integriranoj fizičkoj, socijalnoj i ekonomskoj obnovi područja koja su najviše pogođena siromaštvom i socijalnom isključenosti ima za cilj smanjivanje socijalne nejednakosti, isključenosti i siromaštva, poboljšanje infrastrukture, jačanje potencijala rasta i povećanje atraktivnosti za življenje i potencijalna ulaganja, kao i </w:t>
      </w:r>
      <w:r w:rsidRPr="009B2E82">
        <w:rPr>
          <w:rFonts w:ascii="Times New Roman" w:eastAsia="Times New Roman" w:hAnsi="Times New Roman" w:cs="Times New Roman"/>
          <w:color w:val="000000"/>
          <w:sz w:val="24"/>
          <w:szCs w:val="24"/>
          <w:lang w:eastAsia="hr-HR"/>
        </w:rPr>
        <w:t>osnaživanje socijalnog uključivanja i aktivnog sudjelovanja stanovnika tih područja u gospodarski i društveni život</w:t>
      </w:r>
      <w:r w:rsidRPr="009B2E82">
        <w:rPr>
          <w:rFonts w:ascii="Arial" w:eastAsia="Times New Roman" w:hAnsi="Arial" w:cs="Arial"/>
          <w:sz w:val="20"/>
          <w:szCs w:val="20"/>
          <w:lang w:eastAsia="hr-HR"/>
        </w:rPr>
        <w:t>.</w:t>
      </w:r>
    </w:p>
    <w:p w:rsidR="009B2E82" w:rsidRPr="009B2E82" w:rsidRDefault="009B2E82" w:rsidP="00324C8B">
      <w:pPr>
        <w:widowControl w:val="0"/>
        <w:shd w:val="clear" w:color="auto" w:fill="FFFFFF"/>
        <w:autoSpaceDE w:val="0"/>
        <w:autoSpaceDN w:val="0"/>
        <w:adjustRightInd w:val="0"/>
        <w:spacing w:before="278" w:after="0" w:line="274" w:lineRule="exact"/>
        <w:ind w:left="821" w:right="92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Prethodno spomenuti prostorni integrirani pristup provest će se putem tri mehanizma:</w:t>
      </w:r>
    </w:p>
    <w:p w:rsidR="009B2E82" w:rsidRPr="009B2E82" w:rsidRDefault="009B2E82" w:rsidP="00324C8B">
      <w:pPr>
        <w:widowControl w:val="0"/>
        <w:numPr>
          <w:ilvl w:val="0"/>
          <w:numId w:val="15"/>
        </w:numPr>
        <w:shd w:val="clear" w:color="auto" w:fill="FFFFFF"/>
        <w:tabs>
          <w:tab w:val="left" w:pos="1541"/>
        </w:tabs>
        <w:autoSpaceDE w:val="0"/>
        <w:autoSpaceDN w:val="0"/>
        <w:adjustRightInd w:val="0"/>
        <w:spacing w:before="278" w:after="0" w:line="240" w:lineRule="auto"/>
        <w:ind w:left="1215"/>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provedba pet pilot projekata u prethodno odabranim pilot područjima malih gradova;</w:t>
      </w:r>
    </w:p>
    <w:p w:rsidR="009B2E82" w:rsidRPr="009B2E82" w:rsidRDefault="009B2E82" w:rsidP="00324C8B">
      <w:pPr>
        <w:widowControl w:val="0"/>
        <w:numPr>
          <w:ilvl w:val="0"/>
          <w:numId w:val="15"/>
        </w:numPr>
        <w:shd w:val="clear" w:color="auto" w:fill="FFFFFF"/>
        <w:tabs>
          <w:tab w:val="left" w:pos="1541"/>
        </w:tabs>
        <w:autoSpaceDE w:val="0"/>
        <w:autoSpaceDN w:val="0"/>
        <w:adjustRightInd w:val="0"/>
        <w:spacing w:before="120" w:after="0" w:line="274" w:lineRule="exact"/>
        <w:ind w:left="1214"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dodatne aktivnosti na središnjoj razini: dobivanje poboljšanih podataka o malim područjima i popratno mapiranje siromaštva te uspostava odgovarajućih sustava upravljanja i kontrole, što će zajedno stvoriti korpus znanja o održivom modelu obnove; i</w:t>
      </w:r>
    </w:p>
    <w:p w:rsidR="009B2E82" w:rsidRPr="009B2E82" w:rsidRDefault="009B2E82" w:rsidP="00324C8B">
      <w:pPr>
        <w:widowControl w:val="0"/>
        <w:numPr>
          <w:ilvl w:val="0"/>
          <w:numId w:val="15"/>
        </w:numPr>
        <w:shd w:val="clear" w:color="auto" w:fill="FFFFFF"/>
        <w:tabs>
          <w:tab w:val="left" w:pos="1541"/>
        </w:tabs>
        <w:autoSpaceDE w:val="0"/>
        <w:autoSpaceDN w:val="0"/>
        <w:adjustRightInd w:val="0"/>
        <w:spacing w:before="120" w:after="0" w:line="274" w:lineRule="exact"/>
        <w:ind w:left="1214"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razvoj institucionalnog kapaciteta ključnih dionika i osoblja.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653"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tabs>
          <w:tab w:val="left" w:pos="5174"/>
          <w:tab w:val="left" w:pos="10099"/>
        </w:tabs>
        <w:autoSpaceDE w:val="0"/>
        <w:autoSpaceDN w:val="0"/>
        <w:adjustRightInd w:val="0"/>
        <w:spacing w:before="653" w:after="0" w:line="240" w:lineRule="auto"/>
        <w:rPr>
          <w:rFonts w:ascii="Arial" w:eastAsia="Times New Roman" w:hAnsi="Arial" w:cs="Arial"/>
          <w:sz w:val="20"/>
          <w:szCs w:val="20"/>
          <w:lang w:eastAsia="hr-HR"/>
        </w:rPr>
        <w:sectPr w:rsidR="009B2E82" w:rsidRPr="009B2E82">
          <w:pgSz w:w="11909" w:h="16834"/>
          <w:pgMar w:top="912" w:right="435" w:bottom="360" w:left="770" w:header="720" w:footer="720" w:gutter="0"/>
          <w:cols w:space="60"/>
          <w:noEndnote/>
        </w:sectPr>
      </w:pPr>
    </w:p>
    <w:p w:rsidR="009B2E82" w:rsidRPr="009B2E82" w:rsidRDefault="009B2E82" w:rsidP="00324C8B">
      <w:pPr>
        <w:widowControl w:val="0"/>
        <w:shd w:val="clear" w:color="auto" w:fill="FFFFFF"/>
        <w:autoSpaceDE w:val="0"/>
        <w:autoSpaceDN w:val="0"/>
        <w:adjustRightInd w:val="0"/>
        <w:spacing w:after="0" w:line="274" w:lineRule="exact"/>
        <w:ind w:left="816" w:right="92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lastRenderedPageBreak/>
        <w:t xml:space="preserve">Početni korak bit će razvoj metodičkog pristupa integriranoj obnovi u pet odabranih područja kroz niz zajednički financiranih, prilagođenih i integriranih intervencija podržanih kroz ESF i EFFR. Integrirani program obnove provest će se kroz tri faze u sklopu trajanja programa od 7 godina. </w:t>
      </w:r>
    </w:p>
    <w:p w:rsidR="009B2E82" w:rsidRPr="009B2E82" w:rsidRDefault="009B2E82" w:rsidP="00324C8B">
      <w:pPr>
        <w:widowControl w:val="0"/>
        <w:shd w:val="clear" w:color="auto" w:fill="FFFFFF"/>
        <w:autoSpaceDE w:val="0"/>
        <w:autoSpaceDN w:val="0"/>
        <w:adjustRightInd w:val="0"/>
        <w:spacing w:before="278" w:after="0" w:line="274" w:lineRule="exact"/>
        <w:ind w:left="821" w:right="922"/>
        <w:jc w:val="both"/>
        <w:rPr>
          <w:rFonts w:ascii="Times New Roman" w:eastAsia="Times New Roman" w:hAnsi="Times New Roman" w:cs="Times New Roman"/>
          <w:bCs/>
          <w:color w:val="000000"/>
          <w:spacing w:val="-1"/>
          <w:sz w:val="24"/>
          <w:szCs w:val="24"/>
          <w:lang w:eastAsia="hr-HR"/>
        </w:rPr>
      </w:pPr>
      <w:r w:rsidRPr="009B2E82">
        <w:rPr>
          <w:rFonts w:ascii="Times New Roman" w:eastAsia="Times New Roman" w:hAnsi="Times New Roman" w:cs="Times New Roman"/>
          <w:b/>
          <w:bCs/>
          <w:color w:val="000000"/>
          <w:spacing w:val="-1"/>
          <w:sz w:val="24"/>
          <w:szCs w:val="24"/>
          <w:u w:val="single"/>
          <w:lang w:eastAsia="hr-HR"/>
        </w:rPr>
        <w:t xml:space="preserve">Prva faza </w:t>
      </w:r>
      <w:r w:rsidRPr="009B2E82">
        <w:rPr>
          <w:rFonts w:ascii="Times New Roman" w:eastAsia="Times New Roman" w:hAnsi="Times New Roman" w:cs="Times New Roman"/>
          <w:bCs/>
          <w:color w:val="000000"/>
          <w:spacing w:val="-1"/>
          <w:sz w:val="24"/>
          <w:szCs w:val="24"/>
          <w:lang w:eastAsia="hr-HR"/>
        </w:rPr>
        <w:t xml:space="preserve">usredotočit će se na mapiranje siromaštva, rješavanje postojećih propusta politike u pogledu ulaganja u integriranu obnovu, pružanje potpore lokalnim dionicima u pripremi detaljnog plana intervencije pilot projekta u 5 pilot područja, njihov razvoj i evaluaciju, uspostavljanje sustava upravljanja i mehanizama kontrole za ulaganja u integrirane obnove. </w:t>
      </w:r>
    </w:p>
    <w:p w:rsidR="009B2E82" w:rsidRPr="009B2E82" w:rsidRDefault="009B2E82" w:rsidP="00324C8B">
      <w:pPr>
        <w:widowControl w:val="0"/>
        <w:shd w:val="clear" w:color="auto" w:fill="FFFFFF"/>
        <w:autoSpaceDE w:val="0"/>
        <w:autoSpaceDN w:val="0"/>
        <w:adjustRightInd w:val="0"/>
        <w:spacing w:before="274" w:after="0" w:line="274" w:lineRule="exact"/>
        <w:ind w:left="816" w:right="922"/>
        <w:jc w:val="both"/>
        <w:rPr>
          <w:rFonts w:ascii="Times New Roman" w:eastAsia="Times New Roman" w:hAnsi="Times New Roman" w:cs="Times New Roman"/>
          <w:b/>
          <w:bCs/>
          <w:color w:val="000000"/>
          <w:sz w:val="24"/>
          <w:szCs w:val="24"/>
          <w:u w:val="single"/>
          <w:lang w:eastAsia="hr-HR"/>
        </w:rPr>
      </w:pPr>
      <w:r w:rsidRPr="009B2E82">
        <w:rPr>
          <w:rFonts w:ascii="Times New Roman" w:eastAsia="Times New Roman" w:hAnsi="Times New Roman" w:cs="Times New Roman"/>
          <w:color w:val="000000"/>
          <w:sz w:val="24"/>
          <w:szCs w:val="24"/>
          <w:lang w:eastAsia="hr-HR"/>
        </w:rPr>
        <w:t xml:space="preserve">S obzirom na to da </w:t>
      </w:r>
      <w:r w:rsidRPr="009B2E82">
        <w:rPr>
          <w:rFonts w:ascii="Times New Roman" w:eastAsia="Times New Roman" w:hAnsi="Times New Roman" w:cs="Times New Roman"/>
          <w:bCs/>
          <w:color w:val="000000"/>
          <w:spacing w:val="-1"/>
          <w:sz w:val="24"/>
          <w:szCs w:val="24"/>
          <w:lang w:eastAsia="hr-HR"/>
        </w:rPr>
        <w:t xml:space="preserve">će mapiranje siromaštva i skupljanje podataka trajati dulje nego priprema planova intervencije pilot projekata, pilot područja bit će odabrana temeljem indeksa višestruke ugroženosti koristeći postojeće socioekonomske podatke o stanju gradova (npr.: stopa nezaposlenosti, stopa gospodarske aktivnosti, udio stanovništva korisnika prava iz državne potpore, smanjenje broja stanovnika između dva popisa stanovništva, koeficijent starenja, gustoća naseljenosti, udio stanovništva s visokim i tercijarnim obrazovanjem, potencijal razvoja gradova temeljem prosječnih prihoda stanovništva i prosječnih prihoda lokalnog proračuna po stanovniku) i temeljem veličine i smještaja gradova vezanih uz stupanj fizičke degradacije povezane s ratom i njegovim posljedicama – mali gradovi s preko 10.000 do 35.000 stanovnika u ratom pogođenim područjima, kao bi se usmjerilo financiranje. Kroz selekcijski postupak, među malim gradovima s više od 10.000 stanovnika iz ratnih područja s najnižim indeksom višestruke deprivacije, za ulaganja će se odabrati 5 pilot gradova, uključujući one koji zadovoljavaju kriterije značajnog dijela Romske manjine. </w:t>
      </w:r>
    </w:p>
    <w:p w:rsidR="009B2E82" w:rsidRPr="009B2E82" w:rsidRDefault="009B2E82" w:rsidP="00324C8B">
      <w:pPr>
        <w:widowControl w:val="0"/>
        <w:shd w:val="clear" w:color="auto" w:fill="FFFFFF"/>
        <w:autoSpaceDE w:val="0"/>
        <w:autoSpaceDN w:val="0"/>
        <w:adjustRightInd w:val="0"/>
        <w:spacing w:before="278" w:after="0" w:line="274" w:lineRule="exact"/>
        <w:ind w:left="816" w:right="922"/>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
          <w:bCs/>
          <w:color w:val="000000"/>
          <w:sz w:val="24"/>
          <w:szCs w:val="24"/>
          <w:u w:val="single"/>
          <w:lang w:eastAsia="hr-HR"/>
        </w:rPr>
        <w:t xml:space="preserve">Druga faza </w:t>
      </w:r>
      <w:r w:rsidRPr="009B2E82">
        <w:rPr>
          <w:rFonts w:ascii="Times New Roman" w:eastAsia="Times New Roman" w:hAnsi="Times New Roman" w:cs="Times New Roman"/>
          <w:bCs/>
          <w:color w:val="000000"/>
          <w:sz w:val="24"/>
          <w:szCs w:val="24"/>
          <w:lang w:eastAsia="hr-HR"/>
        </w:rPr>
        <w:t xml:space="preserve">bit će usmjerena na primjenu pilot projekata na temelju planova intervencije. Po završetku provođenja pilot projekata naknadno ocjenjivanje provest će kvalificirani neovisni vanjski stručnjaci. U ovom izvješću bit će preporučen jasan put napretka. Fondovi EFRR-a izgradit će društvenu i gospodarsku infrastrukturu potrebnu za osiguranje održivosti. Provest će se na integriran način s aktivnostima ESF-a, a financirat će se u okviru specifičnog cilja 9.2.1 Operativnog programa za konkurentnost i koheziju. ESF će se koristiti za sufinanciranje pružanja usluga socijalne, obrazovne i gospodarske prirode te zapošljavanja za učinkovitu realizaciju ciljeva planova intervencije, a financirat će se u okviru posebnog cilja 9.4.2. Operativnog programa iz područja učinkovitih ljudskih potencijala. Indikativni, ali ne i iscrpni popis aktivnosti koje će se podržati u okviru investicijskih prioriteta EFRR-a 9.2 i dodatnog ESF-a 9.4 unutar dalje razvijenih planova intervencije nabrojani su u 2. odjeljku Operativnog programa za konkurentnost i koheziju. </w:t>
      </w:r>
    </w:p>
    <w:p w:rsidR="009B2E82" w:rsidRPr="009B2E82" w:rsidRDefault="009B2E82" w:rsidP="00324C8B">
      <w:pPr>
        <w:widowControl w:val="0"/>
        <w:shd w:val="clear" w:color="auto" w:fill="FFFFFF"/>
        <w:autoSpaceDE w:val="0"/>
        <w:autoSpaceDN w:val="0"/>
        <w:adjustRightInd w:val="0"/>
        <w:spacing w:before="283" w:after="0" w:line="274" w:lineRule="exact"/>
        <w:ind w:left="816" w:right="922"/>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
          <w:bCs/>
          <w:color w:val="000000"/>
          <w:sz w:val="24"/>
          <w:szCs w:val="24"/>
          <w:u w:val="single"/>
          <w:lang w:eastAsia="hr-HR"/>
        </w:rPr>
        <w:t xml:space="preserve">Treća faza </w:t>
      </w:r>
      <w:r w:rsidRPr="009B2E82">
        <w:rPr>
          <w:rFonts w:ascii="Times New Roman" w:eastAsia="Times New Roman" w:hAnsi="Times New Roman" w:cs="Times New Roman"/>
          <w:bCs/>
          <w:color w:val="000000"/>
          <w:sz w:val="24"/>
          <w:szCs w:val="24"/>
          <w:lang w:eastAsia="hr-HR"/>
        </w:rPr>
        <w:t xml:space="preserve">temelji se na ishodu prethodnih faza, posebice na naknadnom ocjenjivanju i dostupnim sredstvima, a usmjerena je na razvoj programa u drugim područjima s rizikom od siromaštva u Hrvatskoj. Mali i srednji gradovi predviđeni za razvoj bit će određeni temeljem mapiranja siromaštva i indeksa višestruke ugroženosti. Razvojna faza uključuje pripremu planova intervencije u skladu s preporukama ocjenjivanja za 5 novih gradova i naposljetku njihovo provođenje. Ovisno o dostupnosti sredstava, stvarno provođenje novih planova intervencije može se izvršiti u novom programskom razdoblju. Provest će se neke promjene središnjeg i lokalnog sustava upravljanja i kontrole, kao i promjene kvalitete podataka i dokaza istraživanja, kako bi se podržalo planiranje.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475"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tabs>
          <w:tab w:val="left" w:pos="5174"/>
          <w:tab w:val="left" w:pos="10099"/>
        </w:tabs>
        <w:autoSpaceDE w:val="0"/>
        <w:autoSpaceDN w:val="0"/>
        <w:adjustRightInd w:val="0"/>
        <w:spacing w:before="475" w:after="0" w:line="240" w:lineRule="auto"/>
        <w:rPr>
          <w:rFonts w:ascii="Arial" w:eastAsia="Times New Roman" w:hAnsi="Arial" w:cs="Arial"/>
          <w:sz w:val="20"/>
          <w:szCs w:val="20"/>
          <w:lang w:eastAsia="hr-HR"/>
        </w:rPr>
        <w:sectPr w:rsidR="009B2E82" w:rsidRPr="009B2E82">
          <w:pgSz w:w="11909" w:h="16834"/>
          <w:pgMar w:top="912" w:right="435" w:bottom="360" w:left="770" w:header="720" w:footer="720" w:gutter="0"/>
          <w:cols w:space="60"/>
          <w:noEndnote/>
        </w:sectPr>
      </w:pPr>
    </w:p>
    <w:p w:rsidR="009B2E82" w:rsidRPr="009B2E82" w:rsidRDefault="009B2E82" w:rsidP="00324C8B">
      <w:pPr>
        <w:widowControl w:val="0"/>
        <w:shd w:val="clear" w:color="auto" w:fill="FFFFFF"/>
        <w:autoSpaceDE w:val="0"/>
        <w:autoSpaceDN w:val="0"/>
        <w:adjustRightInd w:val="0"/>
        <w:spacing w:after="0" w:line="278" w:lineRule="exact"/>
        <w:ind w:left="816" w:right="132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lastRenderedPageBreak/>
        <w:t>Dva su očekivana rezultata korištenja EFRR-a zajedno s ESF-om u okviru ovog posebnog cilja:</w:t>
      </w:r>
    </w:p>
    <w:p w:rsidR="009B2E82" w:rsidRPr="009B2E82" w:rsidRDefault="009B2E82" w:rsidP="00324C8B">
      <w:pPr>
        <w:widowControl w:val="0"/>
        <w:numPr>
          <w:ilvl w:val="0"/>
          <w:numId w:val="2"/>
        </w:numPr>
        <w:shd w:val="clear" w:color="auto" w:fill="FFFFFF"/>
        <w:tabs>
          <w:tab w:val="left" w:pos="1536"/>
        </w:tabs>
        <w:autoSpaceDE w:val="0"/>
        <w:autoSpaceDN w:val="0"/>
        <w:adjustRightInd w:val="0"/>
        <w:spacing w:before="269" w:after="0" w:line="278" w:lineRule="exact"/>
        <w:ind w:left="1536" w:right="1325" w:hanging="3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izrada i testiranje novoga modela prostornog pristupa obnovi ugroženih zajednica rješavanjem geografski koncentriranih socioekonomskih problema i problema fizičke deprivacije, i</w:t>
      </w:r>
    </w:p>
    <w:p w:rsidR="009B2E82" w:rsidRPr="009B2E82" w:rsidRDefault="009B2E82" w:rsidP="00324C8B">
      <w:pPr>
        <w:widowControl w:val="0"/>
        <w:numPr>
          <w:ilvl w:val="0"/>
          <w:numId w:val="2"/>
        </w:numPr>
        <w:shd w:val="clear" w:color="auto" w:fill="FFFFFF"/>
        <w:tabs>
          <w:tab w:val="left" w:pos="1536"/>
        </w:tabs>
        <w:autoSpaceDE w:val="0"/>
        <w:autoSpaceDN w:val="0"/>
        <w:adjustRightInd w:val="0"/>
        <w:spacing w:before="120" w:after="0" w:line="274" w:lineRule="exact"/>
        <w:ind w:left="1536" w:right="1325" w:hanging="3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poboljšanje socioekonomskih uvjeta i uvjeta življenja u pet odabranih pilot područja za 45.000 stanovnika koji žive u pilot područjima, čime će se smanjiti daljnji gubitak stanovništva. Paket intervencija rezultirat će obnovom degradiranih područja i pridonijet će smanjenju nejednakosti, socijalne isključenosti i siromaštva.</w:t>
      </w:r>
    </w:p>
    <w:p w:rsidR="009B2E82" w:rsidRPr="009B2E82" w:rsidRDefault="009B2E82" w:rsidP="00324C8B">
      <w:pPr>
        <w:widowControl w:val="0"/>
        <w:shd w:val="clear" w:color="auto" w:fill="FFFFFF"/>
        <w:autoSpaceDE w:val="0"/>
        <w:autoSpaceDN w:val="0"/>
        <w:adjustRightInd w:val="0"/>
        <w:spacing w:before="278" w:after="0" w:line="274" w:lineRule="exact"/>
        <w:ind w:left="816" w:right="1325"/>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Detaljan opis glavnih tipova planiranih aktivnosti nalazi se u 2. odjeljku OPKK-a. Spomenuti tip aktivnosti povezanih s EFRR-om provest će se na komplementaran i integriran način s aktivnostima ESF-a, predviđenim u okviru posebnih ciljeva 9.4.2. Operativnog programa iz područja učinkovitih ljudskih potencijala.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10018"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tabs>
          <w:tab w:val="left" w:pos="5174"/>
          <w:tab w:val="left" w:pos="10099"/>
        </w:tabs>
        <w:autoSpaceDE w:val="0"/>
        <w:autoSpaceDN w:val="0"/>
        <w:adjustRightInd w:val="0"/>
        <w:spacing w:before="10018" w:after="0" w:line="240" w:lineRule="auto"/>
        <w:rPr>
          <w:rFonts w:ascii="Arial" w:eastAsia="Times New Roman" w:hAnsi="Arial" w:cs="Arial"/>
          <w:sz w:val="20"/>
          <w:szCs w:val="20"/>
          <w:lang w:eastAsia="hr-HR"/>
        </w:rPr>
        <w:sectPr w:rsidR="009B2E82" w:rsidRPr="009B2E82">
          <w:pgSz w:w="11909" w:h="16834"/>
          <w:pgMar w:top="907"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69" w:lineRule="exact"/>
        <w:ind w:left="542" w:right="922"/>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6"/>
          <w:szCs w:val="26"/>
          <w:lang w:eastAsia="hr-HR"/>
        </w:rPr>
        <w:lastRenderedPageBreak/>
        <w:t xml:space="preserve">Tablica 22: Aktivnosti za rješavanje posebnih potreba geografskih područja koja su najviše pogođena siromaštvom /ciljanih skupina s najvećim rizikom od diskriminacije i socijalne isključenosti </w:t>
      </w:r>
    </w:p>
    <w:p w:rsidR="009B2E82" w:rsidRPr="009B2E82" w:rsidRDefault="009B2E82" w:rsidP="009B2E82">
      <w:pPr>
        <w:widowControl w:val="0"/>
        <w:autoSpaceDE w:val="0"/>
        <w:autoSpaceDN w:val="0"/>
        <w:adjustRightInd w:val="0"/>
        <w:spacing w:after="115"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995"/>
        <w:gridCol w:w="5098"/>
        <w:gridCol w:w="1853"/>
        <w:gridCol w:w="845"/>
        <w:gridCol w:w="1133"/>
        <w:gridCol w:w="2851"/>
      </w:tblGrid>
      <w:tr w:rsidR="009B2E82" w:rsidRPr="009B2E82" w:rsidTr="009B2E82">
        <w:trPr>
          <w:trHeight w:hRule="exact" w:val="307"/>
        </w:trPr>
        <w:tc>
          <w:tcPr>
            <w:tcW w:w="2995"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Ciljana skupina/geografsko</w:t>
            </w:r>
          </w:p>
        </w:tc>
        <w:tc>
          <w:tcPr>
            <w:tcW w:w="5098"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0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Glavne vrste planiranih aktivnosti kao dijela pristupa</w:t>
            </w:r>
          </w:p>
        </w:tc>
        <w:tc>
          <w:tcPr>
            <w:tcW w:w="1853"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Prioritetna os </w:t>
            </w:r>
          </w:p>
        </w:tc>
        <w:tc>
          <w:tcPr>
            <w:tcW w:w="845"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86"/>
              <w:jc w:val="right"/>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4"/>
                <w:sz w:val="20"/>
                <w:szCs w:val="20"/>
                <w:lang w:eastAsia="hr-HR"/>
              </w:rPr>
              <w:t>Fond</w:t>
            </w:r>
          </w:p>
        </w:tc>
        <w:tc>
          <w:tcPr>
            <w:tcW w:w="1133"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7"/>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Kategorija</w:t>
            </w:r>
          </w:p>
        </w:tc>
        <w:tc>
          <w:tcPr>
            <w:tcW w:w="2851"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7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Investicijski prioritet </w:t>
            </w:r>
          </w:p>
        </w:tc>
      </w:tr>
      <w:tr w:rsidR="009B2E82" w:rsidRPr="009B2E82" w:rsidTr="009B2E82">
        <w:trPr>
          <w:trHeight w:hRule="exact" w:val="288"/>
        </w:trPr>
        <w:tc>
          <w:tcPr>
            <w:tcW w:w="2995"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područje</w:t>
            </w:r>
          </w:p>
        </w:tc>
        <w:tc>
          <w:tcPr>
            <w:tcW w:w="5098"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035"/>
              <w:rPr>
                <w:rFonts w:ascii="Arial" w:eastAsia="Times New Roman" w:hAnsi="Arial" w:cs="Arial"/>
                <w:sz w:val="20"/>
                <w:szCs w:val="20"/>
                <w:lang w:eastAsia="hr-HR"/>
              </w:rPr>
            </w:pPr>
          </w:p>
        </w:tc>
        <w:tc>
          <w:tcPr>
            <w:tcW w:w="1853"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45"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33"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regije</w:t>
            </w:r>
          </w:p>
        </w:tc>
        <w:tc>
          <w:tcPr>
            <w:tcW w:w="2851"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324C8B">
        <w:trPr>
          <w:trHeight w:val="1986"/>
        </w:trPr>
        <w:tc>
          <w:tcPr>
            <w:tcW w:w="2995" w:type="dxa"/>
            <w:tcBorders>
              <w:top w:val="single" w:sz="6" w:space="0" w:color="auto"/>
              <w:left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Geografska područja koja su najviše</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pogođena siromaštvom (temeljem</w:t>
            </w:r>
            <w:r w:rsidRPr="009B2E82">
              <w:rPr>
                <w:rFonts w:ascii="Times New Roman" w:eastAsia="Times New Roman" w:hAnsi="Times New Roman" w:cs="Times New Roman"/>
                <w:b/>
                <w:color w:val="000000"/>
                <w:spacing w:val="-1"/>
                <w:sz w:val="20"/>
                <w:szCs w:val="20"/>
                <w:lang w:eastAsia="hr-HR"/>
              </w:rPr>
              <w:t xml:space="preserve"> indeksa višestruke deprivacije i mapiranja siromaštva)</w:t>
            </w:r>
          </w:p>
        </w:tc>
        <w:tc>
          <w:tcPr>
            <w:tcW w:w="5098" w:type="dxa"/>
            <w:tcBorders>
              <w:top w:val="single" w:sz="6" w:space="0" w:color="auto"/>
              <w:left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Održiv fizički, socijalni i ekonomski oporavak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ugroženih pilot područja s ciljem smanjenja socijalne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nejednakosti, isključenosti i siromaštva </w:t>
            </w:r>
          </w:p>
        </w:tc>
        <w:tc>
          <w:tcPr>
            <w:tcW w:w="1853" w:type="dxa"/>
            <w:tcBorders>
              <w:top w:val="single" w:sz="6" w:space="0" w:color="auto"/>
              <w:left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8 – Socijalna uključenost</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i zdravlje </w:t>
            </w:r>
          </w:p>
        </w:tc>
        <w:tc>
          <w:tcPr>
            <w:tcW w:w="845" w:type="dxa"/>
            <w:tcBorders>
              <w:top w:val="single" w:sz="6" w:space="0" w:color="auto"/>
              <w:left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25"/>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EFRR </w:t>
            </w:r>
          </w:p>
        </w:tc>
        <w:tc>
          <w:tcPr>
            <w:tcW w:w="1133" w:type="dxa"/>
            <w:tcBorders>
              <w:top w:val="single" w:sz="6" w:space="0" w:color="auto"/>
              <w:left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Manje</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razvijena</w:t>
            </w:r>
          </w:p>
        </w:tc>
        <w:tc>
          <w:tcPr>
            <w:tcW w:w="2851" w:type="dxa"/>
            <w:tcBorders>
              <w:top w:val="single" w:sz="6" w:space="0" w:color="auto"/>
              <w:left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9b – Pružanje podrške za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fizički, ekonomski i socijalni ,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oporavak ugroženih područja u urbanim i ruralnim područjima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6"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6" w:right="541" w:bottom="360" w:left="540" w:header="720" w:footer="720" w:gutter="0"/>
          <w:cols w:num="3" w:space="720" w:equalWidth="0">
            <w:col w:w="720" w:space="6926"/>
            <w:col w:w="720" w:space="6667"/>
            <w:col w:w="720"/>
          </w:cols>
          <w:noEndnote/>
        </w:sectPr>
      </w:pPr>
    </w:p>
    <w:p w:rsidR="009B2E82" w:rsidRPr="009B2E82" w:rsidRDefault="009B2E82" w:rsidP="009B2E82">
      <w:pPr>
        <w:widowControl w:val="0"/>
        <w:shd w:val="clear" w:color="auto" w:fill="FFFFFF"/>
        <w:autoSpaceDE w:val="0"/>
        <w:autoSpaceDN w:val="0"/>
        <w:adjustRightInd w:val="0"/>
        <w:spacing w:after="0" w:line="274" w:lineRule="exact"/>
        <w:ind w:left="830" w:right="1267"/>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4"/>
          <w:szCs w:val="24"/>
          <w:lang w:eastAsia="hr-HR"/>
        </w:rPr>
        <w:lastRenderedPageBreak/>
        <w:t xml:space="preserve">6. POSEBNE POTREBE GEOGRAFSKIH PODRUČJA POGOĐENIH ZNAČAJNIM I TRAJNIM PRIRODNIM ILI DEMOGRAFSKIM TEŠKOĆAMA </w:t>
      </w:r>
      <w:r w:rsidRPr="009B2E82">
        <w:rPr>
          <w:rFonts w:ascii="Times New Roman" w:eastAsia="Times New Roman" w:hAnsi="Times New Roman" w:cs="Times New Roman"/>
          <w:color w:val="000000"/>
          <w:spacing w:val="-2"/>
          <w:sz w:val="24"/>
          <w:szCs w:val="24"/>
          <w:lang w:eastAsia="hr-HR"/>
        </w:rPr>
        <w:t xml:space="preserve">(po potrebi) </w:t>
      </w:r>
    </w:p>
    <w:p w:rsidR="009B2E82" w:rsidRPr="009B2E82" w:rsidRDefault="009B2E82" w:rsidP="009B2E82">
      <w:pPr>
        <w:widowControl w:val="0"/>
        <w:shd w:val="clear" w:color="auto" w:fill="FFFFFF"/>
        <w:autoSpaceDE w:val="0"/>
        <w:autoSpaceDN w:val="0"/>
        <w:adjustRightInd w:val="0"/>
        <w:spacing w:before="518" w:after="0" w:line="274" w:lineRule="exact"/>
        <w:ind w:left="816"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4"/>
          <w:szCs w:val="24"/>
          <w:lang w:eastAsia="hr-HR"/>
        </w:rPr>
        <w:t xml:space="preserve">Proces depopulacije bio je uobičajeno obilježje Hrvatske više od 20 godina. Većina je hrvatskog teritorija pogođena smanjenjem broja stanovnika povezanim s prirodnim padom stanovništva, visokom stopom domaće emigracije prema velikim gradovima, a odnedavno i negativnim međunarodnim migracijama. </w:t>
      </w:r>
    </w:p>
    <w:p w:rsidR="009B2E82" w:rsidRPr="009B2E82" w:rsidRDefault="009B2E82" w:rsidP="009B2E82">
      <w:pPr>
        <w:widowControl w:val="0"/>
        <w:shd w:val="clear" w:color="auto" w:fill="FFFFFF"/>
        <w:autoSpaceDE w:val="0"/>
        <w:autoSpaceDN w:val="0"/>
        <w:adjustRightInd w:val="0"/>
        <w:spacing w:before="278" w:after="0" w:line="274" w:lineRule="exact"/>
        <w:ind w:left="816" w:right="126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Između dvaju popisa stanovništva iz 2001. i 2011. zabilježeno je smanjenje ukupnog broja stanovnika za -3,44%. Više od 65% površine Hrvatske pogođeno je depopulacijom većom od prethodno spomenutog prosjeka (također 35% teritorija s gubitkom većim od 10%). Drugi je problem gustoća naseljenosti – 43% teritorija s manje od 25 stanovnika po km</w:t>
      </w:r>
      <w:r w:rsidRPr="009B2E82">
        <w:rPr>
          <w:rFonts w:ascii="Times New Roman" w:eastAsia="Times New Roman" w:hAnsi="Times New Roman" w:cs="Times New Roman"/>
          <w:color w:val="000000"/>
          <w:spacing w:val="-1"/>
          <w:sz w:val="24"/>
          <w:szCs w:val="24"/>
          <w:vertAlign w:val="superscript"/>
          <w:lang w:eastAsia="hr-HR"/>
        </w:rPr>
        <w:t>2</w:t>
      </w:r>
      <w:r w:rsidRPr="009B2E82">
        <w:rPr>
          <w:rFonts w:ascii="Times New Roman" w:eastAsia="Times New Roman" w:hAnsi="Times New Roman" w:cs="Times New Roman"/>
          <w:color w:val="000000"/>
          <w:spacing w:val="-1"/>
          <w:sz w:val="24"/>
          <w:szCs w:val="24"/>
          <w:lang w:eastAsia="hr-HR"/>
        </w:rPr>
        <w:t xml:space="preserve">. </w:t>
      </w:r>
    </w:p>
    <w:p w:rsidR="009B2E82" w:rsidRPr="009B2E82" w:rsidRDefault="009B2E82" w:rsidP="009B2E82">
      <w:pPr>
        <w:widowControl w:val="0"/>
        <w:shd w:val="clear" w:color="auto" w:fill="FFFFFF"/>
        <w:autoSpaceDE w:val="0"/>
        <w:autoSpaceDN w:val="0"/>
        <w:adjustRightInd w:val="0"/>
        <w:spacing w:before="283" w:after="0" w:line="274" w:lineRule="exact"/>
        <w:ind w:left="821" w:right="126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Demografski hendikepi zastupljeniji su u određenim geografskim područjima kao što su granična područja, brdsko-planinska područja i otoci, od kojih su zadnja dva područja s prirodnim hendikepima. Ali demografski najugroženija su područja koja još uvijek bilježe gubitke zbog posljedica rata – ratom pogođena područja tijekom 1990-ih.</w:t>
      </w:r>
    </w:p>
    <w:p w:rsidR="009B2E82" w:rsidRPr="009B2E82" w:rsidRDefault="009B2E82" w:rsidP="009B2E82">
      <w:pPr>
        <w:widowControl w:val="0"/>
        <w:shd w:val="clear" w:color="auto" w:fill="FFFFFF"/>
        <w:autoSpaceDE w:val="0"/>
        <w:autoSpaceDN w:val="0"/>
        <w:adjustRightInd w:val="0"/>
        <w:spacing w:before="274" w:after="0" w:line="274" w:lineRule="exact"/>
        <w:ind w:left="821" w:right="1243"/>
        <w:jc w:val="both"/>
        <w:rPr>
          <w:rFonts w:ascii="Times New Roman" w:eastAsia="Times New Roman" w:hAnsi="Times New Roman" w:cs="Times New Roman"/>
          <w:color w:val="000000"/>
          <w:spacing w:val="2"/>
          <w:sz w:val="24"/>
          <w:szCs w:val="24"/>
          <w:lang w:eastAsia="hr-HR"/>
        </w:rPr>
      </w:pPr>
      <w:r w:rsidRPr="009B2E82">
        <w:rPr>
          <w:rFonts w:ascii="Times New Roman" w:eastAsia="Times New Roman" w:hAnsi="Times New Roman" w:cs="Times New Roman"/>
          <w:color w:val="000000"/>
          <w:spacing w:val="2"/>
          <w:sz w:val="24"/>
          <w:szCs w:val="24"/>
          <w:lang w:eastAsia="hr-HR"/>
        </w:rPr>
        <w:t>Ratom pogođena područja još su na 60% predratnog stanovništva s gustoćom naseljenosti manjom od 25 stanovnika po km</w:t>
      </w:r>
      <w:r w:rsidRPr="009B2E82">
        <w:rPr>
          <w:rFonts w:ascii="Times New Roman" w:eastAsia="Times New Roman" w:hAnsi="Times New Roman" w:cs="Times New Roman"/>
          <w:color w:val="000000"/>
          <w:spacing w:val="2"/>
          <w:sz w:val="24"/>
          <w:szCs w:val="24"/>
          <w:vertAlign w:val="superscript"/>
          <w:lang w:eastAsia="hr-HR"/>
        </w:rPr>
        <w:t>2</w:t>
      </w:r>
      <w:r w:rsidRPr="009B2E82">
        <w:rPr>
          <w:rFonts w:ascii="Times New Roman" w:eastAsia="Times New Roman" w:hAnsi="Times New Roman" w:cs="Times New Roman"/>
          <w:color w:val="000000"/>
          <w:spacing w:val="2"/>
          <w:sz w:val="24"/>
          <w:szCs w:val="24"/>
          <w:lang w:eastAsia="hr-HR"/>
        </w:rPr>
        <w:t xml:space="preserve"> i trendom daljnje depopulacije (28% Hrvatskog teritorija s 9% populacije). Ova su područja iznimno pogođena siromaštvom i socijalnom isključenosti. </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pacing w:val="2"/>
          <w:sz w:val="24"/>
          <w:szCs w:val="24"/>
          <w:lang w:eastAsia="hr-HR"/>
        </w:rPr>
      </w:pPr>
      <w:r w:rsidRPr="009B2E82">
        <w:rPr>
          <w:rFonts w:ascii="Times New Roman" w:eastAsia="Times New Roman" w:hAnsi="Times New Roman" w:cs="Times New Roman"/>
          <w:color w:val="000000"/>
          <w:spacing w:val="2"/>
          <w:sz w:val="24"/>
          <w:szCs w:val="24"/>
          <w:lang w:eastAsia="hr-HR"/>
        </w:rPr>
        <w:t xml:space="preserve">Opća depopulacijska područja u Hrvatskoj jesu 718 otoka (1.246 s obalnim grebenima), od kojih je samo 48 naseljenih s ukupno 132,000 stalnih stanovnika. Osim fizičke odvojenosti, što je očiti izvor problema za otočane, sezonski priljev stanovnika (veliki broj turista tijekom ljetne sezone) stvara dodatne prepreke uslugama koje bi trebale omogućiti normalne uvjete života. </w:t>
      </w:r>
    </w:p>
    <w:p w:rsidR="009B2E82" w:rsidRPr="009B2E82" w:rsidRDefault="009B2E82" w:rsidP="009B2E82">
      <w:pPr>
        <w:widowControl w:val="0"/>
        <w:shd w:val="clear" w:color="auto" w:fill="FFFFFF"/>
        <w:autoSpaceDE w:val="0"/>
        <w:autoSpaceDN w:val="0"/>
        <w:adjustRightInd w:val="0"/>
        <w:spacing w:before="278" w:after="0" w:line="274" w:lineRule="exact"/>
        <w:ind w:left="826" w:right="1267"/>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Negativni trendovi na ovim područjima mogu se obrnuti samo kroz integrirani skup aktivnosti koje su predviđene u okviru prioritetne osi OPKK-a. </w:t>
      </w:r>
    </w:p>
    <w:p w:rsidR="009B2E82" w:rsidRPr="009B2E82" w:rsidRDefault="009B2E82" w:rsidP="009B2E82">
      <w:pPr>
        <w:widowControl w:val="0"/>
        <w:shd w:val="clear" w:color="auto" w:fill="FFFFFF"/>
        <w:autoSpaceDE w:val="0"/>
        <w:autoSpaceDN w:val="0"/>
        <w:adjustRightInd w:val="0"/>
        <w:spacing w:before="278" w:after="0" w:line="274" w:lineRule="exact"/>
        <w:ind w:left="816" w:right="1243"/>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4"/>
          <w:sz w:val="24"/>
          <w:szCs w:val="24"/>
          <w:lang w:eastAsia="hr-HR"/>
        </w:rPr>
        <w:t xml:space="preserve">U okviru specifičnog cilja </w:t>
      </w:r>
      <w:r w:rsidRPr="009B2E82">
        <w:rPr>
          <w:rFonts w:ascii="Times New Roman" w:eastAsia="Times New Roman" w:hAnsi="Times New Roman" w:cs="Times New Roman"/>
          <w:b/>
          <w:color w:val="000000"/>
          <w:spacing w:val="4"/>
          <w:sz w:val="24"/>
          <w:szCs w:val="24"/>
          <w:lang w:eastAsia="hr-HR"/>
        </w:rPr>
        <w:t>9.2.1</w:t>
      </w:r>
      <w:r w:rsidRPr="009B2E82">
        <w:rPr>
          <w:rFonts w:ascii="Times New Roman" w:eastAsia="Times New Roman" w:hAnsi="Times New Roman" w:cs="Times New Roman"/>
          <w:color w:val="000000"/>
          <w:spacing w:val="4"/>
          <w:sz w:val="24"/>
          <w:szCs w:val="24"/>
          <w:lang w:eastAsia="hr-HR"/>
        </w:rPr>
        <w:t xml:space="preserve"> intervencije su usmjerene na fizičku, socijalnu i gospodarsku obnovu depriviranih područja pet malih pilot gradova na ratom pogođenim područjima pogođenima siromaštvom i socijalnom isključenosti kao i visokim demografskim gubitcima. Između popisa stanovništva iz predratne 1991. i poslijeratne 2011., smanjenje broja stanovnika doseglo je stopu od više od 20% u svakoj od njih. Do neke je mjere trend smanjen između popisa stanovništva 2001. i 2011. zbog intenzivnog povratka izbjeglica, ali nedavno je ponovo počeo rasti zbog nastavka emigracije i negativne stope prirodnog priraštaja. Intervencije financirane iz EFRR-a u okviru investicijskog prioriteta</w:t>
      </w:r>
      <w:r w:rsidRPr="009B2E82">
        <w:rPr>
          <w:rFonts w:ascii="Times New Roman" w:eastAsia="Times New Roman" w:hAnsi="Times New Roman" w:cs="Times New Roman"/>
          <w:color w:val="000000"/>
          <w:spacing w:val="1"/>
          <w:sz w:val="24"/>
          <w:szCs w:val="24"/>
          <w:lang w:eastAsia="hr-HR"/>
        </w:rPr>
        <w:t xml:space="preserve"> 9.2.1 popraćene su intervencijama iz ESF-a, čineći integrirani pristup za rješavanje problema siromaštva u tim pilot područjima kao i demografskih problema (smanjenje broja stanovnika).</w:t>
      </w:r>
    </w:p>
    <w:p w:rsidR="009B2E82" w:rsidRPr="009B2E82" w:rsidRDefault="009B2E82" w:rsidP="009B2E82">
      <w:pPr>
        <w:widowControl w:val="0"/>
        <w:shd w:val="clear" w:color="auto" w:fill="FFFFFF"/>
        <w:autoSpaceDE w:val="0"/>
        <w:autoSpaceDN w:val="0"/>
        <w:adjustRightInd w:val="0"/>
        <w:spacing w:before="278" w:after="0" w:line="274" w:lineRule="exact"/>
        <w:ind w:left="816" w:right="1243"/>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OPKK također prepoznaje posebne potrebe otoka i pruža aktivnosti kroz sljedeće specifične ciljeve:</w:t>
      </w:r>
    </w:p>
    <w:p w:rsidR="009B2E82" w:rsidRPr="009B2E82" w:rsidRDefault="009B2E82" w:rsidP="009B2E82">
      <w:pPr>
        <w:widowControl w:val="0"/>
        <w:shd w:val="clear" w:color="auto" w:fill="FFFFFF"/>
        <w:autoSpaceDE w:val="0"/>
        <w:autoSpaceDN w:val="0"/>
        <w:adjustRightInd w:val="0"/>
        <w:spacing w:before="274" w:after="0" w:line="274" w:lineRule="exact"/>
        <w:ind w:left="826" w:right="1267"/>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Specifični cilj 2.1.1. Razvoj širokopojasne infrastrukture mreža slijedeće generacije (NGN) za maksimalno povećanje socijalne i gospodarske koristi.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528" w:after="0" w:line="240" w:lineRule="auto"/>
        <w:rPr>
          <w:rFonts w:ascii="Arial" w:eastAsia="Times New Roman" w:hAnsi="Arial" w:cs="Arial"/>
          <w:sz w:val="20"/>
          <w:szCs w:val="20"/>
          <w:lang w:eastAsia="hr-HR"/>
        </w:rPr>
        <w:sectPr w:rsidR="009B2E82" w:rsidRPr="009B2E82">
          <w:pgSz w:w="11909" w:h="16834"/>
          <w:pgMar w:top="1030"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74" w:lineRule="exact"/>
        <w:ind w:left="816" w:right="127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bCs/>
          <w:color w:val="000000"/>
          <w:spacing w:val="-1"/>
          <w:sz w:val="24"/>
          <w:szCs w:val="24"/>
          <w:lang w:eastAsia="hr-HR"/>
        </w:rPr>
        <w:lastRenderedPageBreak/>
        <w:t>Otocima će se omogućiti</w:t>
      </w:r>
      <w:r w:rsidRPr="009B2E82">
        <w:rPr>
          <w:rFonts w:ascii="Times New Roman" w:eastAsia="Times New Roman" w:hAnsi="Times New Roman" w:cs="Times New Roman"/>
          <w:color w:val="000000"/>
          <w:spacing w:val="-1"/>
          <w:sz w:val="24"/>
          <w:szCs w:val="24"/>
          <w:lang w:eastAsia="hr-HR"/>
        </w:rPr>
        <w:t xml:space="preserve"> moderna internetska povezanost kroz intervencije predviđene provođenjem specifičnog cilja. Informacijsko-telekomunikacijska tehnologija pruža prilike za boljom integracijom otoka u ostatak društva i također ublažava potrebu za stalnom fizičkom prisutnošću nekih usluga na otocima (kao što su neke zdravstvene i obrazovne usluge) i čini ih poslovno konkurentnijima. </w:t>
      </w:r>
    </w:p>
    <w:p w:rsidR="009B2E82" w:rsidRPr="009B2E82" w:rsidRDefault="009B2E82" w:rsidP="009B2E82">
      <w:pPr>
        <w:widowControl w:val="0"/>
        <w:shd w:val="clear" w:color="auto" w:fill="FFFFFF"/>
        <w:autoSpaceDE w:val="0"/>
        <w:autoSpaceDN w:val="0"/>
        <w:adjustRightInd w:val="0"/>
        <w:spacing w:before="278" w:after="0" w:line="274" w:lineRule="exact"/>
        <w:ind w:left="816" w:right="1243"/>
        <w:jc w:val="both"/>
        <w:rPr>
          <w:rFonts w:ascii="Times New Roman" w:eastAsia="Times New Roman" w:hAnsi="Times New Roman" w:cs="Times New Roman"/>
          <w:bCs/>
          <w:color w:val="000000"/>
          <w:sz w:val="24"/>
          <w:szCs w:val="24"/>
          <w:lang w:eastAsia="hr-HR"/>
        </w:rPr>
      </w:pPr>
      <w:r w:rsidRPr="009B2E82">
        <w:rPr>
          <w:rFonts w:ascii="Times New Roman" w:eastAsia="Times New Roman" w:hAnsi="Times New Roman" w:cs="Times New Roman"/>
          <w:b/>
          <w:bCs/>
          <w:color w:val="000000"/>
          <w:spacing w:val="-1"/>
          <w:sz w:val="24"/>
          <w:szCs w:val="24"/>
          <w:lang w:eastAsia="hr-HR"/>
        </w:rPr>
        <w:t xml:space="preserve">Specifični cilj </w:t>
      </w:r>
      <w:r w:rsidRPr="009B2E82">
        <w:rPr>
          <w:rFonts w:ascii="Times New Roman" w:eastAsia="Times New Roman" w:hAnsi="Times New Roman" w:cs="Times New Roman"/>
          <w:b/>
          <w:bCs/>
          <w:color w:val="000000"/>
          <w:spacing w:val="4"/>
          <w:sz w:val="24"/>
          <w:szCs w:val="24"/>
          <w:lang w:eastAsia="hr-HR"/>
        </w:rPr>
        <w:t xml:space="preserve">6.2.1. poboljšanje javnog sustava vodoopskrbe s namjerom osiguranja kvalitete i sigurnosti opskrbe pitkom vodom. </w:t>
      </w:r>
      <w:r w:rsidRPr="009B2E82">
        <w:rPr>
          <w:rFonts w:ascii="Times New Roman" w:eastAsia="Times New Roman" w:hAnsi="Times New Roman" w:cs="Times New Roman"/>
          <w:bCs/>
          <w:color w:val="000000"/>
          <w:sz w:val="24"/>
          <w:szCs w:val="24"/>
          <w:lang w:eastAsia="hr-HR"/>
        </w:rPr>
        <w:t xml:space="preserve">Cilj je omogućavanje pitke vode visoke kvalitete i povećanje stope povezanosti. Fokus je intervencije na izgradnji/ponovnoj izgradnji/poboljšanju opskrbnih mreža kao i na pogonima za obradu vode za osiguranje pitke vode u udaljenim otočnim naseljima kao mogućnost ako druge mjere nisu logički opravdane i primijenjene. </w:t>
      </w:r>
    </w:p>
    <w:p w:rsidR="009B2E82" w:rsidRPr="009B2E82" w:rsidRDefault="009B2E82" w:rsidP="009B2E82">
      <w:pPr>
        <w:widowControl w:val="0"/>
        <w:shd w:val="clear" w:color="auto" w:fill="FFFFFF"/>
        <w:autoSpaceDE w:val="0"/>
        <w:autoSpaceDN w:val="0"/>
        <w:adjustRightInd w:val="0"/>
        <w:spacing w:before="278" w:after="0" w:line="240" w:lineRule="auto"/>
        <w:ind w:left="83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Specifični cilj 7.3.1. Poboljšana teritorijalna kohezija i povezanost te pristup otocima. </w:t>
      </w:r>
    </w:p>
    <w:p w:rsidR="009B2E82" w:rsidRPr="009B2E82" w:rsidRDefault="009B2E82" w:rsidP="009B2E82">
      <w:pPr>
        <w:widowControl w:val="0"/>
        <w:shd w:val="clear" w:color="auto" w:fill="FFFFFF"/>
        <w:autoSpaceDE w:val="0"/>
        <w:autoSpaceDN w:val="0"/>
        <w:adjustRightInd w:val="0"/>
        <w:spacing w:after="0" w:line="274" w:lineRule="exact"/>
        <w:ind w:left="821" w:right="126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 xml:space="preserve">Cilj je postupno osigurati pouzdan prijevoz visoke razine bez obzira na sezonu, kroz ulaganja u luke, brodove i općenito službe javnog prijevoza. Namjera je također bolje integrirati ovu vrstu prijevoza s drugim vrstama i uslugama javnog prijevoza na obali. </w:t>
      </w:r>
    </w:p>
    <w:p w:rsidR="009B2E82" w:rsidRPr="009B2E82" w:rsidRDefault="009B2E82" w:rsidP="009B2E82">
      <w:pPr>
        <w:widowControl w:val="0"/>
        <w:shd w:val="clear" w:color="auto" w:fill="FFFFFF"/>
        <w:autoSpaceDE w:val="0"/>
        <w:autoSpaceDN w:val="0"/>
        <w:adjustRightInd w:val="0"/>
        <w:spacing w:before="274" w:after="0" w:line="274" w:lineRule="exact"/>
        <w:ind w:left="816" w:right="1243"/>
        <w:jc w:val="both"/>
        <w:rPr>
          <w:rFonts w:ascii="Times New Roman" w:eastAsia="Times New Roman" w:hAnsi="Times New Roman" w:cs="Times New Roman"/>
          <w:bCs/>
          <w:color w:val="000000"/>
          <w:spacing w:val="4"/>
          <w:sz w:val="24"/>
          <w:szCs w:val="24"/>
          <w:lang w:eastAsia="hr-HR"/>
        </w:rPr>
      </w:pPr>
      <w:r w:rsidRPr="009B2E82">
        <w:rPr>
          <w:rFonts w:ascii="Times New Roman" w:eastAsia="Times New Roman" w:hAnsi="Times New Roman" w:cs="Times New Roman"/>
          <w:b/>
          <w:bCs/>
          <w:color w:val="000000"/>
          <w:spacing w:val="-1"/>
          <w:sz w:val="24"/>
          <w:szCs w:val="24"/>
          <w:lang w:eastAsia="hr-HR"/>
        </w:rPr>
        <w:t xml:space="preserve">Specifični cilj </w:t>
      </w:r>
      <w:r w:rsidRPr="009B2E82">
        <w:rPr>
          <w:rFonts w:ascii="Times New Roman" w:eastAsia="Times New Roman" w:hAnsi="Times New Roman" w:cs="Times New Roman"/>
          <w:b/>
          <w:bCs/>
          <w:color w:val="000000"/>
          <w:spacing w:val="1"/>
          <w:sz w:val="24"/>
          <w:szCs w:val="24"/>
          <w:lang w:eastAsia="hr-HR"/>
        </w:rPr>
        <w:t>9.1.1 Poboljšanje pristupa primarnoj i hitnoj zdravstvenoj skrbi, s fokusom na izolirana i ugrožena područja</w:t>
      </w:r>
      <w:r w:rsidRPr="009B2E82">
        <w:rPr>
          <w:rFonts w:ascii="Times New Roman" w:eastAsia="Times New Roman" w:hAnsi="Times New Roman" w:cs="Times New Roman"/>
          <w:b/>
          <w:bCs/>
          <w:color w:val="000000"/>
          <w:spacing w:val="4"/>
          <w:sz w:val="24"/>
          <w:szCs w:val="24"/>
          <w:lang w:eastAsia="hr-HR"/>
        </w:rPr>
        <w:t xml:space="preserve">. </w:t>
      </w:r>
      <w:r w:rsidRPr="009B2E82">
        <w:rPr>
          <w:rFonts w:ascii="Times New Roman" w:eastAsia="Times New Roman" w:hAnsi="Times New Roman" w:cs="Times New Roman"/>
          <w:bCs/>
          <w:color w:val="000000"/>
          <w:spacing w:val="4"/>
          <w:sz w:val="24"/>
          <w:szCs w:val="24"/>
          <w:lang w:eastAsia="hr-HR"/>
        </w:rPr>
        <w:t xml:space="preserve">ESIF će se koristiti radi poboljšanja prijevoza i njege u hitnim medicinskim slučajevima s hrvatskih otoka uspostavom hitne pomorske medicinske službe. Kao rezultat investicija, novi združeni odjeli hitne medicine omogućit će djelotvornije i učinkovitije hitne medicinske usluge, posebice stanovništvu ugroženih i izoliranih područja i otoka.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7373" w:after="0" w:line="240" w:lineRule="auto"/>
        <w:rPr>
          <w:rFonts w:ascii="Arial" w:eastAsia="Times New Roman" w:hAnsi="Arial" w:cs="Arial"/>
          <w:sz w:val="20"/>
          <w:szCs w:val="20"/>
          <w:lang w:eastAsia="hr-HR"/>
        </w:rPr>
        <w:sectPr w:rsidR="009B2E82" w:rsidRPr="009B2E82">
          <w:pgSz w:w="11909" w:h="16834"/>
          <w:pgMar w:top="912" w:right="435" w:bottom="360" w:left="770" w:header="720" w:footer="720" w:gutter="0"/>
          <w:cols w:space="60"/>
          <w:noEndnote/>
        </w:sectPr>
      </w:pPr>
    </w:p>
    <w:p w:rsidR="009B2E82" w:rsidRPr="00324C8B" w:rsidRDefault="009B2E82" w:rsidP="009B2E82">
      <w:pPr>
        <w:widowControl w:val="0"/>
        <w:shd w:val="clear" w:color="auto" w:fill="FFFFFF"/>
        <w:autoSpaceDE w:val="0"/>
        <w:autoSpaceDN w:val="0"/>
        <w:adjustRightInd w:val="0"/>
        <w:spacing w:after="0" w:line="274" w:lineRule="exact"/>
        <w:ind w:left="826" w:right="2208"/>
        <w:rPr>
          <w:rFonts w:ascii="Times New Roman" w:eastAsia="Times New Roman" w:hAnsi="Times New Roman" w:cs="Times New Roman"/>
          <w:b/>
          <w:color w:val="000000"/>
          <w:spacing w:val="-26"/>
          <w:sz w:val="24"/>
          <w:szCs w:val="24"/>
          <w:lang w:eastAsia="hr-HR"/>
        </w:rPr>
      </w:pPr>
      <w:r w:rsidRPr="00324C8B">
        <w:rPr>
          <w:rFonts w:ascii="Times New Roman" w:eastAsia="Times New Roman" w:hAnsi="Times New Roman" w:cs="Times New Roman"/>
          <w:b/>
          <w:color w:val="000000"/>
          <w:spacing w:val="-26"/>
          <w:sz w:val="24"/>
          <w:szCs w:val="24"/>
          <w:lang w:eastAsia="hr-HR"/>
        </w:rPr>
        <w:lastRenderedPageBreak/>
        <w:t xml:space="preserve">7. 7. UPRAVE I TIJELA ODGOVORNA ZA UPRAVLJANJE, KONTROLU I REVIZIJU I ULOGA MJERODAVNIH PARTNERA </w:t>
      </w:r>
    </w:p>
    <w:p w:rsidR="009B2E82" w:rsidRPr="009B2E82" w:rsidRDefault="009B2E82" w:rsidP="009B2E82">
      <w:pPr>
        <w:widowControl w:val="0"/>
        <w:shd w:val="clear" w:color="auto" w:fill="FFFFFF"/>
        <w:autoSpaceDE w:val="0"/>
        <w:autoSpaceDN w:val="0"/>
        <w:adjustRightInd w:val="0"/>
        <w:spacing w:before="518"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4"/>
          <w:szCs w:val="24"/>
          <w:lang w:eastAsia="hr-HR"/>
        </w:rPr>
        <w:t>7.1 Relevantna tijela vlasti i tijela</w:t>
      </w:r>
    </w:p>
    <w:p w:rsidR="009B2E82" w:rsidRPr="009B2E82" w:rsidRDefault="009B2E82" w:rsidP="009B2E82">
      <w:pPr>
        <w:widowControl w:val="0"/>
        <w:shd w:val="clear" w:color="auto" w:fill="FFFFFF"/>
        <w:autoSpaceDE w:val="0"/>
        <w:autoSpaceDN w:val="0"/>
        <w:adjustRightInd w:val="0"/>
        <w:spacing w:before="514"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4"/>
          <w:szCs w:val="24"/>
          <w:lang w:eastAsia="hr-HR"/>
        </w:rPr>
        <w:t>Tablica 23: Relevantna tijela vlasti i tijela</w:t>
      </w:r>
    </w:p>
    <w:p w:rsidR="009B2E82" w:rsidRPr="009B2E82" w:rsidRDefault="009B2E82" w:rsidP="009B2E82">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3686"/>
        <w:gridCol w:w="2362"/>
      </w:tblGrid>
      <w:tr w:rsidR="009B2E82" w:rsidRPr="009B2E82" w:rsidTr="009B2E82">
        <w:trPr>
          <w:trHeight w:hRule="exact" w:val="72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Tijelo vlasti/tijelo</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Naziv uprave/ tijela i odjela ili jedinice</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62" w:right="8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Ravnatelj nadležne uprave/ tijela </w:t>
            </w:r>
            <w:r w:rsidRPr="009B2E82">
              <w:rPr>
                <w:rFonts w:ascii="Times New Roman" w:eastAsia="Times New Roman" w:hAnsi="Times New Roman" w:cs="Times New Roman"/>
                <w:b/>
                <w:bCs/>
                <w:color w:val="000000"/>
                <w:spacing w:val="-1"/>
                <w:sz w:val="20"/>
                <w:szCs w:val="20"/>
                <w:lang w:eastAsia="hr-HR"/>
              </w:rPr>
              <w:t>(pozicija ili radno mjesto)</w:t>
            </w:r>
          </w:p>
        </w:tc>
      </w:tr>
      <w:tr w:rsidR="009B2E82" w:rsidRPr="009B2E82" w:rsidTr="009B2E82">
        <w:trPr>
          <w:trHeight w:hRule="exact" w:val="941"/>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Upravljačko tijelo</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6"/>
                <w:sz w:val="20"/>
                <w:szCs w:val="20"/>
                <w:lang w:eastAsia="hr-HR"/>
              </w:rPr>
              <w:t xml:space="preserve">Ministarstvo regionalnog razvoja i fondova Europske Unije </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 w:hanging="10"/>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 regionalnog razvoja i fondova Europske Unije</w:t>
            </w:r>
          </w:p>
        </w:tc>
      </w:tr>
      <w:tr w:rsidR="009B2E82" w:rsidRPr="009B2E82" w:rsidTr="009B2E82">
        <w:trPr>
          <w:trHeight w:hRule="exact" w:val="71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Tijelo za ovjeravanje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Ministarstvo financija</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20"/>
                <w:szCs w:val="20"/>
                <w:lang w:eastAsia="hr-HR"/>
              </w:rPr>
              <w:t>Pomoćnik ministra financija</w:t>
            </w:r>
          </w:p>
        </w:tc>
      </w:tr>
      <w:tr w:rsidR="009B2E82" w:rsidRPr="009B2E82" w:rsidTr="009B2E82">
        <w:trPr>
          <w:trHeight w:hRule="exact" w:val="71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Revizorsko tijelo</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20"/>
                <w:szCs w:val="20"/>
                <w:lang w:eastAsia="hr-HR"/>
              </w:rPr>
              <w:t>Agencija za reviziju sustava programa Europske Unije</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Direktor agencije</w:t>
            </w:r>
          </w:p>
        </w:tc>
      </w:tr>
      <w:tr w:rsidR="009B2E82" w:rsidRPr="009B2E82" w:rsidTr="009B2E82">
        <w:trPr>
          <w:trHeight w:hRule="exact" w:val="720"/>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left="5"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20"/>
                <w:szCs w:val="20"/>
                <w:lang w:eastAsia="hr-HR"/>
              </w:rPr>
              <w:t>Tijelo kojem Komisija vrši uplate</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Ministarstvo financija</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677"/>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Pomoćnik ministra financija</w:t>
            </w:r>
          </w:p>
        </w:tc>
      </w:tr>
    </w:tbl>
    <w:p w:rsidR="009B2E82" w:rsidRPr="009B2E82" w:rsidRDefault="009B2E82" w:rsidP="009B2E82">
      <w:pPr>
        <w:widowControl w:val="0"/>
        <w:shd w:val="clear" w:color="auto" w:fill="FFFFFF"/>
        <w:autoSpaceDE w:val="0"/>
        <w:autoSpaceDN w:val="0"/>
        <w:adjustRightInd w:val="0"/>
        <w:spacing w:before="514"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4"/>
          <w:szCs w:val="24"/>
          <w:lang w:eastAsia="hr-HR"/>
        </w:rPr>
        <w:t>7.2 Uključenost relevantnih partnera</w:t>
      </w:r>
    </w:p>
    <w:p w:rsidR="009B2E82" w:rsidRPr="009B2E82" w:rsidRDefault="009B2E82" w:rsidP="009B2E82">
      <w:pPr>
        <w:widowControl w:val="0"/>
        <w:shd w:val="clear" w:color="auto" w:fill="FFFFFF"/>
        <w:autoSpaceDE w:val="0"/>
        <w:autoSpaceDN w:val="0"/>
        <w:adjustRightInd w:val="0"/>
        <w:spacing w:before="509" w:after="0" w:line="274" w:lineRule="exact"/>
        <w:ind w:left="821" w:right="2208"/>
        <w:rPr>
          <w:rFonts w:ascii="Arial" w:eastAsia="Times New Roman" w:hAnsi="Arial" w:cs="Arial"/>
          <w:sz w:val="20"/>
          <w:szCs w:val="20"/>
          <w:lang w:eastAsia="hr-HR"/>
        </w:rPr>
      </w:pPr>
      <w:r w:rsidRPr="009B2E82">
        <w:rPr>
          <w:rFonts w:ascii="Times New Roman" w:eastAsia="Times New Roman" w:hAnsi="Times New Roman" w:cs="Times New Roman"/>
          <w:i/>
          <w:iCs/>
          <w:color w:val="000000"/>
          <w:spacing w:val="2"/>
          <w:sz w:val="24"/>
          <w:szCs w:val="24"/>
          <w:lang w:eastAsia="hr-HR"/>
        </w:rPr>
        <w:t xml:space="preserve">7.2.1 Aktivnosti provedene kako bi se uključili nadležni partneri u pripremu operativnih programa, i uloga tih partnera u provođenju, praćenju i ocjenjivanju programa </w:t>
      </w:r>
    </w:p>
    <w:p w:rsidR="009B2E82" w:rsidRPr="009B2E82" w:rsidRDefault="009B2E82" w:rsidP="009B2E82">
      <w:pPr>
        <w:widowControl w:val="0"/>
        <w:shd w:val="clear" w:color="auto" w:fill="FFFFFF"/>
        <w:autoSpaceDE w:val="0"/>
        <w:autoSpaceDN w:val="0"/>
        <w:adjustRightInd w:val="0"/>
        <w:spacing w:before="120" w:after="0" w:line="274" w:lineRule="exact"/>
        <w:ind w:left="821" w:right="1363"/>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Proces pripreme programske dokumentacije za financijsku perspektivu 2014. - 2020. u Hrvatskoj započeo je u proljeće 2012. pod koordinacijom </w:t>
      </w:r>
      <w:r w:rsidRPr="009B2E82">
        <w:rPr>
          <w:rFonts w:ascii="Times New Roman" w:eastAsia="Times New Roman" w:hAnsi="Times New Roman" w:cs="Times New Roman"/>
          <w:b/>
          <w:color w:val="000000"/>
          <w:spacing w:val="1"/>
          <w:sz w:val="24"/>
          <w:szCs w:val="24"/>
          <w:lang w:eastAsia="hr-HR"/>
        </w:rPr>
        <w:t>Ministarstva regionalnog razvoja i fondova EU-a</w:t>
      </w:r>
      <w:r w:rsidRPr="009B2E82">
        <w:rPr>
          <w:rFonts w:ascii="Times New Roman" w:eastAsia="Times New Roman" w:hAnsi="Times New Roman" w:cs="Times New Roman"/>
          <w:color w:val="000000"/>
          <w:spacing w:val="1"/>
          <w:sz w:val="24"/>
          <w:szCs w:val="24"/>
          <w:lang w:eastAsia="hr-HR"/>
        </w:rPr>
        <w:t xml:space="preserve">. Obuhvatio je sva resorna ministarstva koja su provela analizu socioekonomske situacije kao i SWOT analize s potrebama i potencijalima daljnjeg razvoja. </w:t>
      </w:r>
    </w:p>
    <w:p w:rsidR="009B2E82" w:rsidRPr="009B2E82" w:rsidRDefault="009B2E82" w:rsidP="009B2E82">
      <w:pPr>
        <w:widowControl w:val="0"/>
        <w:shd w:val="clear" w:color="auto" w:fill="FFFFFF"/>
        <w:autoSpaceDE w:val="0"/>
        <w:autoSpaceDN w:val="0"/>
        <w:adjustRightInd w:val="0"/>
        <w:spacing w:before="278" w:after="0" w:line="274" w:lineRule="exact"/>
        <w:ind w:left="821" w:right="1387"/>
        <w:jc w:val="both"/>
        <w:rPr>
          <w:rFonts w:ascii="Times New Roman" w:eastAsia="Times New Roman" w:hAnsi="Times New Roman" w:cs="Times New Roman"/>
          <w:color w:val="000000"/>
          <w:spacing w:val="9"/>
          <w:sz w:val="24"/>
          <w:szCs w:val="24"/>
          <w:lang w:eastAsia="hr-HR"/>
        </w:rPr>
      </w:pPr>
      <w:r w:rsidRPr="009B2E82">
        <w:rPr>
          <w:rFonts w:ascii="Times New Roman" w:eastAsia="Times New Roman" w:hAnsi="Times New Roman" w:cs="Times New Roman"/>
          <w:color w:val="000000"/>
          <w:spacing w:val="9"/>
          <w:sz w:val="24"/>
          <w:szCs w:val="24"/>
          <w:lang w:eastAsia="hr-HR"/>
        </w:rPr>
        <w:t xml:space="preserve">Rad na pripremi programske dokumentacije formaliziran je 6. rujna 2012., uspostavom </w:t>
      </w:r>
      <w:r w:rsidRPr="009B2E82">
        <w:rPr>
          <w:rFonts w:ascii="Times New Roman" w:eastAsia="Times New Roman" w:hAnsi="Times New Roman" w:cs="Times New Roman"/>
          <w:b/>
          <w:color w:val="000000"/>
          <w:spacing w:val="9"/>
          <w:sz w:val="24"/>
          <w:szCs w:val="24"/>
          <w:lang w:eastAsia="hr-HR"/>
        </w:rPr>
        <w:t>Koordinacijskog odbora (KO) za pripremu financijske perspektive EU-a 2014. -2020.</w:t>
      </w:r>
      <w:r w:rsidRPr="009B2E82">
        <w:rPr>
          <w:rFonts w:ascii="Times New Roman" w:eastAsia="Times New Roman" w:hAnsi="Times New Roman" w:cs="Times New Roman"/>
          <w:color w:val="000000"/>
          <w:spacing w:val="9"/>
          <w:sz w:val="24"/>
          <w:szCs w:val="24"/>
          <w:lang w:eastAsia="hr-HR"/>
        </w:rPr>
        <w:t xml:space="preserve"> Vlade Republike Hrvatske. Sva resorna ministarstva i ured premijera imenovali su svoje predstavnike u Koordinacijskom odboru s primarnim ciljem organiziranja, koordinacije i vođenja procesa priprema za financijsku perspektivu 2014. - 2020.</w:t>
      </w:r>
    </w:p>
    <w:p w:rsidR="009B2E82" w:rsidRPr="009B2E82" w:rsidRDefault="009B2E82" w:rsidP="009B2E82">
      <w:pPr>
        <w:widowControl w:val="0"/>
        <w:shd w:val="clear" w:color="auto" w:fill="FFFFFF"/>
        <w:autoSpaceDE w:val="0"/>
        <w:autoSpaceDN w:val="0"/>
        <w:adjustRightInd w:val="0"/>
        <w:spacing w:before="274" w:after="494" w:line="274" w:lineRule="exact"/>
        <w:ind w:left="816" w:right="1378"/>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 xml:space="preserve">KO je utvrdio redoslijed glavnih programskih koraka uključujući aktivnosti za pripremu sporazuma o partnerstvu, operativnih programa, i ekonomskog programa te Vladino odobrenje. Nadalje, KO je uspostavio </w:t>
      </w:r>
      <w:r w:rsidRPr="009B2E82">
        <w:rPr>
          <w:rFonts w:ascii="Times New Roman" w:eastAsia="Times New Roman" w:hAnsi="Times New Roman" w:cs="Times New Roman"/>
          <w:b/>
          <w:color w:val="000000"/>
          <w:sz w:val="24"/>
          <w:szCs w:val="24"/>
          <w:lang w:eastAsia="hr-HR"/>
        </w:rPr>
        <w:t>Tematske radne skupine</w:t>
      </w:r>
      <w:r w:rsidRPr="009B2E82">
        <w:rPr>
          <w:rFonts w:ascii="Times New Roman" w:eastAsia="Times New Roman" w:hAnsi="Times New Roman" w:cs="Times New Roman"/>
          <w:color w:val="000000"/>
          <w:sz w:val="24"/>
          <w:szCs w:val="24"/>
          <w:lang w:eastAsia="hr-HR"/>
        </w:rPr>
        <w:t xml:space="preserve"> (TRS) s glavnim ciljem pripreme ulaznih podataka i materijala za programsku dokumentaciju. Sastavljanje TRS-a načinjeno je u skladu s 11 tematskih ciljeva koje je predložila Europska komisija u nacrtu Uredbi kohezijske politike za 2014. -2020.  </w:t>
      </w:r>
    </w:p>
    <w:p w:rsidR="009B2E82" w:rsidRPr="009B2E82" w:rsidRDefault="009B2E82" w:rsidP="009B2E82">
      <w:pPr>
        <w:widowControl w:val="0"/>
        <w:shd w:val="clear" w:color="auto" w:fill="FFFFFF"/>
        <w:autoSpaceDE w:val="0"/>
        <w:autoSpaceDN w:val="0"/>
        <w:adjustRightInd w:val="0"/>
        <w:spacing w:before="274" w:after="494" w:line="274" w:lineRule="exact"/>
        <w:ind w:left="816" w:right="1378"/>
        <w:jc w:val="both"/>
        <w:rPr>
          <w:rFonts w:ascii="Arial" w:eastAsia="Times New Roman" w:hAnsi="Arial" w:cs="Arial"/>
          <w:sz w:val="20"/>
          <w:szCs w:val="20"/>
          <w:lang w:eastAsia="hr-HR"/>
        </w:rPr>
        <w:sectPr w:rsidR="009B2E82" w:rsidRPr="009B2E82">
          <w:pgSz w:w="11909" w:h="16834"/>
          <w:pgMar w:top="1051"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1051" w:right="360" w:bottom="360" w:left="730" w:header="720" w:footer="720" w:gutter="0"/>
          <w:cols w:num="3" w:space="720" w:equalWidth="0">
            <w:col w:w="720" w:space="4459"/>
            <w:col w:w="720" w:space="4200"/>
            <w:col w:w="720"/>
          </w:cols>
          <w:noEndnote/>
        </w:sectPr>
      </w:pPr>
    </w:p>
    <w:p w:rsidR="009B2E82" w:rsidRPr="009B2E82" w:rsidRDefault="009B2E82" w:rsidP="009B2E82">
      <w:pPr>
        <w:widowControl w:val="0"/>
        <w:shd w:val="clear" w:color="auto" w:fill="FFFFFF"/>
        <w:autoSpaceDE w:val="0"/>
        <w:autoSpaceDN w:val="0"/>
        <w:adjustRightInd w:val="0"/>
        <w:spacing w:after="0" w:line="240" w:lineRule="auto"/>
        <w:ind w:left="816"/>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lastRenderedPageBreak/>
        <w:t xml:space="preserve">Raspodjela TRS-a vezano uz tematske ciljeve je kako slijedi: </w:t>
      </w:r>
    </w:p>
    <w:p w:rsidR="009B2E82" w:rsidRPr="009B2E82" w:rsidRDefault="009B2E82" w:rsidP="009B2E82">
      <w:pPr>
        <w:widowControl w:val="0"/>
        <w:numPr>
          <w:ilvl w:val="0"/>
          <w:numId w:val="21"/>
        </w:numPr>
        <w:shd w:val="clear" w:color="auto" w:fill="FFFFFF"/>
        <w:tabs>
          <w:tab w:val="left" w:pos="1507"/>
        </w:tabs>
        <w:autoSpaceDE w:val="0"/>
        <w:autoSpaceDN w:val="0"/>
        <w:adjustRightInd w:val="0"/>
        <w:spacing w:before="115" w:after="0" w:line="278" w:lineRule="exact"/>
        <w:ind w:left="1507" w:right="883" w:hanging="293"/>
        <w:rPr>
          <w:rFonts w:ascii="Times New Roman" w:eastAsia="Times New Roman" w:hAnsi="Times New Roman" w:cs="Times New Roman"/>
          <w:color w:val="000000"/>
          <w:spacing w:val="4"/>
          <w:sz w:val="24"/>
          <w:szCs w:val="24"/>
          <w:lang w:eastAsia="hr-HR"/>
        </w:rPr>
      </w:pPr>
      <w:r w:rsidRPr="009B2E82">
        <w:rPr>
          <w:rFonts w:ascii="Times New Roman" w:eastAsia="Times New Roman" w:hAnsi="Times New Roman" w:cs="Times New Roman"/>
          <w:color w:val="000000"/>
          <w:spacing w:val="4"/>
          <w:sz w:val="24"/>
          <w:szCs w:val="24"/>
          <w:lang w:eastAsia="hr-HR"/>
        </w:rPr>
        <w:t xml:space="preserve">TRS 1 </w:t>
      </w:r>
      <w:r w:rsidRPr="009B2E82">
        <w:rPr>
          <w:rFonts w:ascii="Times New Roman" w:eastAsia="Times New Roman" w:hAnsi="Times New Roman" w:cs="Times New Roman"/>
          <w:i/>
          <w:color w:val="000000"/>
          <w:spacing w:val="4"/>
          <w:sz w:val="24"/>
          <w:szCs w:val="24"/>
          <w:lang w:eastAsia="hr-HR"/>
        </w:rPr>
        <w:t>za Jačanje istraživanja, tehnološkog razvoja i inovacija</w:t>
      </w:r>
      <w:r w:rsidRPr="009B2E82">
        <w:rPr>
          <w:rFonts w:ascii="Times New Roman" w:eastAsia="Times New Roman" w:hAnsi="Times New Roman" w:cs="Times New Roman"/>
          <w:color w:val="000000"/>
          <w:spacing w:val="4"/>
          <w:sz w:val="24"/>
          <w:szCs w:val="24"/>
          <w:lang w:eastAsia="hr-HR"/>
        </w:rPr>
        <w:t xml:space="preserve"> (</w:t>
      </w:r>
      <w:r w:rsidRPr="009B2E82">
        <w:rPr>
          <w:rFonts w:ascii="Times New Roman" w:eastAsia="Times New Roman" w:hAnsi="Times New Roman" w:cs="Times New Roman"/>
          <w:i/>
          <w:color w:val="000000"/>
          <w:spacing w:val="4"/>
          <w:sz w:val="24"/>
          <w:szCs w:val="24"/>
          <w:lang w:eastAsia="hr-HR"/>
        </w:rPr>
        <w:t xml:space="preserve">opisano u članku 9 (1)) i Poboljšanje pristupa, uporabe i kvalitete informacijskih i komunikacijskih tehnologija (opisano u Članku </w:t>
      </w:r>
      <w:r w:rsidRPr="009B2E82">
        <w:rPr>
          <w:rFonts w:ascii="Times New Roman" w:eastAsia="Times New Roman" w:hAnsi="Times New Roman" w:cs="Times New Roman"/>
          <w:i/>
          <w:iCs/>
          <w:color w:val="000000"/>
          <w:spacing w:val="1"/>
          <w:sz w:val="24"/>
          <w:szCs w:val="24"/>
          <w:lang w:eastAsia="hr-HR"/>
        </w:rPr>
        <w:t>9(2)),</w:t>
      </w:r>
      <w:r w:rsidRPr="009B2E82">
        <w:rPr>
          <w:rFonts w:ascii="Times New Roman" w:eastAsia="Times New Roman" w:hAnsi="Times New Roman" w:cs="Times New Roman"/>
          <w:iCs/>
          <w:color w:val="000000"/>
          <w:spacing w:val="1"/>
          <w:sz w:val="24"/>
          <w:szCs w:val="24"/>
          <w:lang w:eastAsia="hr-HR"/>
        </w:rPr>
        <w:t xml:space="preserve"> pod vodstvom Ministarstva gospodarstva</w:t>
      </w:r>
      <w:r w:rsidRPr="009B2E82">
        <w:rPr>
          <w:rFonts w:ascii="Times New Roman" w:eastAsia="Times New Roman" w:hAnsi="Times New Roman" w:cs="Times New Roman"/>
          <w:color w:val="000000"/>
          <w:spacing w:val="4"/>
          <w:sz w:val="24"/>
          <w:szCs w:val="24"/>
          <w:lang w:eastAsia="hr-HR"/>
        </w:rPr>
        <w:t xml:space="preserve"> </w:t>
      </w:r>
    </w:p>
    <w:p w:rsidR="009B2E82" w:rsidRPr="009B2E82" w:rsidRDefault="009B2E82" w:rsidP="009B2E82">
      <w:pPr>
        <w:widowControl w:val="0"/>
        <w:numPr>
          <w:ilvl w:val="0"/>
          <w:numId w:val="21"/>
        </w:numPr>
        <w:shd w:val="clear" w:color="auto" w:fill="FFFFFF"/>
        <w:tabs>
          <w:tab w:val="left" w:pos="1507"/>
        </w:tabs>
        <w:autoSpaceDE w:val="0"/>
        <w:autoSpaceDN w:val="0"/>
        <w:adjustRightInd w:val="0"/>
        <w:spacing w:before="110" w:after="0" w:line="274" w:lineRule="exact"/>
        <w:ind w:left="1507" w:right="883" w:hanging="293"/>
        <w:rPr>
          <w:rFonts w:ascii="Times New Roman" w:eastAsia="Times New Roman" w:hAnsi="Times New Roman" w:cs="Times New Roman"/>
          <w:color w:val="000000"/>
          <w:spacing w:val="4"/>
          <w:sz w:val="24"/>
          <w:szCs w:val="24"/>
          <w:lang w:eastAsia="hr-HR"/>
        </w:rPr>
      </w:pPr>
      <w:r w:rsidRPr="009B2E82">
        <w:rPr>
          <w:rFonts w:ascii="Times New Roman" w:eastAsia="Times New Roman" w:hAnsi="Times New Roman" w:cs="Times New Roman"/>
          <w:color w:val="000000"/>
          <w:spacing w:val="4"/>
          <w:sz w:val="24"/>
          <w:szCs w:val="24"/>
          <w:lang w:eastAsia="hr-HR"/>
        </w:rPr>
        <w:t xml:space="preserve">TRS 2 </w:t>
      </w:r>
      <w:r w:rsidRPr="009B2E82">
        <w:rPr>
          <w:rFonts w:ascii="Times New Roman" w:eastAsia="Times New Roman" w:hAnsi="Times New Roman" w:cs="Times New Roman"/>
          <w:i/>
          <w:color w:val="000000"/>
          <w:spacing w:val="4"/>
          <w:sz w:val="24"/>
          <w:szCs w:val="24"/>
          <w:lang w:eastAsia="hr-HR"/>
        </w:rPr>
        <w:t>za Poboljšanje konkurentnosti malih i srednjih poduzeća (MSP-ova) (opisano u članku 9 (3)</w:t>
      </w:r>
      <w:r w:rsidRPr="009B2E82">
        <w:rPr>
          <w:rFonts w:ascii="Times New Roman" w:eastAsia="Times New Roman" w:hAnsi="Times New Roman" w:cs="Times New Roman"/>
          <w:color w:val="000000"/>
          <w:spacing w:val="4"/>
          <w:sz w:val="24"/>
          <w:szCs w:val="24"/>
          <w:lang w:eastAsia="hr-HR"/>
        </w:rPr>
        <w:t xml:space="preserve"> pod vodstvom Ministarstva poduzetništva i obrta</w:t>
      </w:r>
      <w:r w:rsidRPr="009B2E82">
        <w:rPr>
          <w:rFonts w:ascii="Times New Roman" w:eastAsia="Times New Roman" w:hAnsi="Times New Roman" w:cs="Times New Roman"/>
          <w:color w:val="000000"/>
          <w:spacing w:val="-1"/>
          <w:sz w:val="24"/>
          <w:szCs w:val="24"/>
          <w:lang w:eastAsia="hr-HR"/>
        </w:rPr>
        <w:t xml:space="preserve"> </w:t>
      </w:r>
    </w:p>
    <w:p w:rsidR="009B2E82" w:rsidRPr="009B2E82" w:rsidRDefault="009B2E82" w:rsidP="009B2E82">
      <w:pPr>
        <w:widowControl w:val="0"/>
        <w:numPr>
          <w:ilvl w:val="0"/>
          <w:numId w:val="21"/>
        </w:numPr>
        <w:shd w:val="clear" w:color="auto" w:fill="FFFFFF"/>
        <w:tabs>
          <w:tab w:val="left" w:pos="1507"/>
        </w:tabs>
        <w:autoSpaceDE w:val="0"/>
        <w:autoSpaceDN w:val="0"/>
        <w:adjustRightInd w:val="0"/>
        <w:spacing w:before="110" w:after="0" w:line="274" w:lineRule="exact"/>
        <w:ind w:left="1507" w:right="883" w:hanging="293"/>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4"/>
          <w:sz w:val="24"/>
          <w:szCs w:val="24"/>
          <w:lang w:eastAsia="hr-HR"/>
        </w:rPr>
        <w:t xml:space="preserve">TRS 3 za Podržavanje </w:t>
      </w:r>
      <w:r w:rsidRPr="009B2E82">
        <w:rPr>
          <w:rFonts w:ascii="Times New Roman" w:eastAsia="Times New Roman" w:hAnsi="Times New Roman" w:cs="Times New Roman"/>
          <w:i/>
          <w:color w:val="000000"/>
          <w:spacing w:val="4"/>
          <w:sz w:val="24"/>
          <w:szCs w:val="24"/>
          <w:lang w:eastAsia="hr-HR"/>
        </w:rPr>
        <w:t>prijelaza na gospodarstvo s niskom emisijom ugljika u svim sektorima</w:t>
      </w:r>
      <w:r w:rsidRPr="009B2E82">
        <w:rPr>
          <w:rFonts w:ascii="Times New Roman" w:eastAsia="Times New Roman" w:hAnsi="Times New Roman" w:cs="Times New Roman"/>
          <w:color w:val="000000"/>
          <w:spacing w:val="4"/>
          <w:sz w:val="24"/>
          <w:szCs w:val="24"/>
          <w:lang w:eastAsia="hr-HR"/>
        </w:rPr>
        <w:t xml:space="preserve"> </w:t>
      </w:r>
      <w:r w:rsidRPr="009B2E82">
        <w:rPr>
          <w:rFonts w:ascii="Times New Roman" w:eastAsia="Times New Roman" w:hAnsi="Times New Roman" w:cs="Times New Roman"/>
          <w:i/>
          <w:color w:val="000000"/>
          <w:spacing w:val="4"/>
          <w:sz w:val="24"/>
          <w:szCs w:val="24"/>
          <w:lang w:eastAsia="hr-HR"/>
        </w:rPr>
        <w:t>(opisano u članku</w:t>
      </w:r>
      <w:r w:rsidRPr="009B2E82">
        <w:rPr>
          <w:rFonts w:ascii="Times New Roman" w:eastAsia="Times New Roman" w:hAnsi="Times New Roman" w:cs="Times New Roman"/>
          <w:i/>
          <w:iCs/>
          <w:color w:val="000000"/>
          <w:spacing w:val="1"/>
          <w:sz w:val="24"/>
          <w:szCs w:val="24"/>
          <w:lang w:eastAsia="hr-HR"/>
        </w:rPr>
        <w:t xml:space="preserve"> 9(4)), Promicanje prilagodbe klimatskim promjenama i sprječavanje rizika</w:t>
      </w:r>
      <w:r w:rsidRPr="009B2E82">
        <w:rPr>
          <w:rFonts w:ascii="Times New Roman" w:eastAsia="Times New Roman" w:hAnsi="Times New Roman" w:cs="Times New Roman"/>
          <w:i/>
          <w:iCs/>
          <w:color w:val="000000"/>
          <w:spacing w:val="4"/>
          <w:sz w:val="24"/>
          <w:szCs w:val="24"/>
          <w:lang w:eastAsia="hr-HR"/>
        </w:rPr>
        <w:t xml:space="preserve"> </w:t>
      </w:r>
      <w:r w:rsidRPr="009B2E82">
        <w:rPr>
          <w:rFonts w:ascii="Times New Roman" w:eastAsia="Times New Roman" w:hAnsi="Times New Roman" w:cs="Times New Roman"/>
          <w:i/>
          <w:color w:val="000000"/>
          <w:spacing w:val="4"/>
          <w:sz w:val="24"/>
          <w:szCs w:val="24"/>
          <w:lang w:eastAsia="hr-HR"/>
        </w:rPr>
        <w:t>(opisano u članku</w:t>
      </w:r>
      <w:r w:rsidRPr="009B2E82">
        <w:rPr>
          <w:rFonts w:ascii="Times New Roman" w:eastAsia="Times New Roman" w:hAnsi="Times New Roman" w:cs="Times New Roman"/>
          <w:i/>
          <w:iCs/>
          <w:color w:val="000000"/>
          <w:spacing w:val="1"/>
          <w:sz w:val="24"/>
          <w:szCs w:val="24"/>
          <w:lang w:eastAsia="hr-HR"/>
        </w:rPr>
        <w:t xml:space="preserve"> 9(5)), i Zaštitu okoliša i promicanje održivog korištenja resursa</w:t>
      </w:r>
      <w:r w:rsidRPr="009B2E82">
        <w:rPr>
          <w:rFonts w:ascii="Times New Roman" w:eastAsia="Times New Roman" w:hAnsi="Times New Roman" w:cs="Times New Roman"/>
          <w:i/>
          <w:iCs/>
          <w:color w:val="000000"/>
          <w:spacing w:val="4"/>
          <w:sz w:val="24"/>
          <w:szCs w:val="24"/>
          <w:lang w:eastAsia="hr-HR"/>
        </w:rPr>
        <w:t xml:space="preserve"> </w:t>
      </w:r>
      <w:r w:rsidRPr="009B2E82">
        <w:rPr>
          <w:rFonts w:ascii="Times New Roman" w:eastAsia="Times New Roman" w:hAnsi="Times New Roman" w:cs="Times New Roman"/>
          <w:i/>
          <w:color w:val="000000"/>
          <w:spacing w:val="4"/>
          <w:sz w:val="24"/>
          <w:szCs w:val="24"/>
          <w:lang w:eastAsia="hr-HR"/>
        </w:rPr>
        <w:t>(opisano u članku</w:t>
      </w:r>
      <w:r w:rsidRPr="009B2E82">
        <w:rPr>
          <w:rFonts w:ascii="Times New Roman" w:eastAsia="Times New Roman" w:hAnsi="Times New Roman" w:cs="Times New Roman"/>
          <w:i/>
          <w:iCs/>
          <w:color w:val="000000"/>
          <w:spacing w:val="1"/>
          <w:sz w:val="24"/>
          <w:szCs w:val="24"/>
          <w:lang w:eastAsia="hr-HR"/>
        </w:rPr>
        <w:t xml:space="preserve"> 9 (6)),</w:t>
      </w:r>
      <w:r w:rsidRPr="009B2E82">
        <w:rPr>
          <w:rFonts w:ascii="Times New Roman" w:eastAsia="Times New Roman" w:hAnsi="Times New Roman" w:cs="Times New Roman"/>
          <w:iCs/>
          <w:color w:val="000000"/>
          <w:spacing w:val="1"/>
          <w:sz w:val="24"/>
          <w:szCs w:val="24"/>
          <w:lang w:eastAsia="hr-HR"/>
        </w:rPr>
        <w:t xml:space="preserve"> pod vodstvom Ministarstva zaštite okoliša i prirode. </w:t>
      </w:r>
    </w:p>
    <w:p w:rsidR="009B2E82" w:rsidRPr="009B2E82" w:rsidRDefault="009B2E82" w:rsidP="009B2E82">
      <w:pPr>
        <w:widowControl w:val="0"/>
        <w:numPr>
          <w:ilvl w:val="0"/>
          <w:numId w:val="21"/>
        </w:numPr>
        <w:shd w:val="clear" w:color="auto" w:fill="FFFFFF"/>
        <w:tabs>
          <w:tab w:val="left" w:pos="1507"/>
        </w:tabs>
        <w:autoSpaceDE w:val="0"/>
        <w:autoSpaceDN w:val="0"/>
        <w:adjustRightInd w:val="0"/>
        <w:spacing w:before="110" w:after="0" w:line="278" w:lineRule="exact"/>
        <w:ind w:left="1507" w:right="883" w:hanging="293"/>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4"/>
          <w:sz w:val="24"/>
          <w:szCs w:val="24"/>
          <w:lang w:eastAsia="hr-HR"/>
        </w:rPr>
        <w:t xml:space="preserve">TRS 4 za </w:t>
      </w:r>
      <w:r w:rsidRPr="009B2E82">
        <w:rPr>
          <w:rFonts w:ascii="Times New Roman" w:eastAsia="Times New Roman" w:hAnsi="Times New Roman" w:cs="Times New Roman"/>
          <w:i/>
          <w:color w:val="000000"/>
          <w:spacing w:val="4"/>
          <w:sz w:val="24"/>
          <w:szCs w:val="24"/>
          <w:lang w:eastAsia="hr-HR"/>
        </w:rPr>
        <w:t>Promicanje održivog prometa i uklanjanje uskih grla u ključnoj infrastrukturi (opisano u Članku</w:t>
      </w:r>
      <w:r w:rsidRPr="009B2E82">
        <w:rPr>
          <w:rFonts w:ascii="Times New Roman" w:eastAsia="Times New Roman" w:hAnsi="Times New Roman" w:cs="Times New Roman"/>
          <w:i/>
          <w:iCs/>
          <w:color w:val="000000"/>
          <w:spacing w:val="4"/>
          <w:sz w:val="24"/>
          <w:szCs w:val="24"/>
          <w:lang w:eastAsia="hr-HR"/>
        </w:rPr>
        <w:t xml:space="preserve"> 9(7)), </w:t>
      </w:r>
      <w:r w:rsidRPr="009B2E82">
        <w:rPr>
          <w:rFonts w:ascii="Times New Roman" w:eastAsia="Times New Roman" w:hAnsi="Times New Roman" w:cs="Times New Roman"/>
          <w:color w:val="000000"/>
          <w:spacing w:val="4"/>
          <w:sz w:val="24"/>
          <w:szCs w:val="24"/>
          <w:lang w:eastAsia="hr-HR"/>
        </w:rPr>
        <w:t>pod vodstvom Ministarstva pomorstva, prometa i veza</w:t>
      </w:r>
    </w:p>
    <w:p w:rsidR="009B2E82" w:rsidRPr="009B2E82" w:rsidRDefault="009B2E82" w:rsidP="009B2E82">
      <w:pPr>
        <w:widowControl w:val="0"/>
        <w:numPr>
          <w:ilvl w:val="0"/>
          <w:numId w:val="21"/>
        </w:numPr>
        <w:shd w:val="clear" w:color="auto" w:fill="FFFFFF"/>
        <w:tabs>
          <w:tab w:val="left" w:pos="1507"/>
        </w:tabs>
        <w:autoSpaceDE w:val="0"/>
        <w:autoSpaceDN w:val="0"/>
        <w:adjustRightInd w:val="0"/>
        <w:spacing w:before="110" w:after="0" w:line="274" w:lineRule="exact"/>
        <w:ind w:left="1507" w:right="883" w:hanging="293"/>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4"/>
          <w:sz w:val="24"/>
          <w:szCs w:val="24"/>
          <w:lang w:eastAsia="hr-HR"/>
        </w:rPr>
        <w:t xml:space="preserve">TRS 5 za </w:t>
      </w:r>
      <w:r w:rsidRPr="009B2E82">
        <w:rPr>
          <w:rFonts w:ascii="Times New Roman" w:eastAsia="Times New Roman" w:hAnsi="Times New Roman" w:cs="Times New Roman"/>
          <w:i/>
          <w:color w:val="000000"/>
          <w:spacing w:val="4"/>
          <w:sz w:val="24"/>
          <w:szCs w:val="24"/>
          <w:lang w:eastAsia="hr-HR"/>
        </w:rPr>
        <w:t xml:space="preserve">Promicanje zapošljavanja i potporu za mobilnost radne snage (opisano u članku 9 (8)), Ulaganje u stjecanje vještina, obrazovanje i cjeloživotno učenje (opisano u članku 9 (10)) i Promicanje socijalnog uključivanja i borbe protiv siromaštva (opisano u članku </w:t>
      </w:r>
      <w:r w:rsidRPr="009B2E82">
        <w:rPr>
          <w:rFonts w:ascii="Times New Roman" w:eastAsia="Times New Roman" w:hAnsi="Times New Roman" w:cs="Times New Roman"/>
          <w:i/>
          <w:iCs/>
          <w:color w:val="000000"/>
          <w:spacing w:val="4"/>
          <w:sz w:val="24"/>
          <w:szCs w:val="24"/>
          <w:lang w:eastAsia="hr-HR"/>
        </w:rPr>
        <w:t xml:space="preserve">9(9)), </w:t>
      </w:r>
      <w:r w:rsidRPr="009B2E82">
        <w:rPr>
          <w:rFonts w:ascii="Times New Roman" w:eastAsia="Times New Roman" w:hAnsi="Times New Roman" w:cs="Times New Roman"/>
          <w:color w:val="000000"/>
          <w:spacing w:val="4"/>
          <w:sz w:val="24"/>
          <w:szCs w:val="24"/>
          <w:lang w:eastAsia="hr-HR"/>
        </w:rPr>
        <w:t xml:space="preserve">pod vodstvom Ministarstva rada i mirovinskog sustava </w:t>
      </w:r>
    </w:p>
    <w:p w:rsidR="009B2E82" w:rsidRPr="009B2E82" w:rsidRDefault="009B2E82" w:rsidP="009B2E82">
      <w:pPr>
        <w:widowControl w:val="0"/>
        <w:numPr>
          <w:ilvl w:val="0"/>
          <w:numId w:val="21"/>
        </w:numPr>
        <w:shd w:val="clear" w:color="auto" w:fill="FFFFFF"/>
        <w:tabs>
          <w:tab w:val="left" w:pos="1507"/>
        </w:tabs>
        <w:autoSpaceDE w:val="0"/>
        <w:autoSpaceDN w:val="0"/>
        <w:adjustRightInd w:val="0"/>
        <w:spacing w:before="269" w:after="0" w:line="278" w:lineRule="exact"/>
        <w:ind w:left="1507" w:right="883" w:hanging="293"/>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4"/>
          <w:sz w:val="24"/>
          <w:szCs w:val="24"/>
          <w:lang w:eastAsia="hr-HR"/>
        </w:rPr>
        <w:t xml:space="preserve">TRS 6 za </w:t>
      </w:r>
      <w:r w:rsidRPr="009B2E82">
        <w:rPr>
          <w:rFonts w:ascii="Times New Roman" w:eastAsia="Times New Roman" w:hAnsi="Times New Roman" w:cs="Times New Roman"/>
          <w:i/>
          <w:color w:val="000000"/>
          <w:spacing w:val="4"/>
          <w:sz w:val="24"/>
          <w:szCs w:val="24"/>
          <w:lang w:eastAsia="hr-HR"/>
        </w:rPr>
        <w:t xml:space="preserve">Jačanje institucionalnih kapaciteta te učinkovita javna uprava (opisano u </w:t>
      </w:r>
      <w:r w:rsidRPr="009B2E82">
        <w:rPr>
          <w:rFonts w:ascii="Times New Roman" w:eastAsia="Times New Roman" w:hAnsi="Times New Roman" w:cs="Times New Roman"/>
          <w:i/>
          <w:iCs/>
          <w:color w:val="000000"/>
          <w:spacing w:val="4"/>
          <w:sz w:val="24"/>
          <w:szCs w:val="24"/>
          <w:lang w:eastAsia="hr-HR"/>
        </w:rPr>
        <w:t xml:space="preserve">članku 9(11)), </w:t>
      </w:r>
      <w:r w:rsidRPr="009B2E82">
        <w:rPr>
          <w:rFonts w:ascii="Times New Roman" w:eastAsia="Times New Roman" w:hAnsi="Times New Roman" w:cs="Times New Roman"/>
          <w:color w:val="000000"/>
          <w:spacing w:val="4"/>
          <w:sz w:val="24"/>
          <w:szCs w:val="24"/>
          <w:lang w:eastAsia="hr-HR"/>
        </w:rPr>
        <w:t>pod vodstvom Ministarstva uprave.</w:t>
      </w:r>
    </w:p>
    <w:p w:rsidR="009B2E82" w:rsidRPr="009B2E82" w:rsidRDefault="009B2E82" w:rsidP="009B2E82">
      <w:pPr>
        <w:widowControl w:val="0"/>
        <w:shd w:val="clear" w:color="auto" w:fill="FFFFFF"/>
        <w:autoSpaceDE w:val="0"/>
        <w:autoSpaceDN w:val="0"/>
        <w:adjustRightInd w:val="0"/>
        <w:spacing w:before="283" w:after="0" w:line="274" w:lineRule="exact"/>
        <w:ind w:left="816" w:right="126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Postupak izrade programa u Hrvatskoj osmišljen je i proveden u skladu s Člankom 5 CPR-a (Uredbe o utvrđivanju zajedničkih odredbi), poštujući načela partnerstva od samoga početka procesa. Uspostava TRS-ova temeljila se na načelu partnerstva i osim predstavnika javne uprave, TRS-ovi su okupili i predstavnike socijalnih partnera, civilnog sektora i regionalnih i lokalnih tijela uprave koji su aktivno sudjelovali u njihovu radu. </w:t>
      </w:r>
      <w:r w:rsidRPr="009B2E82">
        <w:rPr>
          <w:rFonts w:ascii="Times New Roman" w:eastAsia="Times New Roman" w:hAnsi="Times New Roman" w:cs="Times New Roman"/>
          <w:b/>
          <w:color w:val="000000"/>
          <w:spacing w:val="-1"/>
          <w:sz w:val="24"/>
          <w:szCs w:val="24"/>
          <w:lang w:eastAsia="hr-HR"/>
        </w:rPr>
        <w:t>Popis ustanova</w:t>
      </w:r>
      <w:r w:rsidRPr="009B2E82">
        <w:rPr>
          <w:rFonts w:ascii="Times New Roman" w:eastAsia="Times New Roman" w:hAnsi="Times New Roman" w:cs="Times New Roman"/>
          <w:color w:val="000000"/>
          <w:spacing w:val="-1"/>
          <w:sz w:val="24"/>
          <w:szCs w:val="24"/>
          <w:lang w:eastAsia="hr-HR"/>
        </w:rPr>
        <w:t xml:space="preserve"> koje su sudjelovale u radu TRS-ova dodan je ovom dokumentu, dok je potpuni popis članova dostupan javnosti na internetskoj stranici MRRFEU-a. Svako je resorno ministarstvo koordiniralo podatke članova TRS-ova i osiguralo je tekstove operativnih programa i prijedloge projekata za bazu projekta. </w:t>
      </w:r>
    </w:p>
    <w:p w:rsidR="009B2E82" w:rsidRPr="009B2E82" w:rsidRDefault="009B2E82" w:rsidP="009B2E82">
      <w:pPr>
        <w:widowControl w:val="0"/>
        <w:shd w:val="clear" w:color="auto" w:fill="FFFFFF"/>
        <w:autoSpaceDE w:val="0"/>
        <w:autoSpaceDN w:val="0"/>
        <w:adjustRightInd w:val="0"/>
        <w:spacing w:before="278" w:after="0" w:line="274" w:lineRule="exact"/>
        <w:ind w:left="821" w:right="1243"/>
        <w:jc w:val="both"/>
        <w:rPr>
          <w:rFonts w:ascii="Times New Roman" w:eastAsia="Times New Roman" w:hAnsi="Times New Roman" w:cs="Times New Roman"/>
          <w:color w:val="000000"/>
          <w:spacing w:val="4"/>
          <w:sz w:val="24"/>
          <w:szCs w:val="24"/>
          <w:lang w:eastAsia="hr-HR"/>
        </w:rPr>
      </w:pPr>
      <w:r w:rsidRPr="009B2E82">
        <w:rPr>
          <w:rFonts w:ascii="Times New Roman" w:eastAsia="Times New Roman" w:hAnsi="Times New Roman" w:cs="Times New Roman"/>
          <w:color w:val="000000"/>
          <w:spacing w:val="4"/>
          <w:sz w:val="24"/>
          <w:szCs w:val="24"/>
          <w:lang w:eastAsia="hr-HR"/>
        </w:rPr>
        <w:t xml:space="preserve">Budući da je važnost postupka izrade programa općenito prepoznata, iskazano je veliko zanimanje za uključivanje u procese, posebno u organizacijama civilnog društva. Kako bi osigurali transparentnost i pravednost u postupku odabira, predstavnici organizacija civilnog društva (OCD-ova) i drugih nevladinih organizacija (NVO-ova) odabrani su putem otvorenog poziva za imenovanje, pri čemu su članovi Vijeća za razvoj civilnog društva odlučili o predstavnicima </w:t>
      </w:r>
      <w:r w:rsidRPr="009B2E82">
        <w:rPr>
          <w:rFonts w:ascii="Times New Roman" w:eastAsia="Times New Roman" w:hAnsi="Times New Roman" w:cs="Times New Roman"/>
          <w:b/>
          <w:color w:val="000000"/>
          <w:spacing w:val="4"/>
          <w:sz w:val="24"/>
          <w:szCs w:val="24"/>
          <w:lang w:eastAsia="hr-HR"/>
        </w:rPr>
        <w:t>metodom najvećeg broja glasova</w:t>
      </w:r>
      <w:r w:rsidRPr="009B2E82">
        <w:rPr>
          <w:rFonts w:ascii="Times New Roman" w:eastAsia="Times New Roman" w:hAnsi="Times New Roman" w:cs="Times New Roman"/>
          <w:color w:val="000000"/>
          <w:spacing w:val="4"/>
          <w:sz w:val="24"/>
          <w:szCs w:val="24"/>
          <w:lang w:eastAsia="hr-HR"/>
        </w:rPr>
        <w:t xml:space="preserve">. Predstavnici socijalnih partnera bili su uključeni u rad </w:t>
      </w:r>
      <w:r w:rsidRPr="009B2E82">
        <w:rPr>
          <w:rFonts w:ascii="Times New Roman" w:eastAsia="Times New Roman" w:hAnsi="Times New Roman" w:cs="Times New Roman"/>
          <w:i/>
          <w:color w:val="000000"/>
          <w:spacing w:val="-1"/>
          <w:sz w:val="24"/>
          <w:szCs w:val="24"/>
          <w:lang w:eastAsia="hr-HR"/>
        </w:rPr>
        <w:t>TRS</w:t>
      </w:r>
      <w:r w:rsidRPr="009B2E82">
        <w:rPr>
          <w:rFonts w:ascii="Times New Roman" w:eastAsia="Times New Roman" w:hAnsi="Times New Roman" w:cs="Times New Roman"/>
          <w:color w:val="000000"/>
          <w:spacing w:val="-1"/>
          <w:sz w:val="24"/>
          <w:szCs w:val="24"/>
          <w:lang w:eastAsia="hr-HR"/>
        </w:rPr>
        <w:t xml:space="preserve">-ova vezanog uz zapošljavanje, socijalnu politiku i obrazovanje. </w:t>
      </w:r>
    </w:p>
    <w:p w:rsidR="009B2E82" w:rsidRPr="009B2E82" w:rsidRDefault="009B2E82" w:rsidP="009B2E82">
      <w:pPr>
        <w:widowControl w:val="0"/>
        <w:shd w:val="clear" w:color="auto" w:fill="FFFFFF"/>
        <w:autoSpaceDE w:val="0"/>
        <w:autoSpaceDN w:val="0"/>
        <w:adjustRightInd w:val="0"/>
        <w:spacing w:before="278" w:after="0" w:line="274" w:lineRule="exact"/>
        <w:ind w:left="821" w:right="1243"/>
        <w:jc w:val="both"/>
        <w:rPr>
          <w:rFonts w:ascii="Arial" w:eastAsia="Times New Roman" w:hAnsi="Arial" w:cs="Arial"/>
          <w:sz w:val="20"/>
          <w:szCs w:val="20"/>
          <w:lang w:eastAsia="hr-HR"/>
        </w:rPr>
        <w:sectPr w:rsidR="009B2E82" w:rsidRPr="009B2E82">
          <w:pgSz w:w="11909" w:h="16834"/>
          <w:pgMar w:top="910" w:right="435" w:bottom="360" w:left="770" w:header="720" w:footer="720" w:gutter="0"/>
          <w:cols w:space="60"/>
          <w:noEndnote/>
        </w:sectPr>
      </w:pPr>
      <w:r w:rsidRPr="009B2E82">
        <w:rPr>
          <w:rFonts w:ascii="Times New Roman" w:eastAsia="Times New Roman" w:hAnsi="Times New Roman" w:cs="Times New Roman"/>
          <w:color w:val="000000"/>
          <w:spacing w:val="-1"/>
          <w:sz w:val="24"/>
          <w:szCs w:val="24"/>
          <w:lang w:eastAsia="hr-HR"/>
        </w:rPr>
        <w:t>Prvo predstavljanje</w:t>
      </w:r>
      <w:r w:rsidRPr="009B2E82">
        <w:rPr>
          <w:rFonts w:ascii="Times New Roman" w:eastAsia="Times New Roman" w:hAnsi="Times New Roman" w:cs="Times New Roman"/>
          <w:i/>
          <w:color w:val="000000"/>
          <w:spacing w:val="-1"/>
          <w:sz w:val="24"/>
          <w:szCs w:val="24"/>
          <w:lang w:eastAsia="hr-HR"/>
        </w:rPr>
        <w:t xml:space="preserve"> </w:t>
      </w:r>
      <w:r w:rsidRPr="009B2E82">
        <w:rPr>
          <w:rFonts w:ascii="Times New Roman" w:eastAsia="Times New Roman" w:hAnsi="Times New Roman" w:cs="Times New Roman"/>
          <w:color w:val="000000"/>
          <w:spacing w:val="-1"/>
          <w:sz w:val="24"/>
          <w:szCs w:val="24"/>
          <w:lang w:eastAsia="hr-HR"/>
        </w:rPr>
        <w:t xml:space="preserve">prepoznatih područja intervencije i mogućnosti iznošenja mišljenja o važnosti odabranih prioriteta izneseno je predstavnicima dionika i široj javnosti na </w:t>
      </w:r>
      <w:r w:rsidRPr="009B2E82">
        <w:rPr>
          <w:rFonts w:ascii="Times New Roman" w:eastAsia="Times New Roman" w:hAnsi="Times New Roman" w:cs="Times New Roman"/>
          <w:b/>
          <w:color w:val="000000"/>
          <w:spacing w:val="-1"/>
          <w:sz w:val="24"/>
          <w:szCs w:val="24"/>
          <w:lang w:eastAsia="hr-HR"/>
        </w:rPr>
        <w:t>javnoj tribini 6. i 7. lipnja u Zagrebu</w:t>
      </w:r>
      <w:r w:rsidRPr="009B2E82">
        <w:rPr>
          <w:rFonts w:ascii="Times New Roman" w:eastAsia="Times New Roman" w:hAnsi="Times New Roman" w:cs="Times New Roman"/>
          <w:color w:val="000000"/>
          <w:spacing w:val="-1"/>
          <w:sz w:val="24"/>
          <w:szCs w:val="24"/>
          <w:lang w:eastAsia="hr-HR"/>
        </w:rPr>
        <w:t>. Osim predstavnika javne uprave, bili su uključeni i predstavnici znanstvene zajednice , znanstveno-istraživačkih instituta,</w:t>
      </w:r>
    </w:p>
    <w:p w:rsidR="009B2E82" w:rsidRPr="009B2E82" w:rsidRDefault="009B2E82" w:rsidP="009B2E82">
      <w:pPr>
        <w:widowControl w:val="0"/>
        <w:shd w:val="clear" w:color="auto" w:fill="FFFFFF"/>
        <w:autoSpaceDE w:val="0"/>
        <w:autoSpaceDN w:val="0"/>
        <w:adjustRightInd w:val="0"/>
        <w:spacing w:after="0" w:line="274" w:lineRule="exact"/>
        <w:ind w:left="816" w:right="1243"/>
        <w:jc w:val="both"/>
        <w:rPr>
          <w:rFonts w:ascii="Times New Roman" w:eastAsia="Times New Roman" w:hAnsi="Times New Roman" w:cs="Times New Roman"/>
          <w:color w:val="000000"/>
          <w:spacing w:val="9"/>
          <w:sz w:val="24"/>
          <w:szCs w:val="24"/>
          <w:lang w:eastAsia="hr-HR"/>
        </w:rPr>
      </w:pPr>
      <w:r w:rsidRPr="009B2E82">
        <w:rPr>
          <w:rFonts w:ascii="Times New Roman" w:eastAsia="Times New Roman" w:hAnsi="Times New Roman" w:cs="Times New Roman"/>
          <w:color w:val="000000"/>
          <w:spacing w:val="-1"/>
          <w:sz w:val="24"/>
          <w:szCs w:val="24"/>
          <w:lang w:eastAsia="hr-HR"/>
        </w:rPr>
        <w:lastRenderedPageBreak/>
        <w:t xml:space="preserve">predstavnika civilnog društva, udruženja regionalnih i lokalnih vladinih jedinica, udruženja poslodavaca, radničkih sindikata i dr. Cilj je konferencije bio podijeliti opće informacije o postupku izrade programa i pokrenuti niz odvojenih rasprava o potrebama ulaganja po tematskim ciljevima. Slaganje o potrebama ulaganja bilo je polazište za izradu tekstova programske dokumentacije. Istovremeno, organizirano je savjetovanje putem interneta na internetskoj stranici </w:t>
      </w:r>
      <w:r w:rsidRPr="009B2E82">
        <w:rPr>
          <w:rFonts w:ascii="Times New Roman" w:eastAsia="Times New Roman" w:hAnsi="Times New Roman" w:cs="Times New Roman"/>
          <w:color w:val="000000"/>
          <w:spacing w:val="9"/>
          <w:sz w:val="24"/>
          <w:szCs w:val="24"/>
          <w:lang w:eastAsia="hr-HR"/>
        </w:rPr>
        <w:t>MRRFEU-a čime se pružila mogućnost ispunjavanja upitnika koji su podijeljeni na konferenciji. Javno savjetovanje preko interneta trajalo je do početka srpnja. Mogućnost popunjavanja upitnika i glasanja za preferirani redoslijed prioriteta iskoristilo je 560 sudionika konferencije, a 3.564 odgovora prikupljeno je on-line. Pitanja obrazovanja pobudila su najveći interes javnosti</w:t>
      </w:r>
      <w:r w:rsidRPr="009B2E82">
        <w:rPr>
          <w:rFonts w:ascii="Times New Roman" w:eastAsia="Times New Roman" w:hAnsi="Times New Roman" w:cs="Times New Roman"/>
          <w:b/>
          <w:color w:val="000000"/>
          <w:spacing w:val="9"/>
          <w:sz w:val="24"/>
          <w:szCs w:val="24"/>
          <w:lang w:eastAsia="hr-HR"/>
        </w:rPr>
        <w:t xml:space="preserve">. </w:t>
      </w:r>
      <w:r w:rsidRPr="009B2E82">
        <w:rPr>
          <w:rFonts w:ascii="Times New Roman" w:eastAsia="Times New Roman" w:hAnsi="Times New Roman" w:cs="Times New Roman"/>
          <w:color w:val="000000"/>
          <w:spacing w:val="9"/>
          <w:sz w:val="24"/>
          <w:szCs w:val="24"/>
          <w:lang w:eastAsia="hr-HR"/>
        </w:rPr>
        <w:t xml:space="preserve">Svi su odgovori i osvrti iz ankete objavljeni on-line i uzeti su u razmatranje tijekom mijenjanja programskih dokumenata. </w:t>
      </w:r>
    </w:p>
    <w:p w:rsidR="009B2E82" w:rsidRPr="009B2E82" w:rsidRDefault="009B2E82" w:rsidP="009B2E82">
      <w:pPr>
        <w:widowControl w:val="0"/>
        <w:shd w:val="clear" w:color="auto" w:fill="FFFFFF"/>
        <w:autoSpaceDE w:val="0"/>
        <w:autoSpaceDN w:val="0"/>
        <w:adjustRightInd w:val="0"/>
        <w:spacing w:after="0" w:line="274" w:lineRule="exact"/>
        <w:ind w:left="816" w:right="1243"/>
        <w:jc w:val="both"/>
        <w:rPr>
          <w:rFonts w:ascii="Times New Roman" w:eastAsia="Times New Roman" w:hAnsi="Times New Roman" w:cs="Times New Roman"/>
          <w:color w:val="000000"/>
          <w:spacing w:val="9"/>
          <w:sz w:val="24"/>
          <w:szCs w:val="24"/>
          <w:lang w:eastAsia="hr-HR"/>
        </w:rPr>
      </w:pPr>
    </w:p>
    <w:p w:rsidR="009B2E82" w:rsidRPr="009B2E82" w:rsidRDefault="009B2E82" w:rsidP="009B2E82">
      <w:pPr>
        <w:widowControl w:val="0"/>
        <w:shd w:val="clear" w:color="auto" w:fill="FFFFFF"/>
        <w:autoSpaceDE w:val="0"/>
        <w:autoSpaceDN w:val="0"/>
        <w:adjustRightInd w:val="0"/>
        <w:spacing w:after="0" w:line="274" w:lineRule="exact"/>
        <w:ind w:left="816" w:right="1243"/>
        <w:jc w:val="both"/>
        <w:rPr>
          <w:rFonts w:ascii="Times New Roman" w:eastAsia="Times New Roman" w:hAnsi="Times New Roman" w:cs="Times New Roman"/>
          <w:color w:val="000000"/>
          <w:spacing w:val="4"/>
          <w:sz w:val="24"/>
          <w:szCs w:val="24"/>
          <w:lang w:eastAsia="hr-HR"/>
        </w:rPr>
      </w:pPr>
      <w:r w:rsidRPr="009B2E82">
        <w:rPr>
          <w:rFonts w:ascii="Times New Roman" w:eastAsia="Times New Roman" w:hAnsi="Times New Roman" w:cs="Times New Roman"/>
          <w:color w:val="000000"/>
          <w:spacing w:val="4"/>
          <w:sz w:val="24"/>
          <w:szCs w:val="24"/>
          <w:lang w:eastAsia="hr-HR"/>
        </w:rPr>
        <w:t xml:space="preserve">Drugi krug javnog savjetovanja održan je od </w:t>
      </w:r>
      <w:r w:rsidRPr="009B2E82">
        <w:rPr>
          <w:rFonts w:ascii="Times New Roman" w:eastAsia="Times New Roman" w:hAnsi="Times New Roman" w:cs="Times New Roman"/>
          <w:b/>
          <w:color w:val="000000"/>
          <w:spacing w:val="4"/>
          <w:sz w:val="24"/>
          <w:szCs w:val="24"/>
          <w:lang w:eastAsia="hr-HR"/>
        </w:rPr>
        <w:t>4. do 6. prosinca u Zagrebu</w:t>
      </w:r>
      <w:r w:rsidRPr="009B2E82">
        <w:rPr>
          <w:rFonts w:ascii="Times New Roman" w:eastAsia="Times New Roman" w:hAnsi="Times New Roman" w:cs="Times New Roman"/>
          <w:color w:val="000000"/>
          <w:spacing w:val="4"/>
          <w:sz w:val="24"/>
          <w:szCs w:val="24"/>
          <w:lang w:eastAsia="hr-HR"/>
        </w:rPr>
        <w:t xml:space="preserve">, a sudjelovali su svi TRS-ovi uključujući Ministarstvo poljoprivrede koje je predstavilo Plan ruralnog razvoja i OP EFPR-a. U svrhu prikupljanja povratnih informacija o utvrđenim strategijama ulaganja, </w:t>
      </w:r>
      <w:r w:rsidRPr="009B2E82">
        <w:rPr>
          <w:rFonts w:ascii="Times New Roman" w:eastAsia="Times New Roman" w:hAnsi="Times New Roman" w:cs="Times New Roman"/>
          <w:color w:val="000000"/>
          <w:sz w:val="24"/>
          <w:szCs w:val="24"/>
          <w:lang w:eastAsia="hr-HR"/>
        </w:rPr>
        <w:t xml:space="preserve">MRRFEU je pripremio konzultacijski dokument, a odgovori su prikupljani tijekom prosinca 2013. i siječnja 2014. Na javnom savjetovanju održana su vrlo detaljna sektorska savjetovanja za TRS-ove , s ukupno 845 sudionika na trodnevnom događanju. Najveći interes, u smislu sudionika i rasprava, pokazan je za </w:t>
      </w:r>
      <w:r w:rsidRPr="009B2E82">
        <w:rPr>
          <w:rFonts w:ascii="Times New Roman" w:eastAsia="Times New Roman" w:hAnsi="Times New Roman" w:cs="Times New Roman"/>
          <w:i/>
          <w:color w:val="000000"/>
          <w:sz w:val="24"/>
          <w:szCs w:val="24"/>
          <w:lang w:eastAsia="hr-HR"/>
        </w:rPr>
        <w:t>Inovativno i konkurentno okruženje poslovanja i istraživanja</w:t>
      </w:r>
      <w:r w:rsidRPr="009B2E82">
        <w:rPr>
          <w:rFonts w:ascii="Times New Roman" w:eastAsia="Times New Roman" w:hAnsi="Times New Roman" w:cs="Times New Roman"/>
          <w:color w:val="000000"/>
          <w:sz w:val="24"/>
          <w:szCs w:val="24"/>
          <w:lang w:eastAsia="hr-HR"/>
        </w:rPr>
        <w:t>. Komentari p</w:t>
      </w:r>
      <w:r w:rsidRPr="009B2E82">
        <w:rPr>
          <w:rFonts w:ascii="Times New Roman" w:eastAsia="Times New Roman" w:hAnsi="Times New Roman" w:cs="Times New Roman"/>
          <w:iCs/>
          <w:color w:val="000000"/>
          <w:spacing w:val="2"/>
          <w:sz w:val="24"/>
          <w:szCs w:val="24"/>
          <w:lang w:eastAsia="hr-HR"/>
        </w:rPr>
        <w:t>artnera i dionika sadržavali su komentare i prijedloge vezane uz formuliranje teksta i predložene specifične aktivnosti. Ti su komentari uključeni u tekstove OP-a.</w:t>
      </w:r>
    </w:p>
    <w:p w:rsidR="009B2E82" w:rsidRPr="009B2E82" w:rsidRDefault="009B2E82" w:rsidP="009B2E82">
      <w:pPr>
        <w:widowControl w:val="0"/>
        <w:shd w:val="clear" w:color="auto" w:fill="FFFFFF"/>
        <w:autoSpaceDE w:val="0"/>
        <w:autoSpaceDN w:val="0"/>
        <w:adjustRightInd w:val="0"/>
        <w:spacing w:after="0" w:line="274" w:lineRule="exact"/>
        <w:ind w:left="816" w:right="1248"/>
        <w:jc w:val="both"/>
        <w:rPr>
          <w:rFonts w:ascii="Times New Roman" w:eastAsia="Times New Roman" w:hAnsi="Times New Roman" w:cs="Times New Roman"/>
          <w:color w:val="000000"/>
          <w:spacing w:val="1"/>
          <w:sz w:val="24"/>
          <w:szCs w:val="24"/>
          <w:lang w:eastAsia="hr-HR"/>
        </w:rPr>
      </w:pPr>
    </w:p>
    <w:p w:rsidR="009B2E82" w:rsidRPr="009B2E82" w:rsidRDefault="009B2E82" w:rsidP="009B2E82">
      <w:pPr>
        <w:widowControl w:val="0"/>
        <w:shd w:val="clear" w:color="auto" w:fill="FFFFFF"/>
        <w:autoSpaceDE w:val="0"/>
        <w:autoSpaceDN w:val="0"/>
        <w:adjustRightInd w:val="0"/>
        <w:spacing w:before="274" w:after="0" w:line="274" w:lineRule="exact"/>
        <w:ind w:left="816" w:right="1272"/>
        <w:jc w:val="both"/>
        <w:rPr>
          <w:rFonts w:ascii="Times New Roman" w:eastAsia="Times New Roman" w:hAnsi="Times New Roman" w:cs="Times New Roman"/>
          <w:color w:val="000000"/>
          <w:spacing w:val="4"/>
          <w:sz w:val="24"/>
          <w:szCs w:val="24"/>
          <w:lang w:eastAsia="hr-HR"/>
        </w:rPr>
      </w:pPr>
      <w:r w:rsidRPr="009B2E82">
        <w:rPr>
          <w:rFonts w:ascii="Times New Roman" w:eastAsia="Times New Roman" w:hAnsi="Times New Roman" w:cs="Times New Roman"/>
          <w:b/>
          <w:bCs/>
          <w:color w:val="000000"/>
          <w:sz w:val="24"/>
          <w:szCs w:val="24"/>
          <w:lang w:eastAsia="hr-HR"/>
        </w:rPr>
        <w:t xml:space="preserve">Posljednje javno savjetovanje za Operativni program </w:t>
      </w:r>
      <w:r w:rsidRPr="009B2E82">
        <w:rPr>
          <w:rFonts w:ascii="Times New Roman" w:eastAsia="Times New Roman" w:hAnsi="Times New Roman" w:cs="Times New Roman"/>
          <w:bCs/>
          <w:color w:val="000000"/>
          <w:sz w:val="24"/>
          <w:szCs w:val="24"/>
          <w:lang w:eastAsia="hr-HR"/>
        </w:rPr>
        <w:t>organizirano je 29. svibnja 2014. u Zagrebu, gdje su predstavljene prioritetne osi, investicijski prioriteti i specifični ciljevi, kao i financijski podaci vezani uz prepoznate specifične ciljeve. Savjetovanje je nastavljeno putem interneta: materijali s javnih savjetovanja objavljeni su na stranicama MRRFEU-a i na</w:t>
      </w:r>
      <w:r w:rsidRPr="009B2E82">
        <w:rPr>
          <w:rFonts w:ascii="Times New Roman" w:eastAsia="Times New Roman" w:hAnsi="Times New Roman" w:cs="Times New Roman"/>
          <w:color w:val="000000"/>
          <w:spacing w:val="4"/>
          <w:sz w:val="24"/>
          <w:szCs w:val="24"/>
          <w:lang w:eastAsia="hr-HR"/>
        </w:rPr>
        <w:t xml:space="preserve"> </w:t>
      </w:r>
      <w:hyperlink r:id="rId21" w:history="1">
        <w:r w:rsidRPr="009B2E82">
          <w:rPr>
            <w:rFonts w:ascii="Times New Roman" w:eastAsia="Times New Roman" w:hAnsi="Times New Roman" w:cs="Times New Roman"/>
            <w:color w:val="0000FF" w:themeColor="hyperlink"/>
            <w:spacing w:val="4"/>
            <w:sz w:val="24"/>
            <w:szCs w:val="24"/>
            <w:u w:val="single"/>
            <w:lang w:eastAsia="hr-HR"/>
          </w:rPr>
          <w:t>www.strukturnifondovi.hr</w:t>
        </w:r>
      </w:hyperlink>
      <w:r w:rsidRPr="009B2E82">
        <w:rPr>
          <w:rFonts w:ascii="Times New Roman" w:eastAsia="Times New Roman" w:hAnsi="Times New Roman" w:cs="Times New Roman"/>
          <w:color w:val="000000"/>
          <w:spacing w:val="4"/>
          <w:sz w:val="24"/>
          <w:szCs w:val="24"/>
          <w:lang w:eastAsia="hr-HR"/>
        </w:rPr>
        <w:t>, zajedno s anketom koja je podijeljena sudionicima za vrijeme savjetovanja. Komentari i mišljenja prikupljeni anketama uzeti su u obzir prilikom pripreme konačnog teksta operativnih programa.</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pacing w:val="3"/>
          <w:sz w:val="24"/>
          <w:szCs w:val="24"/>
          <w:lang w:eastAsia="hr-HR"/>
        </w:rPr>
      </w:pPr>
      <w:r w:rsidRPr="009B2E82">
        <w:rPr>
          <w:rFonts w:ascii="Times New Roman" w:eastAsia="Times New Roman" w:hAnsi="Times New Roman" w:cs="Times New Roman"/>
          <w:color w:val="000000"/>
          <w:spacing w:val="3"/>
          <w:sz w:val="24"/>
          <w:szCs w:val="24"/>
          <w:lang w:eastAsia="hr-HR"/>
        </w:rPr>
        <w:t xml:space="preserve">Usporedno ovim događanjima, 2013. godine organiziran je i niz </w:t>
      </w:r>
      <w:r w:rsidRPr="009B2E82">
        <w:rPr>
          <w:rFonts w:ascii="Times New Roman" w:eastAsia="Times New Roman" w:hAnsi="Times New Roman" w:cs="Times New Roman"/>
          <w:b/>
          <w:color w:val="000000"/>
          <w:spacing w:val="3"/>
          <w:sz w:val="24"/>
          <w:szCs w:val="24"/>
          <w:lang w:eastAsia="hr-HR"/>
        </w:rPr>
        <w:t xml:space="preserve">regionalnih radionica </w:t>
      </w:r>
      <w:r w:rsidRPr="009B2E82">
        <w:rPr>
          <w:rFonts w:ascii="Times New Roman" w:eastAsia="Times New Roman" w:hAnsi="Times New Roman" w:cs="Times New Roman"/>
          <w:color w:val="000000"/>
          <w:spacing w:val="3"/>
          <w:sz w:val="24"/>
          <w:szCs w:val="24"/>
          <w:lang w:eastAsia="hr-HR"/>
        </w:rPr>
        <w:t xml:space="preserve">diljem Hrvatske, spajajući regionalne i lokalne dionike. Takozvana radionica „Regionalni dani EU fondova“ održana je u 12 hrvatskih gradova i pružila je mogućnost razjašnjavanja detalja o procesima planiranja, pripreme i provedbe dviju financijskih perspektiva. Publika je obuhvaćala lokalne i regionalne jedinice samouprave, agencije za regionalni razvoj, organizacije civilnog društva, socijalne partnere, gospodarske komore ,MSP-ove , industriju, sveučilišta i obrazovne ustanove, tvrtke javnog i nejavnog sektora. </w:t>
      </w:r>
    </w:p>
    <w:p w:rsidR="009B2E82" w:rsidRPr="009B2E82" w:rsidRDefault="009B2E82" w:rsidP="009B2E82">
      <w:pPr>
        <w:widowControl w:val="0"/>
        <w:shd w:val="clear" w:color="auto" w:fill="FFFFFF"/>
        <w:autoSpaceDE w:val="0"/>
        <w:autoSpaceDN w:val="0"/>
        <w:adjustRightInd w:val="0"/>
        <w:spacing w:before="278" w:after="0" w:line="274" w:lineRule="exact"/>
        <w:ind w:left="826" w:right="1262"/>
        <w:jc w:val="both"/>
        <w:rPr>
          <w:rFonts w:ascii="Times New Roman" w:eastAsia="Times New Roman" w:hAnsi="Times New Roman" w:cs="Times New Roman"/>
          <w:color w:val="000000"/>
          <w:spacing w:val="1"/>
          <w:sz w:val="24"/>
          <w:szCs w:val="24"/>
          <w:lang w:eastAsia="hr-HR"/>
        </w:rPr>
        <w:sectPr w:rsidR="009B2E82" w:rsidRPr="009B2E82">
          <w:pgSz w:w="11909" w:h="16834"/>
          <w:pgMar w:top="912" w:right="435" w:bottom="360" w:left="770" w:header="720" w:footer="720" w:gutter="0"/>
          <w:cols w:space="60"/>
          <w:noEndnote/>
        </w:sectPr>
      </w:pPr>
      <w:r w:rsidRPr="009B2E82">
        <w:rPr>
          <w:rFonts w:ascii="Times New Roman" w:eastAsia="Times New Roman" w:hAnsi="Times New Roman" w:cs="Times New Roman"/>
          <w:color w:val="000000"/>
          <w:spacing w:val="1"/>
          <w:sz w:val="24"/>
          <w:szCs w:val="24"/>
          <w:lang w:eastAsia="hr-HR"/>
        </w:rPr>
        <w:t xml:space="preserve">Uključenost relevantnih partnera u provođenje, praćenje i ocjenjivanje OP-a Konkurentnost i kohezija osigurat će se prije svega njihovim uključivanjem u odbore za upravljanje OP-om. Suradnja s TRS-ovima nastavit će se uključivanjem partnera u rad </w:t>
      </w:r>
      <w:r w:rsidRPr="009B2E82">
        <w:rPr>
          <w:rFonts w:ascii="Times New Roman" w:eastAsia="Times New Roman" w:hAnsi="Times New Roman" w:cs="Times New Roman"/>
          <w:b/>
          <w:color w:val="000000"/>
          <w:spacing w:val="1"/>
          <w:sz w:val="24"/>
          <w:szCs w:val="24"/>
          <w:lang w:eastAsia="hr-HR"/>
        </w:rPr>
        <w:t>Nacionalnog koordinacijskog odbora</w:t>
      </w:r>
      <w:r w:rsidRPr="009B2E82">
        <w:rPr>
          <w:rFonts w:ascii="Times New Roman" w:eastAsia="Times New Roman" w:hAnsi="Times New Roman" w:cs="Times New Roman"/>
          <w:color w:val="000000"/>
          <w:spacing w:val="1"/>
          <w:sz w:val="24"/>
          <w:szCs w:val="24"/>
          <w:lang w:eastAsia="hr-HR"/>
        </w:rPr>
        <w:t xml:space="preserve"> (NKO)</w:t>
      </w:r>
      <w:r w:rsidRPr="009B2E82">
        <w:rPr>
          <w:rFonts w:ascii="Times New Roman" w:eastAsia="Times New Roman" w:hAnsi="Times New Roman" w:cs="Times New Roman"/>
          <w:color w:val="000000"/>
          <w:sz w:val="24"/>
          <w:szCs w:val="24"/>
          <w:lang w:eastAsia="hr-HR"/>
        </w:rPr>
        <w:t>[1] i nadzornog odbora (NO) koje uspostavlja upravljačko tijelo (UT)</w:t>
      </w:r>
      <w:r w:rsidRPr="009B2E82">
        <w:rPr>
          <w:rFonts w:ascii="Times New Roman" w:eastAsia="Times New Roman" w:hAnsi="Times New Roman" w:cs="Times New Roman"/>
          <w:color w:val="000000"/>
          <w:spacing w:val="1"/>
          <w:sz w:val="24"/>
          <w:szCs w:val="24"/>
          <w:lang w:eastAsia="hr-HR"/>
        </w:rPr>
        <w:t xml:space="preserve">. Prema članku 48(1) Uredbe (EU) broj </w:t>
      </w:r>
      <w:r w:rsidRPr="009B2E82">
        <w:rPr>
          <w:rFonts w:ascii="Times New Roman" w:eastAsia="Times New Roman" w:hAnsi="Times New Roman" w:cs="Times New Roman"/>
          <w:color w:val="000000"/>
          <w:spacing w:val="2"/>
          <w:sz w:val="24"/>
          <w:szCs w:val="24"/>
          <w:lang w:eastAsia="hr-HR"/>
        </w:rPr>
        <w:t xml:space="preserve">1303/2013), Nadzorni odbor </w:t>
      </w:r>
      <w:r w:rsidRPr="009B2E82">
        <w:rPr>
          <w:rFonts w:ascii="Times New Roman" w:eastAsia="Times New Roman" w:hAnsi="Times New Roman" w:cs="Times New Roman"/>
          <w:color w:val="000000"/>
          <w:spacing w:val="4"/>
          <w:sz w:val="24"/>
          <w:szCs w:val="24"/>
          <w:lang w:eastAsia="hr-HR"/>
        </w:rPr>
        <w:t>OP-a Konkurentnost i kohezija uključivat će</w:t>
      </w:r>
    </w:p>
    <w:p w:rsidR="009B2E82" w:rsidRPr="009B2E82" w:rsidRDefault="009B2E82" w:rsidP="009B2E82">
      <w:pPr>
        <w:widowControl w:val="0"/>
        <w:shd w:val="clear" w:color="auto" w:fill="FFFFFF"/>
        <w:autoSpaceDE w:val="0"/>
        <w:autoSpaceDN w:val="0"/>
        <w:adjustRightInd w:val="0"/>
        <w:spacing w:after="0" w:line="274" w:lineRule="exact"/>
        <w:ind w:left="821" w:right="1262"/>
        <w:jc w:val="both"/>
        <w:rPr>
          <w:rFonts w:ascii="Times New Roman" w:eastAsia="Times New Roman" w:hAnsi="Times New Roman" w:cs="Times New Roman"/>
          <w:color w:val="000000"/>
          <w:spacing w:val="4"/>
          <w:sz w:val="24"/>
          <w:szCs w:val="24"/>
          <w:lang w:eastAsia="hr-HR"/>
        </w:rPr>
      </w:pPr>
      <w:r w:rsidRPr="009B2E82">
        <w:rPr>
          <w:rFonts w:ascii="Times New Roman" w:eastAsia="Times New Roman" w:hAnsi="Times New Roman" w:cs="Times New Roman"/>
          <w:color w:val="000000"/>
          <w:spacing w:val="4"/>
          <w:sz w:val="24"/>
          <w:szCs w:val="24"/>
          <w:lang w:eastAsia="hr-HR"/>
        </w:rPr>
        <w:lastRenderedPageBreak/>
        <w:t xml:space="preserve">predstavnike partnerskih organizacija i drugih dionika. Popis mogućih članova može uključivati: predstavnike lokalnih i regionalnih tijela uprave, agencija za regionalni razvoj, komore, udruge, nevladine organizacije itd. </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Ex-ante evaluacija razrađena je paralelno s pripremama OP-a, uključujući ocjenjivačevu  sekvencijsku provedbu privremenih evaluacija i preporuka za svaki dio OP-a odgovornima za pripremu i razradu OP-a. Partnerstvo i suradnja ex-ante ocjenjivača s upravljačkim/programerskim timom uređeno je na nekoliko načina: ključni sastanci s upravljačkim/programskim timom koji radi na provođenju i odlučivanju o izradi programa, pripremama pisanih preporuka za poboljšanje programa i pružanju trajnih savjeta i podrške za vrijeme trajanja postupka izrade programa. Ex-ante evaluacija programskog postupka 2014. - 2020. započela je istovremeno kao i prve analize socio-gospodarske situacije i SWOT analize, a pripremili su ih TRS-ovi. Proces ex-ante evaluacije još uvijek traje i dovršit će se zajedno s pripremom završne verzije operativnih programa. </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pacing w:val="2"/>
          <w:sz w:val="24"/>
          <w:szCs w:val="24"/>
          <w:lang w:eastAsia="hr-HR"/>
        </w:rPr>
      </w:pPr>
      <w:r w:rsidRPr="009B2E82">
        <w:rPr>
          <w:rFonts w:ascii="Times New Roman" w:eastAsia="Times New Roman" w:hAnsi="Times New Roman" w:cs="Times New Roman"/>
          <w:color w:val="000000"/>
          <w:spacing w:val="2"/>
          <w:sz w:val="24"/>
          <w:szCs w:val="24"/>
          <w:lang w:eastAsia="hr-HR"/>
        </w:rPr>
        <w:t xml:space="preserve"> [1] Nakon završetka provedbe izrade programa, planirano je da se Koordinacijski odbor (uz podršku TRS-ova) koristi kao trajni koordinacijski mehanizam u obliku </w:t>
      </w:r>
      <w:r w:rsidRPr="009B2E82">
        <w:rPr>
          <w:rFonts w:ascii="Times New Roman" w:eastAsia="Times New Roman" w:hAnsi="Times New Roman" w:cs="Times New Roman"/>
          <w:b/>
          <w:color w:val="000000"/>
          <w:spacing w:val="2"/>
          <w:sz w:val="24"/>
          <w:szCs w:val="24"/>
          <w:lang w:eastAsia="hr-HR"/>
        </w:rPr>
        <w:t>Nacionalnog koordinacijskog odbora</w:t>
      </w:r>
      <w:r w:rsidRPr="009B2E82">
        <w:rPr>
          <w:rFonts w:ascii="Times New Roman" w:eastAsia="Times New Roman" w:hAnsi="Times New Roman" w:cs="Times New Roman"/>
          <w:color w:val="000000"/>
          <w:spacing w:val="2"/>
          <w:sz w:val="24"/>
          <w:szCs w:val="24"/>
          <w:lang w:eastAsia="hr-HR"/>
        </w:rPr>
        <w:t xml:space="preserve"> (NKO) čime će se osigurati opća koordinacija i praćenje provedbe ESI fondova (glavnih operativnih programa u okviru EFRR-a, ESF-a, KF-a, EFPR-a i programa suradnje u okviru IPA-e i EFRR-a ) i drugih relevantnih nacionalnih instrumenata financiranja i instrumenata financiranja Europske Unije. </w:t>
      </w:r>
    </w:p>
    <w:p w:rsidR="009B2E82" w:rsidRPr="009B2E82" w:rsidRDefault="009B2E82" w:rsidP="009B2E82">
      <w:pPr>
        <w:widowControl w:val="0"/>
        <w:numPr>
          <w:ilvl w:val="0"/>
          <w:numId w:val="22"/>
        </w:numPr>
        <w:shd w:val="clear" w:color="auto" w:fill="FFFFFF"/>
        <w:tabs>
          <w:tab w:val="left" w:pos="1344"/>
        </w:tabs>
        <w:autoSpaceDE w:val="0"/>
        <w:autoSpaceDN w:val="0"/>
        <w:adjustRightInd w:val="0"/>
        <w:spacing w:before="830" w:after="0" w:line="240" w:lineRule="auto"/>
        <w:ind w:left="845"/>
        <w:rPr>
          <w:rFonts w:ascii="Times New Roman" w:eastAsia="Times New Roman" w:hAnsi="Times New Roman" w:cs="Times New Roman"/>
          <w:b/>
          <w:bCs/>
          <w:i/>
          <w:iCs/>
          <w:color w:val="000000"/>
          <w:spacing w:val="-8"/>
          <w:sz w:val="24"/>
          <w:szCs w:val="24"/>
          <w:lang w:eastAsia="hr-HR"/>
        </w:rPr>
      </w:pPr>
      <w:r w:rsidRPr="009B2E82">
        <w:rPr>
          <w:rFonts w:ascii="Times New Roman" w:eastAsia="Times New Roman" w:hAnsi="Times New Roman" w:cs="Times New Roman"/>
          <w:b/>
          <w:bCs/>
          <w:i/>
          <w:iCs/>
          <w:color w:val="000000"/>
          <w:spacing w:val="-1"/>
          <w:sz w:val="24"/>
          <w:szCs w:val="24"/>
          <w:lang w:eastAsia="hr-HR"/>
        </w:rPr>
        <w:t>Ukupna dodjela financijskih sredstava (</w:t>
      </w:r>
      <w:r w:rsidRPr="009B2E82">
        <w:rPr>
          <w:rFonts w:ascii="Times New Roman" w:eastAsia="Times New Roman" w:hAnsi="Times New Roman" w:cs="Times New Roman"/>
          <w:color w:val="000000"/>
          <w:spacing w:val="-1"/>
          <w:sz w:val="24"/>
          <w:szCs w:val="24"/>
          <w:lang w:eastAsia="hr-HR"/>
        </w:rPr>
        <w:t>za ESF, po potrebi )</w:t>
      </w:r>
    </w:p>
    <w:p w:rsidR="009B2E82" w:rsidRPr="009B2E82" w:rsidRDefault="009B2E82" w:rsidP="009B2E82">
      <w:pPr>
        <w:widowControl w:val="0"/>
        <w:numPr>
          <w:ilvl w:val="0"/>
          <w:numId w:val="22"/>
        </w:numPr>
        <w:shd w:val="clear" w:color="auto" w:fill="FFFFFF"/>
        <w:tabs>
          <w:tab w:val="left" w:pos="1344"/>
        </w:tabs>
        <w:autoSpaceDE w:val="0"/>
        <w:autoSpaceDN w:val="0"/>
        <w:adjustRightInd w:val="0"/>
        <w:spacing w:before="115" w:after="0" w:line="240" w:lineRule="auto"/>
        <w:ind w:left="845"/>
        <w:rPr>
          <w:rFonts w:ascii="Times New Roman" w:eastAsia="Times New Roman" w:hAnsi="Times New Roman" w:cs="Times New Roman"/>
          <w:b/>
          <w:bCs/>
          <w:iCs/>
          <w:color w:val="000000"/>
          <w:spacing w:val="-9"/>
          <w:sz w:val="24"/>
          <w:szCs w:val="24"/>
          <w:lang w:eastAsia="hr-HR"/>
        </w:rPr>
      </w:pPr>
      <w:r w:rsidRPr="009B2E82">
        <w:rPr>
          <w:rFonts w:ascii="Times New Roman" w:eastAsia="Times New Roman" w:hAnsi="Times New Roman" w:cs="Times New Roman"/>
          <w:b/>
          <w:bCs/>
          <w:i/>
          <w:iCs/>
          <w:color w:val="000000"/>
          <w:spacing w:val="-1"/>
          <w:sz w:val="24"/>
          <w:szCs w:val="24"/>
          <w:lang w:eastAsia="hr-HR"/>
        </w:rPr>
        <w:t xml:space="preserve">Alokacija iznosa za izgradnju kapaciteta </w:t>
      </w:r>
      <w:r w:rsidRPr="009B2E82">
        <w:rPr>
          <w:rFonts w:ascii="Times New Roman" w:eastAsia="Times New Roman" w:hAnsi="Times New Roman" w:cs="Times New Roman"/>
          <w:bCs/>
          <w:iCs/>
          <w:color w:val="000000"/>
          <w:spacing w:val="-1"/>
          <w:sz w:val="24"/>
          <w:szCs w:val="24"/>
          <w:lang w:eastAsia="hr-HR"/>
        </w:rPr>
        <w:t xml:space="preserve">(za ESF, po potrebi)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5597" w:after="0" w:line="240" w:lineRule="auto"/>
        <w:rPr>
          <w:rFonts w:ascii="Arial" w:eastAsia="Times New Roman" w:hAnsi="Arial" w:cs="Arial"/>
          <w:sz w:val="20"/>
          <w:szCs w:val="20"/>
          <w:lang w:eastAsia="hr-HR"/>
        </w:rPr>
        <w:sectPr w:rsidR="009B2E82" w:rsidRPr="009B2E82">
          <w:pgSz w:w="11909" w:h="16834"/>
          <w:pgMar w:top="912"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74" w:lineRule="exact"/>
        <w:ind w:left="821" w:right="1277"/>
        <w:jc w:val="both"/>
        <w:rPr>
          <w:rFonts w:ascii="Times New Roman" w:eastAsia="Times New Roman" w:hAnsi="Times New Roman" w:cs="Times New Roman"/>
          <w:b/>
          <w:bCs/>
          <w:color w:val="000000"/>
          <w:sz w:val="24"/>
          <w:szCs w:val="24"/>
          <w:lang w:eastAsia="hr-HR"/>
        </w:rPr>
      </w:pPr>
      <w:r w:rsidRPr="009B2E82">
        <w:rPr>
          <w:rFonts w:ascii="Times New Roman" w:eastAsia="Times New Roman" w:hAnsi="Times New Roman" w:cs="Times New Roman"/>
          <w:b/>
          <w:bCs/>
          <w:color w:val="000000"/>
          <w:sz w:val="24"/>
          <w:szCs w:val="24"/>
          <w:lang w:eastAsia="hr-HR"/>
        </w:rPr>
        <w:lastRenderedPageBreak/>
        <w:t>8. KOORDINACIJA FONDOVA, EPFRR-a, EFPR-a i DRUGIH NACIONALNIH INSTRUMENATA FINANCIRANJA I EUROPSKE UNIJE I S EIB-OM</w:t>
      </w:r>
    </w:p>
    <w:p w:rsidR="009B2E82" w:rsidRPr="009B2E82" w:rsidRDefault="009B2E82" w:rsidP="009B2E82">
      <w:pPr>
        <w:widowControl w:val="0"/>
        <w:shd w:val="clear" w:color="auto" w:fill="FFFFFF"/>
        <w:autoSpaceDE w:val="0"/>
        <w:autoSpaceDN w:val="0"/>
        <w:adjustRightInd w:val="0"/>
        <w:spacing w:before="120" w:after="0" w:line="274" w:lineRule="exact"/>
        <w:ind w:left="816"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Mehanizmi osiguranja koordinacije fondova, Europskog poljoprivrednog fonda za ruralni razvoj (EPFRR), Europskog fonda za pomorstvo i ribarstvo </w:t>
      </w:r>
      <w:r w:rsidRPr="009B2E82">
        <w:rPr>
          <w:rFonts w:ascii="Times New Roman" w:eastAsia="Times New Roman" w:hAnsi="Times New Roman" w:cs="Times New Roman"/>
          <w:i/>
          <w:color w:val="000000"/>
          <w:sz w:val="24"/>
          <w:szCs w:val="24"/>
          <w:lang w:eastAsia="hr-HR"/>
        </w:rPr>
        <w:t xml:space="preserve">(EFPR) </w:t>
      </w:r>
      <w:r w:rsidRPr="009B2E82">
        <w:rPr>
          <w:rFonts w:ascii="Times New Roman" w:eastAsia="Times New Roman" w:hAnsi="Times New Roman" w:cs="Times New Roman"/>
          <w:color w:val="000000"/>
          <w:sz w:val="24"/>
          <w:szCs w:val="24"/>
          <w:lang w:eastAsia="hr-HR"/>
        </w:rPr>
        <w:t>i drugih nacionalnih instrumenata financiranja i instrumenata financiranja Europske Unije, i Europske investicijske banke (EIB-a), uzimajući u obzir relevantne odredbe propisane u Zajedničkom strateškom okviru (ZSO).</w:t>
      </w:r>
    </w:p>
    <w:p w:rsidR="009B2E82" w:rsidRPr="009B2E82" w:rsidRDefault="009B2E82" w:rsidP="009B2E82">
      <w:pPr>
        <w:widowControl w:val="0"/>
        <w:shd w:val="clear" w:color="auto" w:fill="FFFFFF"/>
        <w:autoSpaceDE w:val="0"/>
        <w:autoSpaceDN w:val="0"/>
        <w:adjustRightInd w:val="0"/>
        <w:spacing w:before="125" w:after="0" w:line="274" w:lineRule="exact"/>
        <w:ind w:left="816" w:right="127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Koordinacija različitih instrumenata financiranja će se osigurati na najvišoj razini i njome će upravljati Koordinacijsko tijelo i Nacionalni koordinacijski odbor (NKO). Jedna od važnijih uloga Koordinacijskog tijela, koju provodi </w:t>
      </w:r>
      <w:r w:rsidRPr="009B2E82">
        <w:rPr>
          <w:rFonts w:ascii="Times New Roman" w:eastAsia="Times New Roman" w:hAnsi="Times New Roman" w:cs="Times New Roman"/>
          <w:color w:val="000000"/>
          <w:spacing w:val="-1"/>
          <w:sz w:val="24"/>
          <w:szCs w:val="24"/>
          <w:lang w:eastAsia="hr-HR"/>
        </w:rPr>
        <w:t>MRRFEU,</w:t>
      </w:r>
      <w:r w:rsidRPr="009B2E82">
        <w:rPr>
          <w:rFonts w:ascii="Times New Roman" w:eastAsia="Times New Roman" w:hAnsi="Times New Roman" w:cs="Times New Roman"/>
          <w:color w:val="000000"/>
          <w:spacing w:val="1"/>
          <w:sz w:val="24"/>
          <w:szCs w:val="24"/>
          <w:lang w:eastAsia="hr-HR"/>
        </w:rPr>
        <w:t xml:space="preserve"> bit će osiguranje komplementarnosti između operativnih programa, drugih instrumenata financiranja i državnog financiranja. </w:t>
      </w:r>
    </w:p>
    <w:p w:rsidR="009B2E82" w:rsidRPr="009B2E82" w:rsidRDefault="009B2E82" w:rsidP="009B2E82">
      <w:pPr>
        <w:widowControl w:val="0"/>
        <w:shd w:val="clear" w:color="auto" w:fill="FFFFFF"/>
        <w:autoSpaceDE w:val="0"/>
        <w:autoSpaceDN w:val="0"/>
        <w:adjustRightInd w:val="0"/>
        <w:spacing w:before="269" w:after="0" w:line="278" w:lineRule="exact"/>
        <w:ind w:left="826" w:right="1272"/>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5"/>
          <w:sz w:val="24"/>
          <w:szCs w:val="24"/>
          <w:lang w:eastAsia="hr-HR"/>
        </w:rPr>
        <w:t xml:space="preserve">Njegovanje poduzetništva kao sredstva jačanja konkurentnosti i zapošljavanja </w:t>
      </w:r>
    </w:p>
    <w:p w:rsidR="009B2E82" w:rsidRPr="009B2E82" w:rsidRDefault="009B2E82" w:rsidP="009B2E82">
      <w:pPr>
        <w:widowControl w:val="0"/>
        <w:shd w:val="clear" w:color="auto" w:fill="FFFFFF"/>
        <w:autoSpaceDE w:val="0"/>
        <w:autoSpaceDN w:val="0"/>
        <w:adjustRightInd w:val="0"/>
        <w:spacing w:before="278" w:after="0" w:line="274" w:lineRule="exact"/>
        <w:ind w:left="816" w:right="1267"/>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z w:val="24"/>
          <w:szCs w:val="24"/>
          <w:lang w:eastAsia="hr-HR"/>
        </w:rPr>
        <w:t>S obzirom na sinergije s TC 3 OPKK-a</w:t>
      </w:r>
      <w:r w:rsidRPr="009B2E82">
        <w:rPr>
          <w:rFonts w:ascii="Times New Roman" w:eastAsia="Times New Roman" w:hAnsi="Times New Roman" w:cs="Times New Roman"/>
          <w:i/>
          <w:color w:val="000000"/>
          <w:sz w:val="24"/>
          <w:szCs w:val="24"/>
          <w:lang w:eastAsia="hr-HR"/>
        </w:rPr>
        <w:t xml:space="preserve">, unutar OPEHR-a </w:t>
      </w:r>
      <w:r w:rsidRPr="009B2E82">
        <w:rPr>
          <w:rFonts w:ascii="Times New Roman" w:eastAsia="Times New Roman" w:hAnsi="Times New Roman" w:cs="Times New Roman"/>
          <w:color w:val="000000"/>
          <w:sz w:val="24"/>
          <w:szCs w:val="24"/>
          <w:lang w:eastAsia="hr-HR"/>
        </w:rPr>
        <w:t xml:space="preserve">ESF-a, TC 8, </w:t>
      </w:r>
      <w:r w:rsidRPr="009B2E82">
        <w:rPr>
          <w:rFonts w:ascii="Times New Roman" w:eastAsia="Times New Roman" w:hAnsi="Times New Roman" w:cs="Times New Roman"/>
          <w:i/>
          <w:color w:val="000000"/>
          <w:sz w:val="24"/>
          <w:szCs w:val="24"/>
          <w:lang w:eastAsia="hr-HR"/>
        </w:rPr>
        <w:t xml:space="preserve">specifičnog cilja 8.4.2 </w:t>
      </w:r>
      <w:r w:rsidRPr="009B2E82">
        <w:rPr>
          <w:rFonts w:ascii="Times New Roman" w:eastAsia="Times New Roman" w:hAnsi="Times New Roman" w:cs="Times New Roman"/>
          <w:color w:val="000000"/>
          <w:sz w:val="24"/>
          <w:szCs w:val="24"/>
          <w:lang w:eastAsia="hr-HR"/>
        </w:rPr>
        <w:t xml:space="preserve">„Povećanje zaposlenosti nezaposlenih olakšavanjem pristupa i pružanjem podrške samozapošljavanju i poduzetništvu“, sinergija s TC 3 unutar OPKK-a bit će podržana vezano uz samozapošljavanje i novoosnovana poduzeća. Pod </w:t>
      </w:r>
      <w:r w:rsidRPr="009B2E82">
        <w:rPr>
          <w:rFonts w:ascii="Times New Roman" w:eastAsia="Times New Roman" w:hAnsi="Times New Roman" w:cs="Times New Roman"/>
          <w:color w:val="000000"/>
          <w:spacing w:val="-1"/>
          <w:sz w:val="24"/>
          <w:szCs w:val="24"/>
          <w:lang w:eastAsia="hr-HR"/>
        </w:rPr>
        <w:t>TC 8 aktivnosti samozapošljavanja usmjerene su na olakšavanje pristupa poduzetništvu za ranjive skupine koje su također (dugoročno) nezaposlene, ponajviše kao put prema zaposlenju. Aktivnosti bi uključivale manje financijske potpore i sheme mikrokreditiranja uz niz popratnih mjera pomoći (smjernice, obuka, mentorstvo, praćenje itd.), a unutar TC3 OPKK-a, veća je usmjerenost na postizanju konkurentnosti i razvoja postojećih MSP-ova, ali i novonastalih poduzeća čime su promotori projekta vođeni poslovnom idejom i težnjom konkurentnosti, a zapošljavanje nije primarni cilj njihovog rada (tj. takvi bi poduzetnici već mogli biti zaposleni i ne smatraju se pripadnicima ugroženih skupina), dok TC3 obuhvaća veću financijsku potporu i naprednije usluge za MSP-ove, dostupne širim ciljnim skupinama, uključujući postojeće poduzetnike.</w:t>
      </w:r>
    </w:p>
    <w:p w:rsidR="009B2E82" w:rsidRPr="009B2E82" w:rsidRDefault="009B2E82" w:rsidP="009B2E82">
      <w:pPr>
        <w:widowControl w:val="0"/>
        <w:shd w:val="clear" w:color="auto" w:fill="FFFFFF"/>
        <w:autoSpaceDE w:val="0"/>
        <w:autoSpaceDN w:val="0"/>
        <w:adjustRightInd w:val="0"/>
        <w:spacing w:before="278" w:after="0" w:line="274" w:lineRule="exact"/>
        <w:ind w:right="1267"/>
        <w:jc w:val="both"/>
        <w:rPr>
          <w:rFonts w:ascii="Times New Roman" w:eastAsia="Times New Roman" w:hAnsi="Times New Roman" w:cs="Times New Roman"/>
          <w:color w:val="000000"/>
          <w:sz w:val="24"/>
          <w:szCs w:val="24"/>
          <w:lang w:eastAsia="hr-HR"/>
        </w:rPr>
      </w:pPr>
    </w:p>
    <w:p w:rsidR="009B2E82" w:rsidRPr="009B2E82" w:rsidRDefault="009B2E82" w:rsidP="009B2E82">
      <w:pPr>
        <w:widowControl w:val="0"/>
        <w:shd w:val="clear" w:color="auto" w:fill="FFFFFF"/>
        <w:autoSpaceDE w:val="0"/>
        <w:autoSpaceDN w:val="0"/>
        <w:adjustRightInd w:val="0"/>
        <w:spacing w:before="278"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Sektor prometa </w:t>
      </w:r>
    </w:p>
    <w:p w:rsidR="009B2E82" w:rsidRPr="009B2E82" w:rsidRDefault="009B2E82" w:rsidP="009B2E82">
      <w:pPr>
        <w:widowControl w:val="0"/>
        <w:shd w:val="clear" w:color="auto" w:fill="FFFFFF"/>
        <w:autoSpaceDE w:val="0"/>
        <w:autoSpaceDN w:val="0"/>
        <w:adjustRightInd w:val="0"/>
        <w:spacing w:before="274" w:after="0" w:line="274" w:lineRule="exact"/>
        <w:ind w:left="816" w:right="127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Zbog svoje usredotočenosti na Transeuropsku prometnu mrežu (TEN-T), PO 7 je komplementarna prometnim aktivnostima Instrumenta za povezivanje Europe (CEF). Dok je CEF usredotočen na popratne projekte na koridorima središnje mreže (Mediteranski koridor) i na međunarodna sjecišta, KF/EFRR unutar OPKK-a usredotočit će se na ostatak mrežnih koridora i podržat će projekte središnje mreže koji više nisu u djelokrugu CEF-a zbog vremenskih i financijskih ograničenja. </w:t>
      </w:r>
    </w:p>
    <w:p w:rsidR="009B2E82" w:rsidRPr="009B2E82" w:rsidRDefault="009B2E82" w:rsidP="009B2E82">
      <w:pPr>
        <w:widowControl w:val="0"/>
        <w:shd w:val="clear" w:color="auto" w:fill="FFFFFF"/>
        <w:autoSpaceDE w:val="0"/>
        <w:autoSpaceDN w:val="0"/>
        <w:adjustRightInd w:val="0"/>
        <w:spacing w:before="269" w:after="0" w:line="240" w:lineRule="auto"/>
        <w:ind w:left="82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EPFRR i EFPR </w:t>
      </w:r>
    </w:p>
    <w:p w:rsidR="009B2E82" w:rsidRPr="009B2E82" w:rsidRDefault="009B2E82" w:rsidP="009B2E82">
      <w:pPr>
        <w:widowControl w:val="0"/>
        <w:shd w:val="clear" w:color="auto" w:fill="FFFFFF"/>
        <w:autoSpaceDE w:val="0"/>
        <w:autoSpaceDN w:val="0"/>
        <w:adjustRightInd w:val="0"/>
        <w:spacing w:before="283" w:after="0" w:line="274" w:lineRule="exact"/>
        <w:ind w:left="816"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4"/>
          <w:szCs w:val="24"/>
          <w:lang w:eastAsia="hr-HR"/>
        </w:rPr>
        <w:t xml:space="preserve">Unutar TC-ova 1 </w:t>
      </w:r>
      <w:r w:rsidRPr="009B2E82">
        <w:rPr>
          <w:rFonts w:ascii="Times New Roman" w:eastAsia="Times New Roman" w:hAnsi="Times New Roman" w:cs="Times New Roman"/>
          <w:b/>
          <w:bCs/>
          <w:color w:val="000000"/>
          <w:spacing w:val="2"/>
          <w:sz w:val="24"/>
          <w:szCs w:val="24"/>
          <w:lang w:eastAsia="hr-HR"/>
        </w:rPr>
        <w:t xml:space="preserve">i </w:t>
      </w:r>
      <w:r w:rsidRPr="009B2E82">
        <w:rPr>
          <w:rFonts w:ascii="Times New Roman" w:eastAsia="Times New Roman" w:hAnsi="Times New Roman" w:cs="Times New Roman"/>
          <w:color w:val="000000"/>
          <w:spacing w:val="2"/>
          <w:sz w:val="24"/>
          <w:szCs w:val="24"/>
          <w:lang w:eastAsia="hr-HR"/>
        </w:rPr>
        <w:t>3, moguće je korištenje EFRR-a, EPFRR-a i EFPR-a. EPFRR i EFPR bit će komplementarni TC-ovima pružanjem potpore i odnoseći se na proizvodnju proizvoda opisanu u Prilogu 1 Ugovora o Europskoj Uniji, za provođenje i diversifikaciju gospodarskih aktivnosti pomorstva i ribarstva,</w:t>
      </w:r>
      <w:r w:rsidRPr="009B2E82">
        <w:rPr>
          <w:rFonts w:ascii="Times New Roman" w:eastAsia="Times New Roman" w:hAnsi="Times New Roman" w:cs="Times New Roman"/>
          <w:color w:val="000000"/>
          <w:spacing w:val="-1"/>
          <w:sz w:val="24"/>
          <w:szCs w:val="24"/>
          <w:lang w:eastAsia="hr-HR"/>
        </w:rPr>
        <w:t xml:space="preserve">prilikom izlaska iz aktivnosti poljoprivrede i ribarstva u druge gospodarske aktivnosti. </w:t>
      </w:r>
    </w:p>
    <w:p w:rsidR="009B2E82" w:rsidRPr="009B2E82" w:rsidRDefault="009B2E82" w:rsidP="009B2E82">
      <w:pPr>
        <w:widowControl w:val="0"/>
        <w:shd w:val="clear" w:color="auto" w:fill="FFFFFF"/>
        <w:autoSpaceDE w:val="0"/>
        <w:autoSpaceDN w:val="0"/>
        <w:adjustRightInd w:val="0"/>
        <w:spacing w:before="278" w:after="0" w:line="274" w:lineRule="exact"/>
        <w:ind w:left="816" w:right="126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Unutar TC 4, EPFRR će se usredotočiti na mjere energetske učinkovitosti i obnovljivih izvora energije za poljoprivredne proizvođače i prehrambenu industriju uz stvaranje biomase iz šumarstva. Komplementarnost će se postići korištenjem biomase iz šumarstva za proizvodnju obnovljivih izvora energije u okviru EFRR fondova. EFPR će podržati </w:t>
      </w:r>
      <w:r w:rsidRPr="009B2E82">
        <w:rPr>
          <w:rFonts w:ascii="Times New Roman" w:eastAsia="Times New Roman" w:hAnsi="Times New Roman" w:cs="Times New Roman"/>
          <w:color w:val="000000"/>
          <w:sz w:val="24"/>
          <w:szCs w:val="24"/>
          <w:lang w:eastAsia="hr-HR"/>
        </w:rPr>
        <w:lastRenderedPageBreak/>
        <w:t>aktivnosti energetske učinkovitost i očuvanja okoliša u ribarstvu, lukama i akvakulturi.</w:t>
      </w:r>
    </w:p>
    <w:p w:rsidR="009B2E82" w:rsidRPr="009B2E82" w:rsidRDefault="009B2E82" w:rsidP="009B2E82">
      <w:pPr>
        <w:widowControl w:val="0"/>
        <w:shd w:val="clear" w:color="auto" w:fill="FFFFFF"/>
        <w:autoSpaceDE w:val="0"/>
        <w:autoSpaceDN w:val="0"/>
        <w:adjustRightInd w:val="0"/>
        <w:spacing w:before="278" w:after="0" w:line="274" w:lineRule="exact"/>
        <w:ind w:left="816" w:right="1262"/>
        <w:jc w:val="both"/>
        <w:rPr>
          <w:rFonts w:ascii="Times New Roman" w:eastAsia="Times New Roman" w:hAnsi="Times New Roman" w:cs="Times New Roman"/>
          <w:sz w:val="24"/>
          <w:szCs w:val="24"/>
          <w:lang w:eastAsia="hr-HR"/>
        </w:rPr>
      </w:pPr>
      <w:r w:rsidRPr="009B2E82">
        <w:rPr>
          <w:rFonts w:ascii="Times New Roman" w:eastAsia="Times New Roman" w:hAnsi="Times New Roman" w:cs="Times New Roman"/>
          <w:sz w:val="24"/>
          <w:szCs w:val="24"/>
          <w:lang w:eastAsia="hr-HR"/>
        </w:rPr>
        <w:t>U TC 6 financirat će se mjere gospodarenja otpadom u okviru EFRR-a kako bi se osigurala usklađenost životnog ciklusa otpada (od proizvodnje do konačnog zbrinjavanja), osim gospodarenja otpadom u moru, što će biti obuhvaćeno EFPR-om, a vodne usluge (vodoopskrba, kanalizacija i obrada otpadnih voda) u aglomeracijama s manje od 2.000 ES-a financirat će se kroz EPFRR a iznad 2.000 ES-a kroz EFRR. U sektoru zaštite prirode, EPFRR će biti angažiran za financiranje mjera zaštite prirode vezano za poljoprivredno zemljište, uključujući i poljoprivredno-okolišne mjere za zaštitu bioraznolikosti, a EFRR će se fokusirati na uspostavljanje i provođenje okvira za upravljanje Natura 2000 mrežom i mjera bioraznolikosti na ne-poljoprivrednom zemljištu. Što se tiče turističke infrastrukture u zaštićenim područjima, EFRR će se fokusirati na zaštićena područja kojima upravljaju državne / regionalne (županijske) vlasti dok će se EPFRR baviti područjima kojima upravljaju lokalne (gradske / općinske) vlasti.</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sz w:val="24"/>
          <w:szCs w:val="24"/>
          <w:lang w:eastAsia="hr-HR"/>
        </w:rPr>
      </w:pPr>
      <w:r w:rsidRPr="009B2E82">
        <w:rPr>
          <w:rFonts w:ascii="Times New Roman" w:eastAsia="Times New Roman" w:hAnsi="Times New Roman" w:cs="Times New Roman"/>
          <w:sz w:val="24"/>
          <w:szCs w:val="24"/>
          <w:lang w:eastAsia="hr-HR"/>
        </w:rPr>
        <w:t>Za cjelokupno upravljanje vodenim režimom, razgraničenja i komplementarnost će se osigurati EFRR-om, unutar TC 5, čime se prioritet daje mjerama zaštite od poplava (rezervoari za zadržavanje vode, jačanje nasipa, sustavi odvodnje), te u ograničenom opsegu većim sustavima za navodnjavanje (glavne mreže u sustavima iznad 1.500 ha). EPFRR (pod TC 3) će se usredotočiti na većinu ulaganja za navodnjavanje (cjevovodi s odgovarajućim elementima kao što su rezervoari i crpne stanice u sustavima do 1.500 ha).</w:t>
      </w:r>
    </w:p>
    <w:p w:rsidR="009B2E82" w:rsidRPr="009B2E82" w:rsidRDefault="009B2E82" w:rsidP="009B2E82">
      <w:pPr>
        <w:widowControl w:val="0"/>
        <w:shd w:val="clear" w:color="auto" w:fill="FFFFFF"/>
        <w:autoSpaceDE w:val="0"/>
        <w:autoSpaceDN w:val="0"/>
        <w:adjustRightInd w:val="0"/>
        <w:spacing w:before="269" w:after="0" w:line="274" w:lineRule="exact"/>
        <w:ind w:left="816" w:right="1267"/>
        <w:jc w:val="both"/>
        <w:rPr>
          <w:rFonts w:ascii="Times New Roman" w:eastAsia="Times New Roman" w:hAnsi="Times New Roman" w:cs="Times New Roman"/>
          <w:color w:val="000000"/>
          <w:spacing w:val="3"/>
          <w:sz w:val="24"/>
          <w:szCs w:val="24"/>
          <w:lang w:eastAsia="hr-HR"/>
        </w:rPr>
      </w:pPr>
      <w:r w:rsidRPr="009B2E82">
        <w:rPr>
          <w:rFonts w:ascii="Times New Roman" w:eastAsia="Times New Roman" w:hAnsi="Times New Roman" w:cs="Times New Roman"/>
          <w:color w:val="000000"/>
          <w:spacing w:val="3"/>
          <w:sz w:val="24"/>
          <w:szCs w:val="24"/>
          <w:lang w:eastAsia="hr-HR"/>
        </w:rPr>
        <w:t>Za TC 8, 9.</w:t>
      </w:r>
      <w:r w:rsidRPr="009B2E82">
        <w:rPr>
          <w:rFonts w:ascii="Times New Roman" w:eastAsia="Times New Roman" w:hAnsi="Times New Roman" w:cs="Times New Roman"/>
          <w:b/>
          <w:color w:val="000000"/>
          <w:spacing w:val="3"/>
          <w:sz w:val="24"/>
          <w:szCs w:val="24"/>
          <w:lang w:eastAsia="hr-HR"/>
        </w:rPr>
        <w:t xml:space="preserve">i </w:t>
      </w:r>
      <w:r w:rsidRPr="009B2E82">
        <w:rPr>
          <w:rFonts w:ascii="Times New Roman" w:eastAsia="Times New Roman" w:hAnsi="Times New Roman" w:cs="Times New Roman"/>
          <w:color w:val="000000"/>
          <w:spacing w:val="3"/>
          <w:sz w:val="24"/>
          <w:szCs w:val="24"/>
          <w:lang w:eastAsia="hr-HR"/>
        </w:rPr>
        <w:t>10. komplementarnost će se postići pružanjem podrške EPFRR-a maloj infrastrukturi javnih usluga u ruralnim područjima, obnovi i očuvanju postojeće kulturne baštine i drugih objekata prilagođavajući ih za potrebe zajednice, s mogućnošću njihovog korištenja za pružanje javnih usluga koje će se financirati iz ESF-a. EPFRR i EFPR će također podržati lokalne akcijske grupe, koje će pridonijeti TC 8, 9., 10. inicijativama u zajednici.</w:t>
      </w:r>
    </w:p>
    <w:p w:rsidR="009B2E82" w:rsidRPr="009B2E82" w:rsidRDefault="009B2E82" w:rsidP="009B2E82">
      <w:pPr>
        <w:widowControl w:val="0"/>
        <w:shd w:val="clear" w:color="auto" w:fill="FFFFFF"/>
        <w:autoSpaceDE w:val="0"/>
        <w:autoSpaceDN w:val="0"/>
        <w:adjustRightInd w:val="0"/>
        <w:spacing w:before="269" w:after="0" w:line="274" w:lineRule="exact"/>
        <w:ind w:left="816" w:right="1267"/>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3"/>
          <w:sz w:val="24"/>
          <w:szCs w:val="24"/>
          <w:lang w:eastAsia="hr-HR"/>
        </w:rPr>
        <w:t xml:space="preserve">Vezano za razlikovanje između investicija EPFRR-a i investicija predviđenih u SC 9.2.1,: EPFRR će se usredotočiti na male gradove između 10.000 i 35.000 stanovnika, dok </w:t>
      </w:r>
      <w:r w:rsidRPr="009B2E82">
        <w:rPr>
          <w:rFonts w:ascii="Times New Roman" w:eastAsia="Times New Roman" w:hAnsi="Times New Roman" w:cs="Times New Roman"/>
          <w:color w:val="000000"/>
          <w:spacing w:val="8"/>
          <w:sz w:val="24"/>
          <w:szCs w:val="24"/>
          <w:lang w:eastAsia="hr-HR"/>
        </w:rPr>
        <w:t xml:space="preserve">EPFRR podržava ulaganja u naseljima s manje od 2.000, 5.000 i 10.000 stanovnika (ovisno o vrsti investicija). Štoviše, razlike su određene i veličinom projekta, u pogledu financiranja, jer EPFRR financira projekte do 1,000.000 EUR dok se </w:t>
      </w:r>
      <w:r w:rsidRPr="009B2E82">
        <w:rPr>
          <w:rFonts w:ascii="Times New Roman" w:eastAsia="Times New Roman" w:hAnsi="Times New Roman" w:cs="Times New Roman"/>
          <w:color w:val="000000"/>
          <w:spacing w:val="-1"/>
          <w:sz w:val="24"/>
          <w:szCs w:val="24"/>
          <w:lang w:eastAsia="hr-HR"/>
        </w:rPr>
        <w:t xml:space="preserve">EFRR koncentrira na veće projekte. </w:t>
      </w:r>
    </w:p>
    <w:p w:rsidR="009B2E82" w:rsidRPr="009B2E82" w:rsidRDefault="009B2E82" w:rsidP="009B2E82">
      <w:pPr>
        <w:widowControl w:val="0"/>
        <w:shd w:val="clear" w:color="auto" w:fill="FFFFFF"/>
        <w:autoSpaceDE w:val="0"/>
        <w:autoSpaceDN w:val="0"/>
        <w:adjustRightInd w:val="0"/>
        <w:spacing w:before="269" w:after="0" w:line="274" w:lineRule="exact"/>
        <w:ind w:left="816" w:right="1267"/>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 xml:space="preserve">Unutar investicijskog prioriteta 6.4 EFRR se fokusira isključivo na razminiranje u nacionalnim parkovima, parkovima prirode i regionalnim parkovima te ostalim područjima mreže Natura 2000 izvan navedenih kategorija. Osim toga, vezano uz EFRR, ako je projekt smješten u bivšem okupiranom ili ratom zahvaćenom području te pse sumnja na prisutnost mina, aktivnosti razminiranja su prihvatljiv trošak u sklopu aktivnosti pripreme terena. EPFRR će se, mjerom 5.2. usredotočiti na razminiranje poljoprivrednih zemljišta i izravno povezane infrastrukture (npr. putove poljoprivrednih zemljišta , nasipe, sustave odvodnje, terase, kamene zidove, značajke krajolika, i slično) </w:t>
      </w:r>
      <w:r w:rsidRPr="009B2E82">
        <w:rPr>
          <w:rFonts w:ascii="Times New Roman" w:eastAsia="Times New Roman" w:hAnsi="Times New Roman" w:cs="Times New Roman"/>
          <w:color w:val="000000"/>
          <w:spacing w:val="2"/>
          <w:sz w:val="24"/>
          <w:szCs w:val="24"/>
          <w:lang w:eastAsia="hr-HR"/>
        </w:rPr>
        <w:t>ako je sastavni dio spomenutog miniranog poljoprivrednog zemljišta i ako mine negativno utječu, tj. štete poljoprivrednim potencijalima, ali područje ne spada u mrežu Natura 2000</w:t>
      </w:r>
      <w:r w:rsidRPr="009B2E82">
        <w:rPr>
          <w:rFonts w:ascii="Times New Roman" w:eastAsia="Times New Roman" w:hAnsi="Times New Roman" w:cs="Times New Roman"/>
          <w:color w:val="000000"/>
          <w:spacing w:val="-3"/>
          <w:sz w:val="24"/>
          <w:szCs w:val="24"/>
          <w:lang w:eastAsia="hr-HR"/>
        </w:rPr>
        <w:t>.</w:t>
      </w:r>
    </w:p>
    <w:p w:rsidR="009B2E82" w:rsidRPr="009B2E82" w:rsidRDefault="009B2E82" w:rsidP="009B2E82">
      <w:pPr>
        <w:widowControl w:val="0"/>
        <w:shd w:val="clear" w:color="auto" w:fill="FFFFFF"/>
        <w:autoSpaceDE w:val="0"/>
        <w:autoSpaceDN w:val="0"/>
        <w:adjustRightInd w:val="0"/>
        <w:spacing w:before="278"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4"/>
          <w:szCs w:val="24"/>
          <w:lang w:eastAsia="hr-HR"/>
        </w:rPr>
        <w:t>Koordinacija integriranih aktivnosti ESF-a/EFRR-a (TC 9 i 10)</w:t>
      </w:r>
    </w:p>
    <w:p w:rsidR="009B2E82" w:rsidRPr="009B2E82" w:rsidRDefault="009B2E82" w:rsidP="009B2E82">
      <w:pPr>
        <w:widowControl w:val="0"/>
        <w:shd w:val="clear" w:color="auto" w:fill="FFFFFF"/>
        <w:autoSpaceDE w:val="0"/>
        <w:autoSpaceDN w:val="0"/>
        <w:adjustRightInd w:val="0"/>
        <w:spacing w:before="283" w:after="0" w:line="274" w:lineRule="exact"/>
        <w:ind w:left="811"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Integrirani pristup provedbi aktivnosti unutar tematskih ciljeva 9 i 10 osigurat će se sudjelovanjem članova oba nadzorna odbora u nacionalnom koordinacijskom odboru.</w:t>
      </w:r>
    </w:p>
    <w:p w:rsidR="009B2E82" w:rsidRPr="009B2E82" w:rsidRDefault="009B2E82" w:rsidP="009B2E82">
      <w:pPr>
        <w:widowControl w:val="0"/>
        <w:shd w:val="clear" w:color="auto" w:fill="FFFFFF"/>
        <w:autoSpaceDE w:val="0"/>
        <w:autoSpaceDN w:val="0"/>
        <w:adjustRightInd w:val="0"/>
        <w:spacing w:before="274" w:after="0" w:line="240" w:lineRule="auto"/>
        <w:ind w:left="821"/>
        <w:rPr>
          <w:rFonts w:ascii="Times New Roman" w:eastAsia="Times New Roman" w:hAnsi="Times New Roman" w:cs="Times New Roman"/>
          <w:b/>
          <w:bCs/>
          <w:color w:val="000000"/>
          <w:sz w:val="24"/>
          <w:szCs w:val="24"/>
          <w:lang w:eastAsia="hr-HR"/>
        </w:rPr>
      </w:pPr>
      <w:r w:rsidRPr="009B2E82">
        <w:rPr>
          <w:rFonts w:ascii="Times New Roman" w:eastAsia="Times New Roman" w:hAnsi="Times New Roman" w:cs="Times New Roman"/>
          <w:b/>
          <w:bCs/>
          <w:color w:val="000000"/>
          <w:sz w:val="24"/>
          <w:szCs w:val="24"/>
          <w:lang w:eastAsia="hr-HR"/>
        </w:rPr>
        <w:lastRenderedPageBreak/>
        <w:t xml:space="preserve">Program za zaštitu okoliša i klimatske akcije (LIFE) </w:t>
      </w:r>
    </w:p>
    <w:p w:rsidR="009B2E82" w:rsidRPr="009B2E82" w:rsidRDefault="009B2E82" w:rsidP="009B2E82">
      <w:pPr>
        <w:widowControl w:val="0"/>
        <w:shd w:val="clear" w:color="auto" w:fill="FFFFFF"/>
        <w:autoSpaceDE w:val="0"/>
        <w:autoSpaceDN w:val="0"/>
        <w:adjustRightInd w:val="0"/>
        <w:spacing w:before="278" w:after="0" w:line="274" w:lineRule="exact"/>
        <w:ind w:left="816" w:right="1267"/>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Potencijali za komplementarnost i sinergiju LIFE programa i programa financiranih ESI-em postoje gotovo u svim sektorima ali posebice u TC 4 i 6. Komplementarnost je moguće postići unutar Integriranih projekata, koji imaju za cilj sufinanciranje većih projekata većih teritorijalnih razmjera (na regionalni, multiregionalni, nacionalni i više-sektoralni način) i pokrit će ograničene prioritete dvaju LIFE potprograma. Međutim, budući da financiranje integriranih projekata treba pokrenuti strukturne fondove EU-a, i/ili druge nacionalne i privatne fondove, programi financirani ESI-em mogu omogućiti financiranje kao potreban doprinos integriranim procesima unutar LIFE-a. Nadalje, osim integriranih projekata, LIFE program može financirati druge vrste projekata kao što su pripremna tehnička podrška i pripremni projekti koji mogu poslužiti kao temelj provedbe takvih projekata (razvijenih pod LIFE-om) unutar programa financiranih ESI-em.</w:t>
      </w:r>
    </w:p>
    <w:p w:rsidR="009B2E82" w:rsidRPr="009B2E82" w:rsidRDefault="009B2E82" w:rsidP="009B2E82">
      <w:pPr>
        <w:widowControl w:val="0"/>
        <w:shd w:val="clear" w:color="auto" w:fill="FFFFFF"/>
        <w:autoSpaceDE w:val="0"/>
        <w:autoSpaceDN w:val="0"/>
        <w:adjustRightInd w:val="0"/>
        <w:spacing w:before="274" w:after="0" w:line="240" w:lineRule="auto"/>
        <w:ind w:left="821"/>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24"/>
          <w:szCs w:val="24"/>
          <w:lang w:eastAsia="hr-HR"/>
        </w:rPr>
        <w:t>EUREKA</w:t>
      </w:r>
    </w:p>
    <w:p w:rsidR="009B2E82" w:rsidRPr="009B2E82" w:rsidRDefault="009B2E82" w:rsidP="009B2E82">
      <w:pPr>
        <w:widowControl w:val="0"/>
        <w:shd w:val="clear" w:color="auto" w:fill="FFFFFF"/>
        <w:autoSpaceDE w:val="0"/>
        <w:autoSpaceDN w:val="0"/>
        <w:adjustRightInd w:val="0"/>
        <w:spacing w:before="278" w:after="0" w:line="274" w:lineRule="exact"/>
        <w:ind w:left="816" w:right="1262"/>
        <w:jc w:val="both"/>
        <w:rPr>
          <w:rFonts w:ascii="Times New Roman" w:eastAsia="Times New Roman" w:hAnsi="Times New Roman" w:cs="Times New Roman"/>
          <w:color w:val="000000"/>
          <w:spacing w:val="3"/>
          <w:sz w:val="24"/>
          <w:szCs w:val="24"/>
          <w:lang w:eastAsia="hr-HR"/>
        </w:rPr>
      </w:pPr>
      <w:r w:rsidRPr="009B2E82">
        <w:rPr>
          <w:rFonts w:ascii="Times New Roman" w:eastAsia="Times New Roman" w:hAnsi="Times New Roman" w:cs="Times New Roman"/>
          <w:color w:val="000000"/>
          <w:spacing w:val="3"/>
          <w:sz w:val="24"/>
          <w:szCs w:val="24"/>
          <w:lang w:eastAsia="hr-HR"/>
        </w:rPr>
        <w:t xml:space="preserve">EUREKA je međuvladina organizacija za tržišno industrijsko istraživanje i razvoj u kojem Hrvatska sudjeluje od 2000. godine. Projekte prepoznate i odobrene pod EUREKA-om financirat će korisnik uz javno sufinanciranje do 50 % vrijednosti investicija (u slučaju Hrvatske). Imajući na umu da EUREKA podržava aktivnosti koje su usklađene s aktivnostima predviđenima unutar </w:t>
      </w:r>
      <w:r w:rsidRPr="009B2E82">
        <w:rPr>
          <w:rFonts w:ascii="Times New Roman" w:eastAsia="Times New Roman" w:hAnsi="Times New Roman" w:cs="Times New Roman"/>
          <w:color w:val="000000"/>
          <w:spacing w:val="1"/>
          <w:sz w:val="24"/>
          <w:szCs w:val="24"/>
          <w:lang w:eastAsia="hr-HR"/>
        </w:rPr>
        <w:t xml:space="preserve">TC 1 do TC 6, postoji mogućnost korištenja ESI fondova za djelomično osiguranje spomenutog javnog sufinanciranja projekata prepoznatih unutar programa EUREKA. </w:t>
      </w:r>
    </w:p>
    <w:p w:rsidR="009B2E82" w:rsidRPr="009B2E82" w:rsidRDefault="009B2E82" w:rsidP="009B2E82">
      <w:pPr>
        <w:widowControl w:val="0"/>
        <w:shd w:val="clear" w:color="auto" w:fill="FFFFFF"/>
        <w:autoSpaceDE w:val="0"/>
        <w:autoSpaceDN w:val="0"/>
        <w:adjustRightInd w:val="0"/>
        <w:spacing w:before="278" w:after="0" w:line="240" w:lineRule="auto"/>
        <w:ind w:left="821"/>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4"/>
          <w:szCs w:val="24"/>
          <w:lang w:eastAsia="hr-HR"/>
        </w:rPr>
        <w:t xml:space="preserve">Bespovratna sredstva Europskog gospodarskog područja (EGP) </w:t>
      </w:r>
    </w:p>
    <w:p w:rsidR="009B2E82" w:rsidRPr="009B2E82" w:rsidRDefault="009B2E82" w:rsidP="009B2E82">
      <w:pPr>
        <w:widowControl w:val="0"/>
        <w:shd w:val="clear" w:color="auto" w:fill="FFFFFF"/>
        <w:autoSpaceDE w:val="0"/>
        <w:autoSpaceDN w:val="0"/>
        <w:adjustRightInd w:val="0"/>
        <w:spacing w:before="274" w:after="0" w:line="274" w:lineRule="exact"/>
        <w:ind w:left="821"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4"/>
          <w:szCs w:val="24"/>
          <w:lang w:eastAsia="hr-HR"/>
        </w:rPr>
        <w:t xml:space="preserve">Komplementarnost PO 1 s </w:t>
      </w:r>
      <w:r w:rsidRPr="009B2E82">
        <w:rPr>
          <w:rFonts w:ascii="Times New Roman" w:eastAsia="Times New Roman" w:hAnsi="Times New Roman" w:cs="Times New Roman"/>
          <w:b/>
          <w:color w:val="000000"/>
          <w:spacing w:val="3"/>
          <w:sz w:val="24"/>
          <w:szCs w:val="24"/>
          <w:lang w:eastAsia="hr-HR"/>
        </w:rPr>
        <w:t>Programom financijskog mehanizma EGP-a 2009. - 2014</w:t>
      </w:r>
      <w:r w:rsidRPr="009B2E82">
        <w:rPr>
          <w:rFonts w:ascii="Times New Roman" w:eastAsia="Times New Roman" w:hAnsi="Times New Roman" w:cs="Times New Roman"/>
          <w:color w:val="000000"/>
          <w:spacing w:val="3"/>
          <w:sz w:val="24"/>
          <w:szCs w:val="24"/>
          <w:lang w:eastAsia="hr-HR"/>
        </w:rPr>
        <w:t xml:space="preserve">. kojem je cilj jačanje gospodarske kohezije na nacionalnoj, regionalnoj i lokalnoj razini </w:t>
      </w:r>
      <w:r w:rsidRPr="009B2E82">
        <w:rPr>
          <w:rFonts w:ascii="Times New Roman" w:eastAsia="Times New Roman" w:hAnsi="Times New Roman" w:cs="Times New Roman"/>
          <w:bCs/>
          <w:color w:val="000000"/>
          <w:spacing w:val="3"/>
          <w:sz w:val="24"/>
          <w:szCs w:val="24"/>
          <w:lang w:eastAsia="hr-HR"/>
        </w:rPr>
        <w:t>investicijama u inovacije istraživanja i poslovanja energetike, ekologije i pomorstva.</w:t>
      </w:r>
    </w:p>
    <w:p w:rsidR="009B2E82" w:rsidRPr="009B2E82" w:rsidRDefault="009B2E82" w:rsidP="009B2E82">
      <w:pPr>
        <w:widowControl w:val="0"/>
        <w:shd w:val="clear" w:color="auto" w:fill="FFFFFF"/>
        <w:autoSpaceDE w:val="0"/>
        <w:autoSpaceDN w:val="0"/>
        <w:adjustRightInd w:val="0"/>
        <w:spacing w:before="278" w:after="0" w:line="240" w:lineRule="auto"/>
        <w:ind w:left="83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Švicarsko-hrvatski program suradnje </w:t>
      </w:r>
    </w:p>
    <w:p w:rsidR="009B2E82" w:rsidRPr="009B2E82" w:rsidRDefault="009B2E82" w:rsidP="009B2E82">
      <w:pPr>
        <w:widowControl w:val="0"/>
        <w:shd w:val="clear" w:color="auto" w:fill="FFFFFF"/>
        <w:autoSpaceDE w:val="0"/>
        <w:autoSpaceDN w:val="0"/>
        <w:adjustRightInd w:val="0"/>
        <w:spacing w:before="283" w:after="0" w:line="274" w:lineRule="exact"/>
        <w:ind w:left="816" w:right="1262"/>
        <w:jc w:val="both"/>
        <w:rPr>
          <w:rFonts w:ascii="Times New Roman" w:eastAsia="Times New Roman" w:hAnsi="Times New Roman" w:cs="Times New Roman"/>
          <w:color w:val="000000"/>
          <w:spacing w:val="3"/>
          <w:sz w:val="24"/>
          <w:szCs w:val="24"/>
          <w:lang w:eastAsia="hr-HR"/>
        </w:rPr>
      </w:pPr>
      <w:r w:rsidRPr="009B2E82">
        <w:rPr>
          <w:rFonts w:ascii="Times New Roman" w:eastAsia="Times New Roman" w:hAnsi="Times New Roman" w:cs="Times New Roman"/>
          <w:bCs/>
          <w:color w:val="000000"/>
          <w:spacing w:val="-1"/>
          <w:sz w:val="24"/>
          <w:szCs w:val="24"/>
          <w:lang w:eastAsia="hr-HR"/>
        </w:rPr>
        <w:t>Švicarski program suradnje</w:t>
      </w:r>
      <w:r w:rsidRPr="009B2E82">
        <w:rPr>
          <w:rFonts w:ascii="Times New Roman" w:eastAsia="Times New Roman" w:hAnsi="Times New Roman" w:cs="Times New Roman"/>
          <w:b/>
          <w:bCs/>
          <w:color w:val="000000"/>
          <w:spacing w:val="-1"/>
          <w:sz w:val="24"/>
          <w:szCs w:val="24"/>
          <w:lang w:eastAsia="hr-HR"/>
        </w:rPr>
        <w:t xml:space="preserve"> </w:t>
      </w:r>
      <w:r w:rsidRPr="009B2E82">
        <w:rPr>
          <w:rFonts w:ascii="Times New Roman" w:eastAsia="Times New Roman" w:hAnsi="Times New Roman" w:cs="Times New Roman"/>
          <w:color w:val="000000"/>
          <w:spacing w:val="3"/>
          <w:sz w:val="24"/>
          <w:szCs w:val="24"/>
          <w:lang w:eastAsia="hr-HR"/>
        </w:rPr>
        <w:t xml:space="preserve">financira specifične, visoko kvalitetne projekte s ciljem smanjenja gospodarskih i socijalnih razlika novih zemalja članica EU, i na taj način program podržava Uniju u njenom cilju jačanja unutrašnje gospodarske i socijalne kohezije. Što se tiče tematskih domena i prioriteta postavljenih unutar </w:t>
      </w:r>
      <w:r w:rsidRPr="009B2E82">
        <w:rPr>
          <w:rFonts w:ascii="Times New Roman" w:eastAsia="Times New Roman" w:hAnsi="Times New Roman" w:cs="Times New Roman"/>
          <w:bCs/>
          <w:color w:val="000000"/>
          <w:spacing w:val="-1"/>
          <w:sz w:val="24"/>
          <w:szCs w:val="24"/>
          <w:lang w:eastAsia="hr-HR"/>
        </w:rPr>
        <w:t>Švicarsko-hrvatskog programa suradnje</w:t>
      </w:r>
      <w:r w:rsidRPr="009B2E82">
        <w:rPr>
          <w:rFonts w:ascii="Times New Roman" w:eastAsia="Times New Roman" w:hAnsi="Times New Roman" w:cs="Times New Roman"/>
          <w:b/>
          <w:bCs/>
          <w:color w:val="000000"/>
          <w:spacing w:val="-1"/>
          <w:sz w:val="24"/>
          <w:szCs w:val="24"/>
          <w:lang w:eastAsia="hr-HR"/>
        </w:rPr>
        <w:t xml:space="preserve">, </w:t>
      </w:r>
      <w:r w:rsidRPr="009B2E82">
        <w:rPr>
          <w:rFonts w:ascii="Times New Roman" w:eastAsia="Times New Roman" w:hAnsi="Times New Roman" w:cs="Times New Roman"/>
          <w:bCs/>
          <w:color w:val="000000"/>
          <w:spacing w:val="-1"/>
          <w:sz w:val="24"/>
          <w:szCs w:val="24"/>
          <w:lang w:eastAsia="hr-HR"/>
        </w:rPr>
        <w:t xml:space="preserve">planirano je postizanje uske interne koordinacije svakodnevnim radom Jedinice nacionalne koordinacije smještene u </w:t>
      </w:r>
      <w:r w:rsidRPr="009B2E82">
        <w:rPr>
          <w:rFonts w:ascii="Times New Roman" w:eastAsia="Times New Roman" w:hAnsi="Times New Roman" w:cs="Times New Roman"/>
          <w:color w:val="000000"/>
          <w:spacing w:val="4"/>
          <w:sz w:val="24"/>
          <w:szCs w:val="24"/>
          <w:lang w:eastAsia="hr-HR"/>
        </w:rPr>
        <w:t xml:space="preserve">MRRFEU-u. Iako je postupak izrade programa </w:t>
      </w:r>
      <w:r w:rsidRPr="009B2E82">
        <w:rPr>
          <w:rFonts w:ascii="Times New Roman" w:eastAsia="Times New Roman" w:hAnsi="Times New Roman" w:cs="Times New Roman"/>
          <w:bCs/>
          <w:color w:val="000000"/>
          <w:spacing w:val="-1"/>
          <w:sz w:val="24"/>
          <w:szCs w:val="24"/>
          <w:lang w:eastAsia="hr-HR"/>
        </w:rPr>
        <w:t xml:space="preserve">Švicarsko-hrvatskog programa suradnje tek započeo, predviđa se da će se </w:t>
      </w:r>
      <w:r w:rsidRPr="009B2E82">
        <w:rPr>
          <w:rFonts w:ascii="Times New Roman" w:eastAsia="Times New Roman" w:hAnsi="Times New Roman" w:cs="Times New Roman"/>
          <w:color w:val="000000"/>
          <w:spacing w:val="3"/>
          <w:sz w:val="24"/>
          <w:szCs w:val="24"/>
          <w:lang w:eastAsia="hr-HR"/>
        </w:rPr>
        <w:t xml:space="preserve">program usredotočiti na nekoliko prethodno definiranih infrastrukturnih projekata u pojedinim geografskim područjima s jedne strane, i na mjere sigurnosti, stabilnosti i potpore reformama, kao i na human i društven razvoj s druge strane. </w:t>
      </w:r>
    </w:p>
    <w:p w:rsidR="009B2E82" w:rsidRPr="009B2E82" w:rsidRDefault="009B2E82" w:rsidP="009B2E82">
      <w:pPr>
        <w:widowControl w:val="0"/>
        <w:shd w:val="clear" w:color="auto" w:fill="FFFFFF"/>
        <w:autoSpaceDE w:val="0"/>
        <w:autoSpaceDN w:val="0"/>
        <w:adjustRightInd w:val="0"/>
        <w:spacing w:before="274" w:after="0" w:line="240" w:lineRule="auto"/>
        <w:ind w:left="82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Programi Europske Unije 2014. - 2020. </w:t>
      </w:r>
    </w:p>
    <w:p w:rsidR="009B2E82" w:rsidRPr="009B2E82" w:rsidRDefault="009B2E82" w:rsidP="009B2E82">
      <w:pPr>
        <w:widowControl w:val="0"/>
        <w:shd w:val="clear" w:color="auto" w:fill="FFFFFF"/>
        <w:autoSpaceDE w:val="0"/>
        <w:autoSpaceDN w:val="0"/>
        <w:adjustRightInd w:val="0"/>
        <w:spacing w:before="283" w:after="0" w:line="274" w:lineRule="exact"/>
        <w:ind w:left="816" w:right="1267"/>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S obzirom na područja konstruktivne suradnje i mogućih sinergija između ESI fondova i aktivnosti provedenih kroz druge Unijine instrumente financiranja u Hrvatskoj, glavne će napore uložiti </w:t>
      </w:r>
      <w:r w:rsidRPr="009B2E82">
        <w:rPr>
          <w:rFonts w:ascii="Times New Roman" w:eastAsia="Times New Roman" w:hAnsi="Times New Roman" w:cs="Times New Roman"/>
          <w:color w:val="000000"/>
          <w:spacing w:val="1"/>
          <w:sz w:val="24"/>
          <w:szCs w:val="24"/>
          <w:lang w:eastAsia="hr-HR"/>
        </w:rPr>
        <w:t xml:space="preserve">MRRFEU koji će ostati odgovoran za cjelokupnu koordinaciju EU fondova, npr. za osiguranje uključenosti nadležnih tijela javne uprave u aktivnosti svakog programa na kvalitetan način, kao i praćenje i evaluaciju sudjelovanja Hrvatske u programima. Hrvatska tijela državne uprave sudjelovala su u brojnim programima Unije u financijskoj perspektivi 2007. - 2013 i od 2006. godine stekla su značajnu </w:t>
      </w:r>
      <w:r w:rsidRPr="009B2E82">
        <w:rPr>
          <w:rFonts w:ascii="Times New Roman" w:eastAsia="Times New Roman" w:hAnsi="Times New Roman" w:cs="Times New Roman"/>
          <w:color w:val="000000"/>
          <w:spacing w:val="1"/>
          <w:sz w:val="24"/>
          <w:szCs w:val="24"/>
          <w:lang w:eastAsia="hr-HR"/>
        </w:rPr>
        <w:lastRenderedPageBreak/>
        <w:t xml:space="preserve">količinu iskustva. Hrvatska je već obavila potrebne aktivnosti za korištenje programa Unije u financijskoj perspektivi 2014. – 2020., poput izrade mreže NKP-ova (Nacionalnih kontaktnih točaka) koja će naslijediti većinu postojećih administrativnih struktura iz prethodnog razdoblja. </w:t>
      </w:r>
    </w:p>
    <w:p w:rsidR="009B2E82" w:rsidRPr="009B2E82" w:rsidRDefault="009B2E82" w:rsidP="009B2E82">
      <w:pPr>
        <w:widowControl w:val="0"/>
        <w:shd w:val="clear" w:color="auto" w:fill="FFFFFF"/>
        <w:autoSpaceDE w:val="0"/>
        <w:autoSpaceDN w:val="0"/>
        <w:adjustRightInd w:val="0"/>
        <w:spacing w:before="278" w:after="0" w:line="274" w:lineRule="exact"/>
        <w:ind w:left="816" w:right="1243"/>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Budući da se Hrvatska odlučila za stvaranje stručnog i konkurentnog društva, sinergije PO 1 i indikativnog programa za istraživanje i inovacije </w:t>
      </w:r>
      <w:r w:rsidRPr="009B2E82">
        <w:rPr>
          <w:rFonts w:ascii="Times New Roman" w:eastAsia="Times New Roman" w:hAnsi="Times New Roman" w:cs="Times New Roman"/>
          <w:color w:val="000000"/>
          <w:sz w:val="24"/>
          <w:szCs w:val="24"/>
          <w:lang w:eastAsia="hr-HR"/>
        </w:rPr>
        <w:t xml:space="preserve">(Horizont </w:t>
      </w:r>
      <w:r w:rsidRPr="009B2E82">
        <w:rPr>
          <w:rFonts w:ascii="Times New Roman" w:eastAsia="Times New Roman" w:hAnsi="Times New Roman" w:cs="Times New Roman"/>
          <w:color w:val="000000"/>
          <w:spacing w:val="-1"/>
          <w:sz w:val="24"/>
          <w:szCs w:val="24"/>
          <w:lang w:eastAsia="hr-HR"/>
        </w:rPr>
        <w:t xml:space="preserve">2020) osigurat će se zajedničkim naporima i svakodnevnim radom odgovornih NKT-ova unutar Ministarstva znanosti, obrazovanja i športa i </w:t>
      </w:r>
      <w:r w:rsidRPr="009B2E82">
        <w:rPr>
          <w:rFonts w:ascii="Times New Roman" w:eastAsia="Times New Roman" w:hAnsi="Times New Roman" w:cs="Times New Roman"/>
          <w:color w:val="000000"/>
          <w:spacing w:val="3"/>
          <w:sz w:val="24"/>
          <w:szCs w:val="24"/>
          <w:lang w:eastAsia="hr-HR"/>
        </w:rPr>
        <w:t>MRRFEU-a, kao sveobuhvatnog koordinatora EU fondova. S obzirom na složenost i različitost prilika financiranja, MRRFEU će se po potrebi savjetovati s institucijama zaduženim za pojedine sektore, npr. s Ministarstvom pomorstva, za pitanja komp</w:t>
      </w:r>
      <w:r w:rsidRPr="009B2E82">
        <w:rPr>
          <w:rFonts w:ascii="Times New Roman" w:eastAsia="Times New Roman" w:hAnsi="Times New Roman" w:cs="Times New Roman"/>
          <w:i/>
          <w:color w:val="000000"/>
          <w:spacing w:val="3"/>
          <w:sz w:val="24"/>
          <w:szCs w:val="24"/>
          <w:lang w:eastAsia="hr-HR"/>
        </w:rPr>
        <w:t>lementarnosti aktivnosti u području društvenog izazova „Pametni, zeleni i integrirani prijevoz“ predviđenom unutar programa Horizont 2020 i PO 7 OPKK-a.</w:t>
      </w:r>
    </w:p>
    <w:p w:rsidR="009B2E82" w:rsidRPr="009B2E82" w:rsidRDefault="009B2E82" w:rsidP="009B2E82">
      <w:pPr>
        <w:widowControl w:val="0"/>
        <w:shd w:val="clear" w:color="auto" w:fill="FFFFFF"/>
        <w:autoSpaceDE w:val="0"/>
        <w:autoSpaceDN w:val="0"/>
        <w:adjustRightInd w:val="0"/>
        <w:spacing w:before="278" w:after="0" w:line="274" w:lineRule="exact"/>
        <w:ind w:left="821" w:right="1243"/>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24"/>
          <w:szCs w:val="24"/>
          <w:lang w:eastAsia="hr-HR"/>
        </w:rPr>
        <w:t>Program za konkurentnost poduzeća i malih i srednjih poduzeća (COSME) i omogućavanje sinergije s planiranim aktivnostima pod</w:t>
      </w:r>
      <w:r w:rsidRPr="009B2E82">
        <w:rPr>
          <w:rFonts w:ascii="Times New Roman" w:eastAsia="Times New Roman" w:hAnsi="Times New Roman" w:cs="Times New Roman"/>
          <w:color w:val="000000"/>
          <w:spacing w:val="1"/>
          <w:sz w:val="24"/>
          <w:szCs w:val="24"/>
          <w:lang w:eastAsia="hr-HR"/>
        </w:rPr>
        <w:t xml:space="preserve"> </w:t>
      </w:r>
      <w:r w:rsidRPr="009B2E82">
        <w:rPr>
          <w:rFonts w:ascii="Times New Roman" w:eastAsia="Times New Roman" w:hAnsi="Times New Roman" w:cs="Times New Roman"/>
          <w:color w:val="000000"/>
          <w:spacing w:val="7"/>
          <w:sz w:val="24"/>
          <w:szCs w:val="24"/>
          <w:lang w:eastAsia="hr-HR"/>
        </w:rPr>
        <w:t>PO 3 OPKK-a će se smatrati zajedničkom odgovornosti</w:t>
      </w:r>
      <w:r w:rsidRPr="009B2E82">
        <w:rPr>
          <w:rFonts w:ascii="Times New Roman" w:eastAsia="Times New Roman" w:hAnsi="Times New Roman" w:cs="Times New Roman"/>
          <w:color w:val="000000"/>
          <w:spacing w:val="4"/>
          <w:sz w:val="24"/>
          <w:szCs w:val="24"/>
          <w:lang w:eastAsia="hr-HR"/>
        </w:rPr>
        <w:t xml:space="preserve"> MRRFEU-a i Ministarstva poduzetništva i obrta koji ima zadatak osigurati koordinaciju aktivnosti promidžbe kvalitete i aktivnosti vidljivosti, kao i glatku provedbu programa COSME u Hrvatskoj. </w:t>
      </w:r>
      <w:r w:rsidRPr="009B2E82">
        <w:rPr>
          <w:rFonts w:ascii="Times New Roman" w:eastAsia="Times New Roman" w:hAnsi="Times New Roman" w:cs="Times New Roman"/>
          <w:color w:val="000000"/>
          <w:spacing w:val="7"/>
          <w:sz w:val="24"/>
          <w:szCs w:val="24"/>
          <w:lang w:eastAsia="hr-HR"/>
        </w:rPr>
        <w:t xml:space="preserve"> </w:t>
      </w:r>
    </w:p>
    <w:p w:rsidR="009B2E82" w:rsidRPr="009B2E82" w:rsidRDefault="009B2E82" w:rsidP="009B2E82">
      <w:pPr>
        <w:widowControl w:val="0"/>
        <w:shd w:val="clear" w:color="auto" w:fill="FFFFFF"/>
        <w:autoSpaceDE w:val="0"/>
        <w:autoSpaceDN w:val="0"/>
        <w:adjustRightInd w:val="0"/>
        <w:spacing w:before="278" w:after="0" w:line="274" w:lineRule="exact"/>
        <w:ind w:left="826" w:right="1277"/>
        <w:jc w:val="both"/>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4"/>
          <w:szCs w:val="24"/>
          <w:lang w:eastAsia="hr-HR"/>
        </w:rPr>
        <w:t xml:space="preserve">Koordinacija ETC-a s glavnim OP-om kao i makroregionalnim strategijama </w:t>
      </w:r>
      <w:r w:rsidRPr="009B2E82">
        <w:rPr>
          <w:rFonts w:ascii="Times New Roman" w:eastAsia="Times New Roman" w:hAnsi="Times New Roman" w:cs="Times New Roman"/>
          <w:b/>
          <w:bCs/>
          <w:color w:val="000000"/>
          <w:spacing w:val="-3"/>
          <w:sz w:val="24"/>
          <w:szCs w:val="24"/>
          <w:lang w:eastAsia="hr-HR"/>
        </w:rPr>
        <w:t xml:space="preserve">(MRS) </w:t>
      </w:r>
    </w:p>
    <w:p w:rsidR="009B2E82" w:rsidRPr="009B2E82" w:rsidRDefault="009B2E82" w:rsidP="009B2E82">
      <w:pPr>
        <w:widowControl w:val="0"/>
        <w:shd w:val="clear" w:color="auto" w:fill="FFFFFF"/>
        <w:autoSpaceDE w:val="0"/>
        <w:autoSpaceDN w:val="0"/>
        <w:adjustRightInd w:val="0"/>
        <w:spacing w:before="278" w:after="0" w:line="274" w:lineRule="exact"/>
        <w:ind w:left="816" w:right="1262"/>
        <w:jc w:val="both"/>
        <w:rPr>
          <w:rFonts w:ascii="Times New Roman" w:eastAsia="Times New Roman" w:hAnsi="Times New Roman" w:cs="Times New Roman"/>
          <w:color w:val="000000"/>
          <w:spacing w:val="2"/>
          <w:sz w:val="24"/>
          <w:szCs w:val="24"/>
          <w:lang w:eastAsia="hr-HR"/>
        </w:rPr>
      </w:pPr>
      <w:r w:rsidRPr="009B2E82">
        <w:rPr>
          <w:rFonts w:ascii="Times New Roman" w:eastAsia="Times New Roman" w:hAnsi="Times New Roman" w:cs="Times New Roman"/>
          <w:color w:val="000000"/>
          <w:spacing w:val="2"/>
          <w:sz w:val="24"/>
          <w:szCs w:val="24"/>
          <w:lang w:eastAsia="hr-HR"/>
        </w:rPr>
        <w:t xml:space="preserve">Koordinacija OPKK-a i svih 13 teritorijalnih programa suradnje bit će ostvarena redovnim sastancima osoblja svih programa, dok će se koordinacija s MRS-om postići na višem stupnju pomoću NKO-a. Očekuje se koordinacija u pogledu objave natječaja, usklađivanja primjenjivih pravila kvalificiranosti za korisnike i za troškove, aktivnosti objave i vidljivosti, aktivnosti vezane uz otkrivanje, prevenciju i izvještavanje o nepravilnostima, procese žalbi odabirom radnji na nižoj razini budući da se pravila za odabir radnji razlikuju, pa samo prethodno ugovorene operacije mogu /trebaju uspoređivati. Ovime bi se trebala postići određena razina prevencije dvostrukog financiranja. </w:t>
      </w:r>
    </w:p>
    <w:p w:rsidR="009B2E82" w:rsidRPr="009B2E82" w:rsidRDefault="009B2E82" w:rsidP="009B2E82">
      <w:pPr>
        <w:widowControl w:val="0"/>
        <w:shd w:val="clear" w:color="auto" w:fill="FFFFFF"/>
        <w:autoSpaceDE w:val="0"/>
        <w:autoSpaceDN w:val="0"/>
        <w:adjustRightInd w:val="0"/>
        <w:spacing w:before="278" w:after="0" w:line="278" w:lineRule="exact"/>
        <w:ind w:left="816"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U pogledu makro-regionalnih strategija, koordinacija će se postići kroz NKO gdje će se koordinirati unutarnja i vanjska financijska pomoć. NKO bi trebao preuzeti članove sadašnjeg Nacionalnog vijeća uspostavljenog za međunarodne i međuregionalne programe i MRS-ove i proširiti se ostalim bitnim članovima čineći tako izvrsnu platformu za koordinaciju i savjetovanje s većim bojem relevantnih dionika. </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pacing w:val="2"/>
          <w:sz w:val="24"/>
          <w:szCs w:val="24"/>
          <w:lang w:eastAsia="hr-HR"/>
        </w:rPr>
      </w:pPr>
      <w:r w:rsidRPr="009B2E82">
        <w:rPr>
          <w:rFonts w:ascii="Times New Roman" w:eastAsia="Times New Roman" w:hAnsi="Times New Roman" w:cs="Times New Roman"/>
          <w:color w:val="000000"/>
          <w:spacing w:val="2"/>
          <w:sz w:val="24"/>
          <w:szCs w:val="24"/>
          <w:lang w:eastAsia="hr-HR"/>
        </w:rPr>
        <w:t xml:space="preserve">Usklađivanje započetih ili završenih projekata s MRS-ovima provest će se na ovoj razini redovnim izvještavanjem i sastancima NKO-a. Očekuje se da bi NKO mogao savjetovati UT-ove i NT-ove u slučaju neraspoređenih ETC programa o financiranju dodatnih aktivnosti suradnje gdje postoji mogućnost da projekti pridonose makro-regionalnim ciljevima. Napominjući ovo, NKO će primiti popis i sažetak svih financiranih projekata kako bi mogli dostaviti te prijedloge. </w:t>
      </w:r>
    </w:p>
    <w:p w:rsidR="009B2E82" w:rsidRPr="009B2E82" w:rsidRDefault="009B2E82" w:rsidP="009B2E82">
      <w:pPr>
        <w:widowControl w:val="0"/>
        <w:shd w:val="clear" w:color="auto" w:fill="FFFFFF"/>
        <w:autoSpaceDE w:val="0"/>
        <w:autoSpaceDN w:val="0"/>
        <w:adjustRightInd w:val="0"/>
        <w:spacing w:before="274" w:after="0" w:line="240" w:lineRule="auto"/>
        <w:ind w:left="82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4"/>
          <w:szCs w:val="24"/>
          <w:lang w:eastAsia="hr-HR"/>
        </w:rPr>
        <w:t>EIB</w:t>
      </w:r>
    </w:p>
    <w:p w:rsidR="009B2E82" w:rsidRPr="009B2E82" w:rsidRDefault="009B2E82" w:rsidP="009B2E82">
      <w:pPr>
        <w:widowControl w:val="0"/>
        <w:shd w:val="clear" w:color="auto" w:fill="FFFFFF"/>
        <w:autoSpaceDE w:val="0"/>
        <w:autoSpaceDN w:val="0"/>
        <w:adjustRightInd w:val="0"/>
        <w:spacing w:before="278" w:after="0" w:line="274" w:lineRule="exact"/>
        <w:ind w:left="816" w:right="1243"/>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Hrvatska se namjerava prijaviti za kredit EIB-a kako bi se olakšala provedba ESI fondova u razdoblju od 2014. do 2012. godine. Cilj je snažan fokus na područja prometa, otpada, zaštite vode i okoliša, istraživanja i razvoja, ali i na ostale sektore s apsorpcijskim potencijalom. </w:t>
      </w:r>
    </w:p>
    <w:p w:rsidR="009B2E82" w:rsidRPr="009B2E82" w:rsidRDefault="009B2E82" w:rsidP="009B2E82">
      <w:pPr>
        <w:widowControl w:val="0"/>
        <w:shd w:val="clear" w:color="auto" w:fill="FFFFFF"/>
        <w:autoSpaceDE w:val="0"/>
        <w:autoSpaceDN w:val="0"/>
        <w:adjustRightInd w:val="0"/>
        <w:spacing w:before="274" w:after="0" w:line="274" w:lineRule="exact"/>
        <w:ind w:left="816"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lastRenderedPageBreak/>
        <w:t xml:space="preserve">S ulogom koordinacijskog tijela i upravljačkog tijela OPKK-a, MRRFEU je prepoznat kao logično institucionalno rješenje za koordinaciju potencijalnih budućih kredita za strukturalne programe. Na taj način, EIB će imati dva glavna partnera (MFIN kao posuđivača i MRRFEU kao promotora) što će pridonijeti učinkovitoj organizaciji i fokusiranju aktivnosti na postizanje strateških ciljeva.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7920" w:after="0" w:line="240" w:lineRule="auto"/>
        <w:rPr>
          <w:rFonts w:ascii="Arial" w:eastAsia="Times New Roman" w:hAnsi="Arial" w:cs="Arial"/>
          <w:sz w:val="20"/>
          <w:szCs w:val="20"/>
          <w:lang w:eastAsia="hr-HR"/>
        </w:rPr>
        <w:sectPr w:rsidR="009B2E82" w:rsidRPr="009B2E82">
          <w:pgSz w:w="11909" w:h="16834"/>
          <w:pgMar w:top="912"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4"/>
          <w:sz w:val="24"/>
          <w:szCs w:val="24"/>
          <w:lang w:eastAsia="hr-HR"/>
        </w:rPr>
        <w:lastRenderedPageBreak/>
        <w:t xml:space="preserve">9. EX-ANTE UVJETOVANOSTI </w:t>
      </w:r>
    </w:p>
    <w:p w:rsidR="009B2E82" w:rsidRPr="009B2E82" w:rsidRDefault="009B2E82" w:rsidP="009B2E82">
      <w:pPr>
        <w:widowControl w:val="0"/>
        <w:shd w:val="clear" w:color="auto" w:fill="FFFFFF"/>
        <w:autoSpaceDE w:val="0"/>
        <w:autoSpaceDN w:val="0"/>
        <w:adjustRightInd w:val="0"/>
        <w:spacing w:before="514" w:after="0" w:line="240" w:lineRule="auto"/>
        <w:ind w:left="82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4"/>
          <w:szCs w:val="24"/>
          <w:lang w:eastAsia="hr-HR"/>
        </w:rPr>
        <w:t xml:space="preserve">9.1 Ex-ante uvjetovanosti </w:t>
      </w:r>
    </w:p>
    <w:p w:rsidR="009B2E82" w:rsidRPr="009B2E82" w:rsidRDefault="009B2E82" w:rsidP="009B2E82">
      <w:pPr>
        <w:widowControl w:val="0"/>
        <w:shd w:val="clear" w:color="auto" w:fill="FFFFFF"/>
        <w:autoSpaceDE w:val="0"/>
        <w:autoSpaceDN w:val="0"/>
        <w:adjustRightInd w:val="0"/>
        <w:spacing w:before="110" w:after="0" w:line="278" w:lineRule="exact"/>
        <w:ind w:left="826" w:right="1387"/>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4"/>
          <w:szCs w:val="24"/>
          <w:lang w:eastAsia="hr-HR"/>
        </w:rPr>
        <w:t xml:space="preserve">Informacije o procjeni primjenjivosti i ispunjavanju ex-ante uvjetovanosti (proizvoljno). </w:t>
      </w:r>
    </w:p>
    <w:p w:rsidR="009B2E82" w:rsidRPr="009B2E82" w:rsidRDefault="009B2E82" w:rsidP="009B2E82">
      <w:pPr>
        <w:widowControl w:val="0"/>
        <w:shd w:val="clear" w:color="auto" w:fill="FFFFFF"/>
        <w:autoSpaceDE w:val="0"/>
        <w:autoSpaceDN w:val="0"/>
        <w:adjustRightInd w:val="0"/>
        <w:spacing w:before="115" w:after="0" w:line="274" w:lineRule="exact"/>
        <w:ind w:left="816" w:right="1387"/>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Sljedeće tablice 24, 25 i 26 sadrže bitne sažete točke u skladu s propisanom duljinom i sadržajem, dok su detaljnije informacije sadržane u posebnom Prilogu OPKK-a: Dokumentacija o procjeni primjenjivosti i ispunjavanju ex-ante okolnosti.</w:t>
      </w:r>
    </w:p>
    <w:p w:rsidR="009B2E82" w:rsidRPr="009B2E82" w:rsidRDefault="009B2E82" w:rsidP="009B2E82">
      <w:pPr>
        <w:widowControl w:val="0"/>
        <w:shd w:val="clear" w:color="auto" w:fill="FFFFFF"/>
        <w:autoSpaceDE w:val="0"/>
        <w:autoSpaceDN w:val="0"/>
        <w:adjustRightInd w:val="0"/>
        <w:spacing w:before="835" w:after="0" w:line="240" w:lineRule="auto"/>
        <w:ind w:left="826"/>
        <w:rPr>
          <w:rFonts w:ascii="Times New Roman" w:eastAsia="Times New Roman" w:hAnsi="Times New Roman" w:cs="Times New Roman"/>
          <w:sz w:val="2"/>
          <w:szCs w:val="2"/>
          <w:lang w:eastAsia="hr-HR"/>
        </w:rPr>
      </w:pPr>
      <w:r w:rsidRPr="009B2E82">
        <w:rPr>
          <w:rFonts w:ascii="Times New Roman" w:eastAsia="Times New Roman" w:hAnsi="Times New Roman" w:cs="Times New Roman"/>
          <w:b/>
          <w:bCs/>
          <w:color w:val="000000"/>
          <w:spacing w:val="-1"/>
          <w:sz w:val="24"/>
          <w:szCs w:val="24"/>
          <w:lang w:eastAsia="hr-HR"/>
        </w:rPr>
        <w:t>Tablica 24: Primjenjive ex-ante uvjetovanosti i procjena njihova ispunjavanja</w:t>
      </w:r>
    </w:p>
    <w:tbl>
      <w:tblPr>
        <w:tblW w:w="0" w:type="auto"/>
        <w:tblInd w:w="40" w:type="dxa"/>
        <w:tblLayout w:type="fixed"/>
        <w:tblCellMar>
          <w:left w:w="40" w:type="dxa"/>
          <w:right w:w="40" w:type="dxa"/>
        </w:tblCellMar>
        <w:tblLook w:val="0000" w:firstRow="0" w:lastRow="0" w:firstColumn="0" w:lastColumn="0" w:noHBand="0" w:noVBand="0"/>
      </w:tblPr>
      <w:tblGrid>
        <w:gridCol w:w="3274"/>
        <w:gridCol w:w="3542"/>
        <w:gridCol w:w="1939"/>
      </w:tblGrid>
      <w:tr w:rsidR="009B2E82" w:rsidRPr="009B2E82" w:rsidTr="009B2E82">
        <w:trPr>
          <w:trHeight w:hRule="exact" w:val="105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Ex-ante uvjetovanost</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77" w:right="8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Prioritetne osi na koje se uvjetovanost odnosi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82" w:right="10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 xml:space="preserve">Ex-ante uvjetovanost ispunjena </w:t>
            </w:r>
            <w:r w:rsidRPr="009B2E82">
              <w:rPr>
                <w:rFonts w:ascii="Times New Roman" w:eastAsia="Times New Roman" w:hAnsi="Times New Roman" w:cs="Times New Roman"/>
                <w:b/>
                <w:bCs/>
                <w:color w:val="000000"/>
                <w:spacing w:val="-2"/>
                <w:sz w:val="20"/>
                <w:szCs w:val="20"/>
                <w:lang w:eastAsia="hr-HR"/>
              </w:rPr>
              <w:t>(Da/Ne/Djelomično )</w:t>
            </w:r>
          </w:p>
        </w:tc>
      </w:tr>
      <w:tr w:rsidR="009B2E82" w:rsidRPr="009B2E82" w:rsidTr="009B2E82">
        <w:trPr>
          <w:trHeight w:hRule="exact" w:val="2565"/>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43"/>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T.01.1 - Istraživanje i inovacije: Postojanje nacionalne ili regionalne strategije pametne specijalizacije u skladu s nacionalnim programom reformi kako bi se utjecalo na rashode za privatna istraživanja i inovacije, koja udovoljava svojstvima nacionalnih ili regionalnih sustava za istraživanje i inovacije.</w:t>
            </w:r>
          </w:p>
          <w:p w:rsidR="009B2E82" w:rsidRPr="009B2E82" w:rsidRDefault="009B2E82" w:rsidP="009B2E82">
            <w:pPr>
              <w:widowControl w:val="0"/>
              <w:shd w:val="clear" w:color="auto" w:fill="FFFFFF"/>
              <w:autoSpaceDE w:val="0"/>
              <w:autoSpaceDN w:val="0"/>
              <w:adjustRightInd w:val="0"/>
              <w:spacing w:after="0" w:line="230" w:lineRule="exact"/>
              <w:ind w:left="5" w:right="43"/>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20"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–Jačanje gospodarstva primjenom istraživanja i inovacija </w:t>
            </w:r>
          </w:p>
          <w:p w:rsidR="009B2E82" w:rsidRPr="009B2E82" w:rsidRDefault="009B2E82" w:rsidP="009B2E82">
            <w:pPr>
              <w:widowControl w:val="0"/>
              <w:shd w:val="clear" w:color="auto" w:fill="FFFFFF"/>
              <w:autoSpaceDE w:val="0"/>
              <w:autoSpaceDN w:val="0"/>
              <w:adjustRightInd w:val="0"/>
              <w:spacing w:after="0" w:line="230" w:lineRule="exact"/>
              <w:ind w:right="120" w:firstLine="5"/>
              <w:rPr>
                <w:rFonts w:ascii="Arial" w:eastAsia="Times New Roman" w:hAnsi="Arial" w:cs="Arial"/>
                <w:sz w:val="20"/>
                <w:szCs w:val="20"/>
                <w:lang w:eastAsia="hr-HR"/>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2323"/>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48"/>
              <w:jc w:val="both"/>
              <w:rPr>
                <w:rFonts w:ascii="Times New Roman" w:eastAsia="Times New Roman" w:hAnsi="Times New Roman" w:cs="Times New Roman"/>
                <w:sz w:val="20"/>
                <w:szCs w:val="20"/>
                <w:lang w:eastAsia="hr-HR"/>
              </w:rPr>
            </w:pPr>
            <w:r w:rsidRPr="009B2E82">
              <w:rPr>
                <w:rFonts w:ascii="Times New Roman" w:eastAsia="Times New Roman" w:hAnsi="Times New Roman" w:cs="Times New Roman"/>
                <w:color w:val="000000"/>
                <w:spacing w:val="1"/>
                <w:sz w:val="20"/>
                <w:szCs w:val="20"/>
                <w:lang w:eastAsia="hr-HR"/>
              </w:rPr>
              <w:t>T.02.1 –</w:t>
            </w:r>
            <w:r w:rsidRPr="009B2E82">
              <w:rPr>
                <w:rFonts w:ascii="Times New Roman" w:eastAsia="Times New Roman" w:hAnsi="Times New Roman" w:cs="Times New Roman"/>
                <w:b/>
                <w:bCs/>
                <w:i/>
                <w:color w:val="000000"/>
                <w:spacing w:val="1"/>
                <w:sz w:val="20"/>
                <w:szCs w:val="20"/>
                <w:lang w:eastAsia="hr-HR"/>
              </w:rPr>
              <w:t xml:space="preserve"> </w:t>
            </w:r>
            <w:r w:rsidRPr="009B2E82">
              <w:rPr>
                <w:rFonts w:ascii="Times New Roman" w:eastAsia="Times New Roman" w:hAnsi="Times New Roman" w:cs="Times New Roman"/>
                <w:color w:val="000000"/>
                <w:spacing w:val="1"/>
                <w:sz w:val="20"/>
                <w:szCs w:val="20"/>
                <w:lang w:eastAsia="hr-HR"/>
              </w:rPr>
              <w:t>Digitalni rast: Strateški okvir za politiku digitalnog rasta za poticanje povoljnih, kvalitetnih i interoperabilnih privatnih i javnih usluga na temelju IKT-a te za povećanje prihvaćenosti od strane građana, uključujući ranjive skupine, poduzeća i javne uprave, uključujući prekogranične inicijative</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917" w:hanging="14"/>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2 – Korištenje informacijske i komunikacijske tehnologije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Ne</w:t>
            </w:r>
          </w:p>
        </w:tc>
      </w:tr>
      <w:tr w:rsidR="009B2E82" w:rsidRPr="009B2E82" w:rsidTr="009B2E82">
        <w:trPr>
          <w:trHeight w:hRule="exact" w:val="3235"/>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3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T.02.2- Infrastruktura za mreže sljedeće generacije (NGN); Postojanje nacionalnih ili regionalnih planova za mreže sljedeće generacije u kojima se uzimaju u obzir regionalne aktivnosti kako bi se postigli ciljevi pristupa internetu velike brzine u Europskoj uniji s naglaskom na područja na kojima tržište ne uspijeva pružiti otvorenu infrastrukturu pristupačne cijene i kakvoće u skladu s pravilima EU-a o konkurentnosti i državnim potporama i kako bi se pružile dostupne usluge osjetljivim skupinama.</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324C8B" w:rsidP="009B2E82">
            <w:pPr>
              <w:widowControl w:val="0"/>
              <w:shd w:val="clear" w:color="auto" w:fill="FFFFFF"/>
              <w:autoSpaceDE w:val="0"/>
              <w:autoSpaceDN w:val="0"/>
              <w:adjustRightInd w:val="0"/>
              <w:spacing w:after="0" w:line="230" w:lineRule="exact"/>
              <w:ind w:right="917" w:hanging="14"/>
              <w:rPr>
                <w:rFonts w:ascii="Arial" w:eastAsia="Times New Roman" w:hAnsi="Arial" w:cs="Arial"/>
                <w:sz w:val="20"/>
                <w:szCs w:val="20"/>
                <w:lang w:eastAsia="hr-HR"/>
              </w:rPr>
            </w:pPr>
            <w:r>
              <w:rPr>
                <w:rFonts w:ascii="Times New Roman" w:eastAsia="Times New Roman" w:hAnsi="Times New Roman" w:cs="Times New Roman"/>
                <w:color w:val="000000"/>
                <w:sz w:val="20"/>
                <w:szCs w:val="20"/>
                <w:lang w:eastAsia="hr-HR"/>
              </w:rPr>
              <w:t>2 - Korištenje</w:t>
            </w:r>
            <w:r w:rsidR="009B2E82" w:rsidRPr="009B2E82">
              <w:rPr>
                <w:rFonts w:ascii="Times New Roman" w:eastAsia="Times New Roman" w:hAnsi="Times New Roman" w:cs="Times New Roman"/>
                <w:color w:val="000000"/>
                <w:sz w:val="20"/>
                <w:szCs w:val="20"/>
                <w:lang w:eastAsia="hr-HR"/>
              </w:rPr>
              <w:t xml:space="preserve"> informacijskih i komunikacijskih tehnologija</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605"/>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1" w:lineRule="exact"/>
              <w:ind w:left="10" w:right="2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T.03.1 – Provedene su posebne aktivnosti promicanja poduzetništva</w:t>
            </w:r>
          </w:p>
          <w:p w:rsidR="009B2E82" w:rsidRPr="009B2E82" w:rsidRDefault="009B2E82" w:rsidP="009B2E82">
            <w:pPr>
              <w:widowControl w:val="0"/>
              <w:shd w:val="clear" w:color="auto" w:fill="FFFFFF"/>
              <w:autoSpaceDE w:val="0"/>
              <w:autoSpaceDN w:val="0"/>
              <w:adjustRightInd w:val="0"/>
              <w:spacing w:after="0" w:line="221" w:lineRule="exact"/>
              <w:ind w:left="10" w:right="29"/>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3 - Poslovna konkurentnost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1909" w:h="16834"/>
          <w:pgMar w:top="1052"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1052" w:right="360" w:bottom="360" w:left="730" w:header="720" w:footer="720" w:gutter="0"/>
          <w:cols w:num="3" w:space="720" w:equalWidth="0">
            <w:col w:w="720" w:space="4459"/>
            <w:col w:w="720" w:space="420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274"/>
        <w:gridCol w:w="3542"/>
        <w:gridCol w:w="1973"/>
      </w:tblGrid>
      <w:tr w:rsidR="009B2E82" w:rsidRPr="009B2E82" w:rsidTr="009B2E82">
        <w:trPr>
          <w:trHeight w:hRule="exact" w:val="105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lastRenderedPageBreak/>
              <w:t xml:space="preserve">Ex ante uvjetovanost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77" w:right="91"/>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 xml:space="preserve">Prioritetne osi na koje se uvjetovanost odnosi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82" w:right="10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 xml:space="preserve">Ex ante uvjetovanost ispunjena (Da/Ne/Djelomično) </w:t>
            </w:r>
          </w:p>
        </w:tc>
      </w:tr>
      <w:tr w:rsidR="009B2E82" w:rsidRPr="009B2E82" w:rsidTr="009B2E82">
        <w:trPr>
          <w:trHeight w:hRule="exact" w:val="82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0" w:right="504"/>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uzimajući u obzir Zakon o malim poduzećima (ZMP).</w:t>
            </w:r>
          </w:p>
          <w:p w:rsidR="009B2E82" w:rsidRPr="009B2E82" w:rsidRDefault="009B2E82" w:rsidP="009B2E82">
            <w:pPr>
              <w:widowControl w:val="0"/>
              <w:shd w:val="clear" w:color="auto" w:fill="FFFFFF"/>
              <w:autoSpaceDE w:val="0"/>
              <w:autoSpaceDN w:val="0"/>
              <w:adjustRightInd w:val="0"/>
              <w:spacing w:after="0" w:line="230" w:lineRule="exact"/>
              <w:ind w:left="10" w:right="504"/>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1622"/>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10" w:right="2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T.04.1 - Provedene su aktivnosti promicanja učinkovite potrošnje energije te učinkovitih ulaganja u energetsku učinkovitost pri izgradnji ili obnovi zgrada </w:t>
            </w:r>
          </w:p>
          <w:p w:rsidR="009B2E82" w:rsidRPr="009B2E82" w:rsidRDefault="009B2E82" w:rsidP="009B2E82">
            <w:pPr>
              <w:widowControl w:val="0"/>
              <w:shd w:val="clear" w:color="auto" w:fill="FFFFFF"/>
              <w:autoSpaceDE w:val="0"/>
              <w:autoSpaceDN w:val="0"/>
              <w:adjustRightInd w:val="0"/>
              <w:spacing w:after="0" w:line="226" w:lineRule="exact"/>
              <w:ind w:left="10" w:right="29"/>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365"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94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10" w:right="221"/>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T.04.2 - Provedene su aktivnosti promicanja visokoučinkovite kogeneracije toplinske i električne energije.</w:t>
            </w:r>
          </w:p>
          <w:p w:rsidR="009B2E82" w:rsidRPr="009B2E82" w:rsidRDefault="009B2E82" w:rsidP="009B2E82">
            <w:pPr>
              <w:widowControl w:val="0"/>
              <w:shd w:val="clear" w:color="auto" w:fill="FFFFFF"/>
              <w:autoSpaceDE w:val="0"/>
              <w:autoSpaceDN w:val="0"/>
              <w:adjustRightInd w:val="0"/>
              <w:spacing w:after="0" w:line="226" w:lineRule="exact"/>
              <w:ind w:left="10" w:right="221"/>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365"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w:t>
            </w:r>
            <w:r w:rsidRPr="009B2E82">
              <w:rPr>
                <w:rFonts w:ascii="Times New Roman" w:eastAsia="Times New Roman" w:hAnsi="Times New Roman" w:cs="Times New Roman"/>
                <w:bCs/>
                <w:iCs/>
                <w:color w:val="000000"/>
                <w:spacing w:val="-1"/>
                <w:sz w:val="20"/>
                <w:szCs w:val="20"/>
                <w:lang w:eastAsia="hr-HR"/>
              </w:rPr>
              <w:t>Promicanje energetske učinkovitosti i obnovljivih izvora energije</w:t>
            </w:r>
            <w:r w:rsidRPr="009B2E82">
              <w:rPr>
                <w:rFonts w:ascii="Times New Roman" w:eastAsia="Times New Roman" w:hAnsi="Times New Roman" w:cs="Times New Roman"/>
                <w:color w:val="000000"/>
                <w:spacing w:val="-1"/>
                <w:sz w:val="20"/>
                <w:szCs w:val="20"/>
                <w:lang w:eastAsia="hr-HR"/>
              </w:rPr>
              <w:t xml:space="preserve">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Ne</w:t>
            </w:r>
          </w:p>
        </w:tc>
      </w:tr>
      <w:tr w:rsidR="009B2E82" w:rsidRPr="009B2E82" w:rsidTr="009B2E82">
        <w:trPr>
          <w:trHeight w:hRule="exact" w:val="117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21"/>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T.04.3 - Provedene su aktivnosti promicanja proizvodnje i distribucije obnovljivih izvora energije.</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365"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r>
      <w:tr w:rsidR="009B2E82" w:rsidRPr="009B2E82" w:rsidTr="009B2E82">
        <w:trPr>
          <w:trHeight w:hRule="exact" w:val="1402"/>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1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T.05.1 - Sprečavanje rizika i upravljanje rizikom: Postojanje </w:t>
            </w:r>
            <w:r w:rsidRPr="009B2E82">
              <w:rPr>
                <w:rFonts w:ascii="Times New Roman" w:eastAsia="Times New Roman" w:hAnsi="Times New Roman" w:cs="Times New Roman"/>
                <w:iCs/>
                <w:color w:val="000000"/>
                <w:spacing w:val="1"/>
                <w:sz w:val="20"/>
                <w:szCs w:val="20"/>
                <w:lang w:eastAsia="hr-HR"/>
              </w:rPr>
              <w:t>nacionalnih ili regionalnih procjena rizika</w:t>
            </w:r>
            <w:r w:rsidRPr="009B2E82">
              <w:rPr>
                <w:rFonts w:ascii="Times New Roman" w:eastAsia="Times New Roman" w:hAnsi="Times New Roman" w:cs="Times New Roman"/>
                <w:color w:val="000000"/>
                <w:spacing w:val="1"/>
                <w:sz w:val="20"/>
                <w:szCs w:val="20"/>
                <w:lang w:eastAsia="hr-HR"/>
              </w:rPr>
              <w:t xml:space="preserve"> za upravljanje katastrofama uzimajući u obzir prilagodbu na klimatske promjene.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0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Klimatske promjene i upravljanje rizicima</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Ne</w:t>
            </w:r>
          </w:p>
        </w:tc>
      </w:tr>
      <w:tr w:rsidR="009B2E82" w:rsidRPr="009B2E82" w:rsidTr="009B2E82">
        <w:trPr>
          <w:trHeight w:hRule="exact" w:val="2784"/>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38"/>
              <w:rPr>
                <w:rFonts w:ascii="Times New Roman" w:eastAsia="Times New Roman" w:hAnsi="Times New Roman" w:cs="Times New Roman"/>
                <w:i/>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T.06.1. - Vodni sektor: Postojanje a) politike određivanja cijene vode koja daje prikladne poticaje korisnicima da učinkovito koriste vodne resurse i b) prikladan doprinos različitih načina korištenja voda povratu troškova vodnih usluga po stopi koja je utvrđena u odobrenom planu upravljanja vodenim slivom za ulaganja podržana u okviru programa</w:t>
            </w:r>
          </w:p>
          <w:p w:rsidR="009B2E82" w:rsidRPr="009B2E82" w:rsidRDefault="009B2E82" w:rsidP="009B2E82">
            <w:pPr>
              <w:widowControl w:val="0"/>
              <w:shd w:val="clear" w:color="auto" w:fill="FFFFFF"/>
              <w:autoSpaceDE w:val="0"/>
              <w:autoSpaceDN w:val="0"/>
              <w:adjustRightInd w:val="0"/>
              <w:spacing w:after="0" w:line="230" w:lineRule="exact"/>
              <w:ind w:left="5" w:right="29"/>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58"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Zaš</w:t>
            </w:r>
            <w:r w:rsidR="00324C8B">
              <w:rPr>
                <w:rFonts w:ascii="Times New Roman" w:eastAsia="Times New Roman" w:hAnsi="Times New Roman" w:cs="Times New Roman"/>
                <w:color w:val="000000"/>
                <w:spacing w:val="-1"/>
                <w:sz w:val="20"/>
                <w:szCs w:val="20"/>
                <w:lang w:eastAsia="hr-HR"/>
              </w:rPr>
              <w:t>tita okoliša i održivost resursa</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2083"/>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5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T.06.2 - Sektor otpada: Promicanje gospodarski i ekološki održivih ulaganja u sektor otpada posebno razvojem planova gospodarenja otpadom u skladu s Direktivom 2008/98/EZ o otpadu i s hijerarhijom otpada</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58"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Zaš</w:t>
            </w:r>
            <w:r w:rsidR="00324C8B">
              <w:rPr>
                <w:rFonts w:ascii="Times New Roman" w:eastAsia="Times New Roman" w:hAnsi="Times New Roman" w:cs="Times New Roman"/>
                <w:color w:val="000000"/>
                <w:spacing w:val="-1"/>
                <w:sz w:val="20"/>
                <w:szCs w:val="20"/>
                <w:lang w:eastAsia="hr-HR"/>
              </w:rPr>
              <w:t>tita okoliša i održivost resursa</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2218"/>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86"/>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 xml:space="preserve">T.07.1 - Promet: Postojanje sveobuhvatnih planova ili okvira za ulaganja u promet u skladu s institucionalnim ustrojstvom države članice (uključujući javni prijevoz na regionalnoj i lokalnoj razini) koji podupiru razvoj infrastrukture i poboljšavaju povezanost sa sveobuhvatnim i jezgrenim mrežama TEN-T. </w:t>
            </w:r>
          </w:p>
          <w:p w:rsidR="009B2E82" w:rsidRPr="009B2E82" w:rsidRDefault="009B2E82" w:rsidP="009B2E82">
            <w:pPr>
              <w:widowControl w:val="0"/>
              <w:shd w:val="clear" w:color="auto" w:fill="FFFFFF"/>
              <w:autoSpaceDE w:val="0"/>
              <w:autoSpaceDN w:val="0"/>
              <w:adjustRightInd w:val="0"/>
              <w:spacing w:after="0" w:line="226" w:lineRule="exact"/>
              <w:ind w:left="5" w:right="86"/>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 xml:space="preserve">7 – Povezanost i mobilnost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Ne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1909" w:h="16834"/>
          <w:pgMar w:top="929"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929" w:right="360" w:bottom="360" w:left="730" w:header="720" w:footer="720" w:gutter="0"/>
          <w:cols w:num="3" w:space="720" w:equalWidth="0">
            <w:col w:w="720" w:space="4459"/>
            <w:col w:w="720" w:space="420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274"/>
        <w:gridCol w:w="3542"/>
        <w:gridCol w:w="1973"/>
      </w:tblGrid>
      <w:tr w:rsidR="009B2E82" w:rsidRPr="009B2E82" w:rsidTr="009B2E82">
        <w:trPr>
          <w:trHeight w:hRule="exact" w:val="105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lastRenderedPageBreak/>
              <w:t xml:space="preserve">Ex ante uvjetovanost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77" w:right="91"/>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 xml:space="preserve">Prioritetne osi na koje se uvjetovanost odnosi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82" w:right="10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 xml:space="preserve">Ex ante uvjetovanost ispunjena (Da/Ne/Djelomično) </w:t>
            </w:r>
          </w:p>
        </w:tc>
      </w:tr>
      <w:tr w:rsidR="009B2E82" w:rsidRPr="009B2E82" w:rsidTr="009B2E82">
        <w:trPr>
          <w:trHeight w:hRule="exact" w:val="595"/>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0" w:right="494"/>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30" w:lineRule="exact"/>
              <w:ind w:left="10" w:right="494"/>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369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72"/>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T.07.2 - Željeznička infrastruktura: Postojanje posebnog odjeljka o razvoju željeznice u okviru sveobuhvatnih planova ili okvira za ulaganja u promet u skladu s institucionalnim ustrojstvom države članice (uključujući javni prijevoz na regionalnoj i lokalnoj razini) koji podupiru razvoj infrastrukture i poboljšavaju povezanost sa sveobuhvatnim i jezgrenim mrežama TEN-T. Ulaganja obuhvaćaju pokretnu imovinu, interoperabilnost i izgradnju kapaciteta.</w:t>
            </w:r>
          </w:p>
          <w:p w:rsidR="009B2E82" w:rsidRPr="009B2E82" w:rsidRDefault="009B2E82" w:rsidP="009B2E82">
            <w:pPr>
              <w:widowControl w:val="0"/>
              <w:shd w:val="clear" w:color="auto" w:fill="FFFFFF"/>
              <w:autoSpaceDE w:val="0"/>
              <w:autoSpaceDN w:val="0"/>
              <w:adjustRightInd w:val="0"/>
              <w:spacing w:after="0" w:line="226" w:lineRule="exact"/>
              <w:ind w:right="72"/>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7 - Povezanost i mobilnost</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Ne</w:t>
            </w:r>
          </w:p>
        </w:tc>
      </w:tr>
      <w:tr w:rsidR="009B2E82" w:rsidRPr="009B2E82" w:rsidTr="009B2E82">
        <w:trPr>
          <w:trHeight w:hRule="exact" w:val="369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34"/>
              <w:rPr>
                <w:rFonts w:ascii="Times New Roman" w:eastAsia="Times New Roman" w:hAnsi="Times New Roman" w:cs="Times New Roman"/>
                <w:sz w:val="20"/>
                <w:szCs w:val="20"/>
                <w:lang w:eastAsia="hr-HR"/>
              </w:rPr>
            </w:pPr>
            <w:r w:rsidRPr="009B2E82">
              <w:rPr>
                <w:rFonts w:ascii="Times New Roman" w:eastAsia="Times New Roman" w:hAnsi="Times New Roman" w:cs="Times New Roman"/>
                <w:color w:val="000000"/>
                <w:spacing w:val="1"/>
                <w:sz w:val="20"/>
                <w:szCs w:val="20"/>
                <w:lang w:eastAsia="hr-HR"/>
              </w:rPr>
              <w:t>T.07.3 - Drugi načini prijevoza uključujući kopnene plovne putove i pomorski prijevoz, luke, multimodalne čvorove i aerodromsku infrastrukturu: Postojanje posebnog odjeljka u okviru sveobuhvatnih planova ili okvira za razvoj prometa o unutarnjim plovnim putovima i pomorskom prijevozu, lukama, multimodalnim čvorovima i aerodromskoj infrastrukturi, koji doprinose boljoj povezanosti s TEN-T sveobuhvatnim i jezgrenim mrežama i promicanju održive regionalne i lokalne mobilnosti.</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7 - Povezanost i mobilnost</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Ne</w:t>
            </w:r>
          </w:p>
        </w:tc>
      </w:tr>
      <w:tr w:rsidR="009B2E82" w:rsidRPr="009B2E82" w:rsidTr="009B2E82">
        <w:trPr>
          <w:trHeight w:hRule="exact" w:val="1862"/>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01"/>
              <w:rPr>
                <w:rFonts w:ascii="Times New Roman" w:eastAsia="Times New Roman" w:hAnsi="Times New Roman" w:cs="Times New Roman"/>
                <w:sz w:val="20"/>
                <w:szCs w:val="20"/>
                <w:lang w:eastAsia="hr-HR"/>
              </w:rPr>
            </w:pPr>
            <w:r w:rsidRPr="00324C8B">
              <w:rPr>
                <w:rFonts w:ascii="Times New Roman" w:eastAsia="Times New Roman" w:hAnsi="Times New Roman" w:cs="Times New Roman"/>
                <w:color w:val="000000"/>
                <w:spacing w:val="1"/>
                <w:sz w:val="20"/>
                <w:szCs w:val="20"/>
                <w:lang w:eastAsia="hr-HR"/>
              </w:rPr>
              <w:t>T.09.1 - Postojanje i provedba nacionalnog strateškog okvira politika za smanjenje siromaštva, čiji jecilj aktivno uključivanje ljudi isključenih s tržišta rada u skladu sa  smjernicama o zapošljavanju.</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8 - Socijalno uključivanje i zdravlje</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94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49"/>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T.09.2 - Provodi se nacionalni strateški okvir politike uključenja romskog stanovništva </w:t>
            </w:r>
            <w:r w:rsidRPr="009B2E82">
              <w:rPr>
                <w:rFonts w:ascii="Times New Roman" w:eastAsia="Times New Roman" w:hAnsi="Times New Roman" w:cs="Times New Roman"/>
                <w:color w:val="000000"/>
                <w:spacing w:val="-3"/>
                <w:sz w:val="20"/>
                <w:szCs w:val="20"/>
                <w:lang w:eastAsia="hr-HR"/>
              </w:rPr>
              <w:t>.</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8 –Socijalno uključivanje i zdravlje</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1402"/>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2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.T.09.3 - Zdravlje: Postojanje nacionalnog ili regionalnog strateškog okvira politike za zdravlje u okviru članka 168. UFEU-a kojim se jamči ekonomska održivost</w:t>
            </w:r>
            <w:r w:rsidRPr="009B2E82">
              <w:rPr>
                <w:rFonts w:ascii="Times New Roman" w:eastAsia="Times New Roman" w:hAnsi="Times New Roman" w:cs="Times New Roman"/>
                <w:color w:val="000000"/>
                <w:spacing w:val="-1"/>
                <w:sz w:val="20"/>
                <w:szCs w:val="20"/>
                <w:lang w:eastAsia="hr-HR"/>
              </w:rPr>
              <w:t>.</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8 - Socijalno uključivanje i zdravlje</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835"/>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0" w:right="32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T.10.2 - Visoko obrazovanje: Postojanje nacionalnog ili regionalnog strateškog okvira politike za porast stjecanja</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14" w:hanging="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1909" w:h="16834"/>
          <w:pgMar w:top="929"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929" w:right="360" w:bottom="360" w:left="730" w:header="720" w:footer="720" w:gutter="0"/>
          <w:cols w:num="3" w:space="720" w:equalWidth="0">
            <w:col w:w="720" w:space="4459"/>
            <w:col w:w="720" w:space="420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274"/>
        <w:gridCol w:w="3542"/>
        <w:gridCol w:w="1939"/>
      </w:tblGrid>
      <w:tr w:rsidR="009B2E82" w:rsidRPr="009B2E82" w:rsidTr="009B2E82">
        <w:trPr>
          <w:trHeight w:hRule="exact" w:val="105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lastRenderedPageBreak/>
              <w:t xml:space="preserve">Ex ante uvjetovanost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77" w:right="91"/>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 xml:space="preserve">Prioritetne osi na koje se uvjetovanost odnosi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82" w:right="6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 xml:space="preserve">Ex ante uvjetovanost ispunjena (Da/Ne/Djelomično) </w:t>
            </w:r>
          </w:p>
        </w:tc>
      </w:tr>
      <w:tr w:rsidR="009B2E82" w:rsidRPr="009B2E82" w:rsidTr="009B2E82">
        <w:trPr>
          <w:trHeight w:hRule="exact" w:val="105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36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politike za porast stjecanja, kakvoće i učinkovitosti tercijarnog obrazovanja u okviru članka 165. UFEU-a.</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1392"/>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72"/>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T.10.3 - Cjeloživotno učenje (CU): Postojanje nacionalnog ili regionalnog strateškog okvira politike za cjeloživotno učenje u okviru članka 165. UFEU-a.</w:t>
            </w:r>
          </w:p>
          <w:p w:rsidR="009B2E82" w:rsidRPr="009B2E82" w:rsidRDefault="009B2E82" w:rsidP="009B2E82">
            <w:pPr>
              <w:widowControl w:val="0"/>
              <w:shd w:val="clear" w:color="auto" w:fill="FFFFFF"/>
              <w:autoSpaceDE w:val="0"/>
              <w:autoSpaceDN w:val="0"/>
              <w:adjustRightInd w:val="0"/>
              <w:spacing w:after="0" w:line="230" w:lineRule="exact"/>
              <w:ind w:left="5" w:right="72"/>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1402"/>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9"/>
              <w:rPr>
                <w:rFonts w:ascii="Times New Roman" w:eastAsia="Times New Roman" w:hAnsi="Times New Roman" w:cs="Times New Roman"/>
                <w:sz w:val="20"/>
                <w:szCs w:val="20"/>
                <w:lang w:eastAsia="hr-HR"/>
              </w:rPr>
            </w:pPr>
            <w:r w:rsidRPr="009B2E82">
              <w:rPr>
                <w:rFonts w:ascii="Times New Roman" w:eastAsia="Times New Roman" w:hAnsi="Times New Roman" w:cs="Times New Roman"/>
                <w:color w:val="000000"/>
                <w:spacing w:val="-1"/>
                <w:sz w:val="20"/>
                <w:szCs w:val="20"/>
                <w:lang w:eastAsia="hr-HR"/>
              </w:rPr>
              <w:t>T. 10.4 – Postojanje nacionalnog ili regionalnog okvira politike za poboljšanje kvalitete SOO sustava u skladu s člankom 165 UFEU-a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501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24" w:firstLine="5"/>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 xml:space="preserve">G.I- Postojanje administrativnog kapaciteta za provođenje i primjenu zakona i politika o suzbijanju diskriminacije EU-a na području ESI fondova.  </w:t>
            </w:r>
          </w:p>
          <w:p w:rsidR="009B2E82" w:rsidRPr="009B2E82" w:rsidRDefault="009B2E82" w:rsidP="009B2E82">
            <w:pPr>
              <w:widowControl w:val="0"/>
              <w:shd w:val="clear" w:color="auto" w:fill="FFFFFF"/>
              <w:autoSpaceDE w:val="0"/>
              <w:autoSpaceDN w:val="0"/>
              <w:adjustRightInd w:val="0"/>
              <w:spacing w:after="0" w:line="230" w:lineRule="exact"/>
              <w:ind w:left="5" w:right="24" w:firstLine="5"/>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5 – Klimatske promjene i upravljanje rizicima </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w:t>
            </w:r>
            <w:r w:rsidR="00324C8B">
              <w:rPr>
                <w:rFonts w:ascii="Times New Roman" w:eastAsia="Times New Roman" w:hAnsi="Times New Roman" w:cs="Times New Roman"/>
                <w:color w:val="000000"/>
                <w:spacing w:val="-1"/>
                <w:sz w:val="20"/>
                <w:szCs w:val="20"/>
                <w:lang w:eastAsia="hr-HR"/>
              </w:rPr>
              <w:t>štita okoliša i održivost resursa</w:t>
            </w:r>
            <w:r w:rsidRPr="009B2E82">
              <w:rPr>
                <w:rFonts w:ascii="Times New Roman" w:eastAsia="Times New Roman" w:hAnsi="Times New Roman" w:cs="Times New Roman"/>
                <w:color w:val="000000"/>
                <w:spacing w:val="-1"/>
                <w:sz w:val="20"/>
                <w:szCs w:val="20"/>
                <w:lang w:eastAsia="hr-HR"/>
              </w:rPr>
              <w:t xml:space="preserv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7 - Povezanost i mobilnost</w:t>
            </w:r>
          </w:p>
          <w:p w:rsidR="009B2E82" w:rsidRPr="009B2E82" w:rsidRDefault="009B2E82" w:rsidP="009B2E82">
            <w:pPr>
              <w:widowControl w:val="0"/>
              <w:shd w:val="clear" w:color="auto" w:fill="FFFFFF"/>
              <w:autoSpaceDE w:val="0"/>
              <w:autoSpaceDN w:val="0"/>
              <w:adjustRightInd w:val="0"/>
              <w:spacing w:after="0" w:line="230" w:lineRule="exact"/>
              <w:ind w:right="120"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Jačanje gospodarstva primjenom istraživanja i inovacija </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Korištenje informacijske i komunikacijske tehnologije</w:t>
            </w:r>
          </w:p>
          <w:p w:rsidR="009B2E82" w:rsidRPr="009B2E82" w:rsidRDefault="009B2E82" w:rsidP="009B2E82">
            <w:pPr>
              <w:widowControl w:val="0"/>
              <w:shd w:val="clear" w:color="auto" w:fill="FFFFFF"/>
              <w:autoSpaceDE w:val="0"/>
              <w:autoSpaceDN w:val="0"/>
              <w:adjustRightInd w:val="0"/>
              <w:spacing w:after="0" w:line="346" w:lineRule="exact"/>
              <w:ind w:right="120"/>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3 – Poslovna konkurentnost   </w:t>
            </w:r>
          </w:p>
          <w:p w:rsidR="009B2E82" w:rsidRPr="009B2E82" w:rsidRDefault="009B2E82" w:rsidP="009B2E82">
            <w:pPr>
              <w:widowControl w:val="0"/>
              <w:shd w:val="clear" w:color="auto" w:fill="FFFFFF"/>
              <w:autoSpaceDE w:val="0"/>
              <w:autoSpaceDN w:val="0"/>
              <w:adjustRightInd w:val="0"/>
              <w:spacing w:after="0" w:line="34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8 - Socijalno uključivanje i zdravlje</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10 - Tehnička pomoć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r w:rsidR="009B2E82" w:rsidRPr="009B2E82" w:rsidTr="009B2E82">
        <w:trPr>
          <w:trHeight w:hRule="exact" w:val="4099"/>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15" w:firstLine="5"/>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G.2 - Postojanje administrativnih kapaciteta za provedbu i primjenu zakona o ravnopravnosti spolova Europske Unije i politike u području ESI fondova.</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Klimatske promjene i upravljanje rizicima</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w:t>
            </w:r>
            <w:r w:rsidR="00324C8B">
              <w:rPr>
                <w:rFonts w:ascii="Times New Roman" w:eastAsia="Times New Roman" w:hAnsi="Times New Roman" w:cs="Times New Roman"/>
                <w:color w:val="000000"/>
                <w:spacing w:val="-1"/>
                <w:sz w:val="20"/>
                <w:szCs w:val="20"/>
                <w:lang w:eastAsia="hr-HR"/>
              </w:rPr>
              <w:t>štita okoliša i održivost resursa</w:t>
            </w:r>
            <w:r w:rsidRPr="009B2E82">
              <w:rPr>
                <w:rFonts w:ascii="Times New Roman" w:eastAsia="Times New Roman" w:hAnsi="Times New Roman" w:cs="Times New Roman"/>
                <w:color w:val="000000"/>
                <w:spacing w:val="-1"/>
                <w:sz w:val="20"/>
                <w:szCs w:val="20"/>
                <w:lang w:eastAsia="hr-HR"/>
              </w:rPr>
              <w:t xml:space="preserv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7 - Povezanost i mobilnost</w:t>
            </w:r>
          </w:p>
          <w:p w:rsidR="009B2E82" w:rsidRPr="009B2E82" w:rsidRDefault="009B2E82" w:rsidP="009B2E82">
            <w:pPr>
              <w:widowControl w:val="0"/>
              <w:shd w:val="clear" w:color="auto" w:fill="FFFFFF"/>
              <w:autoSpaceDE w:val="0"/>
              <w:autoSpaceDN w:val="0"/>
              <w:adjustRightInd w:val="0"/>
              <w:spacing w:after="0" w:line="230" w:lineRule="exact"/>
              <w:ind w:right="120"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Jačanje gospodarstva primjenom istraživanja i inovacija </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Korištenje informacijske i komunikacijske tehnologije</w:t>
            </w:r>
          </w:p>
          <w:p w:rsidR="009B2E82" w:rsidRPr="009B2E82" w:rsidRDefault="009B2E82" w:rsidP="009B2E82">
            <w:pPr>
              <w:widowControl w:val="0"/>
              <w:shd w:val="clear" w:color="auto" w:fill="FFFFFF"/>
              <w:autoSpaceDE w:val="0"/>
              <w:autoSpaceDN w:val="0"/>
              <w:adjustRightInd w:val="0"/>
              <w:spacing w:after="0" w:line="346" w:lineRule="exact"/>
              <w:ind w:right="120"/>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3 - Poslovna konkurentnost  </w:t>
            </w:r>
          </w:p>
          <w:p w:rsidR="009B2E82" w:rsidRPr="009B2E82" w:rsidRDefault="009B2E82" w:rsidP="009B2E82">
            <w:pPr>
              <w:widowControl w:val="0"/>
              <w:shd w:val="clear" w:color="auto" w:fill="FFFFFF"/>
              <w:autoSpaceDE w:val="0"/>
              <w:autoSpaceDN w:val="0"/>
              <w:adjustRightInd w:val="0"/>
              <w:spacing w:after="0" w:line="34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8 - Socijalno uključivanje i zdravlje</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Djelomično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1909" w:h="16834"/>
          <w:pgMar w:top="929"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929" w:right="360" w:bottom="360" w:left="730" w:header="720" w:footer="720" w:gutter="0"/>
          <w:cols w:num="3" w:space="720" w:equalWidth="0">
            <w:col w:w="720" w:space="4459"/>
            <w:col w:w="720" w:space="420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274"/>
        <w:gridCol w:w="3542"/>
        <w:gridCol w:w="1973"/>
      </w:tblGrid>
      <w:tr w:rsidR="009B2E82" w:rsidRPr="009B2E82" w:rsidTr="009B2E82">
        <w:trPr>
          <w:trHeight w:hRule="exact" w:val="105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lastRenderedPageBreak/>
              <w:t xml:space="preserve">Ex ante uvjetovanost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77" w:right="91"/>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 xml:space="preserve">Prioritetne osi na koje se uvjetovanost odnosi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82" w:right="10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 xml:space="preserve">Ex ante uvjetovanost ispunjena (Da/Ne/Djelomično) </w:t>
            </w:r>
          </w:p>
        </w:tc>
      </w:tr>
      <w:tr w:rsidR="009B2E82" w:rsidRPr="009B2E82" w:rsidTr="009B2E82">
        <w:trPr>
          <w:trHeight w:hRule="exact" w:val="94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10 - Tehnička pomoć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501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96" w:firstLine="5"/>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G.3 - Postojanje administrativnih kapaciteta za provedbu i primjenu Konvencije Ujedinjenih naroda o pravima osoba s invaliditetom (UNCRPD) u području ESI fondova u skladu s Odlukom Vijeća 2010/48 / EZ.</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p w:rsidR="009B2E82" w:rsidRPr="009B2E82" w:rsidRDefault="009B2E82" w:rsidP="009B2E82">
            <w:pPr>
              <w:widowControl w:val="0"/>
              <w:shd w:val="clear" w:color="auto" w:fill="FFFFFF"/>
              <w:autoSpaceDE w:val="0"/>
              <w:autoSpaceDN w:val="0"/>
              <w:adjustRightInd w:val="0"/>
              <w:spacing w:after="0" w:line="22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Klimatske promjene i upravljanje rizicima</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Zaš</w:t>
            </w:r>
            <w:r w:rsidR="00324C8B">
              <w:rPr>
                <w:rFonts w:ascii="Times New Roman" w:eastAsia="Times New Roman" w:hAnsi="Times New Roman" w:cs="Times New Roman"/>
                <w:color w:val="000000"/>
                <w:spacing w:val="-1"/>
                <w:sz w:val="20"/>
                <w:szCs w:val="20"/>
                <w:lang w:eastAsia="hr-HR"/>
              </w:rPr>
              <w:t>tita okoliša i održivost resursa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7 - Povezanost i mobilnost</w:t>
            </w:r>
          </w:p>
          <w:p w:rsidR="009B2E82" w:rsidRPr="009B2E82" w:rsidRDefault="009B2E82" w:rsidP="009B2E82">
            <w:pPr>
              <w:widowControl w:val="0"/>
              <w:shd w:val="clear" w:color="auto" w:fill="FFFFFF"/>
              <w:autoSpaceDE w:val="0"/>
              <w:autoSpaceDN w:val="0"/>
              <w:adjustRightInd w:val="0"/>
              <w:spacing w:after="0" w:line="230" w:lineRule="exact"/>
              <w:ind w:right="120"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Jačanje gospodarstva primjenom istraživanja i inovacija </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Korištenje informacijske i komunikacijske tehnologije</w:t>
            </w:r>
          </w:p>
          <w:p w:rsidR="009B2E82" w:rsidRPr="009B2E82" w:rsidRDefault="009B2E82" w:rsidP="009B2E82">
            <w:pPr>
              <w:widowControl w:val="0"/>
              <w:shd w:val="clear" w:color="auto" w:fill="FFFFFF"/>
              <w:autoSpaceDE w:val="0"/>
              <w:autoSpaceDN w:val="0"/>
              <w:adjustRightInd w:val="0"/>
              <w:spacing w:after="0" w:line="34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3 - Poslovna konkurentnost  </w:t>
            </w:r>
            <w:r w:rsidRPr="009B2E82">
              <w:rPr>
                <w:rFonts w:ascii="Times New Roman" w:eastAsia="Times New Roman" w:hAnsi="Times New Roman" w:cs="Times New Roman"/>
                <w:color w:val="000000"/>
                <w:spacing w:val="-1"/>
                <w:sz w:val="20"/>
                <w:szCs w:val="20"/>
                <w:lang w:eastAsia="hr-HR"/>
              </w:rPr>
              <w:br/>
              <w:t>8 - Socijalno uključivanje i zdravlje</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10 - Tehnička pomoć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Ne</w:t>
            </w:r>
          </w:p>
        </w:tc>
      </w:tr>
      <w:tr w:rsidR="009B2E82" w:rsidRPr="009B2E82" w:rsidTr="009B2E82">
        <w:trPr>
          <w:trHeight w:hRule="exact" w:val="501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G.4 - postojanje dogovora za učinkovitu primjenu Zakona o javnoj nabavi Europske Unije u području ESI fondova</w:t>
            </w:r>
            <w:r w:rsidRPr="009B2E82">
              <w:rPr>
                <w:rFonts w:ascii="Times New Roman" w:eastAsia="Times New Roman" w:hAnsi="Times New Roman" w:cs="Times New Roman"/>
                <w:color w:val="000000"/>
                <w:spacing w:val="-1"/>
                <w:sz w:val="20"/>
                <w:szCs w:val="20"/>
                <w:lang w:eastAsia="hr-HR"/>
              </w:rPr>
              <w:t>.</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Klimatske promjene i upravljanje rizicima</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w:t>
            </w:r>
            <w:r w:rsidR="00324C8B">
              <w:rPr>
                <w:rFonts w:ascii="Times New Roman" w:eastAsia="Times New Roman" w:hAnsi="Times New Roman" w:cs="Times New Roman"/>
                <w:color w:val="000000"/>
                <w:spacing w:val="-1"/>
                <w:sz w:val="20"/>
                <w:szCs w:val="20"/>
                <w:lang w:eastAsia="hr-HR"/>
              </w:rPr>
              <w:t>štita okoliša i održivost resursa</w:t>
            </w:r>
            <w:r w:rsidRPr="009B2E82">
              <w:rPr>
                <w:rFonts w:ascii="Times New Roman" w:eastAsia="Times New Roman" w:hAnsi="Times New Roman" w:cs="Times New Roman"/>
                <w:color w:val="000000"/>
                <w:spacing w:val="-1"/>
                <w:sz w:val="20"/>
                <w:szCs w:val="20"/>
                <w:lang w:eastAsia="hr-HR"/>
              </w:rPr>
              <w:t xml:space="preserv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7 - Povezanost i mobilnost</w:t>
            </w:r>
          </w:p>
          <w:p w:rsidR="009B2E82" w:rsidRPr="009B2E82" w:rsidRDefault="009B2E82" w:rsidP="009B2E82">
            <w:pPr>
              <w:widowControl w:val="0"/>
              <w:shd w:val="clear" w:color="auto" w:fill="FFFFFF"/>
              <w:autoSpaceDE w:val="0"/>
              <w:autoSpaceDN w:val="0"/>
              <w:adjustRightInd w:val="0"/>
              <w:spacing w:after="0" w:line="230" w:lineRule="exact"/>
              <w:ind w:right="120"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Jačanje gospodarstva primjenom istraživanja i inovacija </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Korištenje informacijske i komunikacijske tehnologije</w:t>
            </w:r>
          </w:p>
          <w:p w:rsidR="009B2E82" w:rsidRPr="009B2E82" w:rsidRDefault="009B2E82" w:rsidP="009B2E82">
            <w:pPr>
              <w:widowControl w:val="0"/>
              <w:shd w:val="clear" w:color="auto" w:fill="FFFFFF"/>
              <w:autoSpaceDE w:val="0"/>
              <w:autoSpaceDN w:val="0"/>
              <w:adjustRightInd w:val="0"/>
              <w:spacing w:after="0" w:line="346" w:lineRule="exact"/>
              <w:ind w:right="120"/>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3 - Poslovna konkurentnost  </w:t>
            </w:r>
          </w:p>
          <w:p w:rsidR="009B2E82" w:rsidRPr="009B2E82" w:rsidRDefault="009B2E82" w:rsidP="009B2E82">
            <w:pPr>
              <w:widowControl w:val="0"/>
              <w:shd w:val="clear" w:color="auto" w:fill="FFFFFF"/>
              <w:autoSpaceDE w:val="0"/>
              <w:autoSpaceDN w:val="0"/>
              <w:adjustRightInd w:val="0"/>
              <w:spacing w:after="0" w:line="34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8 - Socijalno uključivanje i zdravlje</w:t>
            </w:r>
          </w:p>
          <w:p w:rsidR="009B2E82" w:rsidRPr="009B2E82" w:rsidRDefault="009B2E82" w:rsidP="009B2E82">
            <w:pPr>
              <w:widowControl w:val="0"/>
              <w:shd w:val="clear" w:color="auto" w:fill="FFFFFF"/>
              <w:autoSpaceDE w:val="0"/>
              <w:autoSpaceDN w:val="0"/>
              <w:adjustRightInd w:val="0"/>
              <w:spacing w:after="0" w:line="34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10 - Tehnička pomoć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r>
      <w:tr w:rsidR="009B2E82" w:rsidRPr="009B2E82" w:rsidTr="009B2E82">
        <w:trPr>
          <w:trHeight w:hRule="exact" w:val="1882"/>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58"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G.5 – Postojanje dogovora za učinkovitu primjenu pravila EU-a o državnoj potpori u području ESI fondova.</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365"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p w:rsidR="009B2E82" w:rsidRPr="009B2E82" w:rsidRDefault="009B2E82" w:rsidP="009B2E82">
            <w:pPr>
              <w:widowControl w:val="0"/>
              <w:shd w:val="clear" w:color="auto" w:fill="FFFFFF"/>
              <w:autoSpaceDE w:val="0"/>
              <w:autoSpaceDN w:val="0"/>
              <w:adjustRightInd w:val="0"/>
              <w:spacing w:after="0" w:line="230" w:lineRule="exact"/>
              <w:ind w:right="36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Klimatske promjene i upravljanje rizicima</w:t>
            </w:r>
          </w:p>
          <w:p w:rsidR="009B2E82" w:rsidRPr="009B2E82" w:rsidRDefault="009B2E82" w:rsidP="009B2E82">
            <w:pPr>
              <w:widowControl w:val="0"/>
              <w:shd w:val="clear" w:color="auto" w:fill="FFFFFF"/>
              <w:autoSpaceDE w:val="0"/>
              <w:autoSpaceDN w:val="0"/>
              <w:adjustRightInd w:val="0"/>
              <w:spacing w:after="0" w:line="230" w:lineRule="exact"/>
              <w:ind w:right="365"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w:t>
            </w:r>
            <w:r w:rsidR="00324C8B">
              <w:rPr>
                <w:rFonts w:ascii="Times New Roman" w:eastAsia="Times New Roman" w:hAnsi="Times New Roman" w:cs="Times New Roman"/>
                <w:color w:val="000000"/>
                <w:spacing w:val="-1"/>
                <w:sz w:val="20"/>
                <w:szCs w:val="20"/>
                <w:lang w:eastAsia="hr-HR"/>
              </w:rPr>
              <w:t>štita okoliša i održivost resursa</w:t>
            </w:r>
            <w:r w:rsidRPr="009B2E82">
              <w:rPr>
                <w:rFonts w:ascii="Times New Roman" w:eastAsia="Times New Roman" w:hAnsi="Times New Roman" w:cs="Times New Roman"/>
                <w:color w:val="000000"/>
                <w:spacing w:val="-1"/>
                <w:sz w:val="20"/>
                <w:szCs w:val="20"/>
                <w:lang w:eastAsia="hr-HR"/>
              </w:rPr>
              <w:t xml:space="preserve">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1909" w:h="16834"/>
          <w:pgMar w:top="929"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929" w:right="360" w:bottom="360" w:left="730" w:header="720" w:footer="720" w:gutter="0"/>
          <w:cols w:num="3" w:space="720" w:equalWidth="0">
            <w:col w:w="720" w:space="4459"/>
            <w:col w:w="720" w:space="420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274"/>
        <w:gridCol w:w="3542"/>
        <w:gridCol w:w="1939"/>
      </w:tblGrid>
      <w:tr w:rsidR="009B2E82" w:rsidRPr="009B2E82" w:rsidTr="009B2E82">
        <w:trPr>
          <w:trHeight w:hRule="exact" w:val="105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lastRenderedPageBreak/>
              <w:t xml:space="preserve">Ex ante uvjetovanost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77" w:right="91"/>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 xml:space="preserve">Prioritetne osi na koje se uvjetovanost odnosi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82" w:right="6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 xml:space="preserve">Ex ante uvjetovanost ispunjena (Da/Ne/Djelomično) </w:t>
            </w:r>
          </w:p>
        </w:tc>
      </w:tr>
      <w:tr w:rsidR="009B2E82" w:rsidRPr="009B2E82" w:rsidTr="009B2E82">
        <w:trPr>
          <w:trHeight w:hRule="exact" w:val="3149"/>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7 - Povezanost i mobilnost</w:t>
            </w:r>
          </w:p>
          <w:p w:rsidR="009B2E82" w:rsidRPr="009B2E82" w:rsidRDefault="009B2E82" w:rsidP="009B2E82">
            <w:pPr>
              <w:widowControl w:val="0"/>
              <w:shd w:val="clear" w:color="auto" w:fill="FFFFFF"/>
              <w:autoSpaceDE w:val="0"/>
              <w:autoSpaceDN w:val="0"/>
              <w:adjustRightInd w:val="0"/>
              <w:spacing w:after="0" w:line="230" w:lineRule="exact"/>
              <w:ind w:right="120"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Jačanje gospodarstva primjenom istraživanja i inovacija </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Korištenje informacijske i komunikacijske tehnologije</w:t>
            </w:r>
          </w:p>
          <w:p w:rsidR="009B2E82" w:rsidRPr="009B2E82" w:rsidRDefault="009B2E82" w:rsidP="009B2E82">
            <w:pPr>
              <w:widowControl w:val="0"/>
              <w:shd w:val="clear" w:color="auto" w:fill="FFFFFF"/>
              <w:autoSpaceDE w:val="0"/>
              <w:autoSpaceDN w:val="0"/>
              <w:adjustRightInd w:val="0"/>
              <w:spacing w:after="0" w:line="34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3 - Poslovna konkurentnost  </w:t>
            </w:r>
            <w:r w:rsidRPr="009B2E82">
              <w:rPr>
                <w:rFonts w:ascii="Times New Roman" w:eastAsia="Times New Roman" w:hAnsi="Times New Roman" w:cs="Times New Roman"/>
                <w:color w:val="000000"/>
                <w:spacing w:val="-1"/>
                <w:sz w:val="20"/>
                <w:szCs w:val="20"/>
                <w:lang w:eastAsia="hr-HR"/>
              </w:rPr>
              <w:br/>
              <w:t>8 - Socijalno uključivanje i zdravlje</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10 - Tehnička pomoć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5011"/>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58"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G.6 – Postojanje dogovora za učinkovitu primjenu zakonodavstva zaštite okoliša EU-a vezano uz PUO i SPUO </w:t>
            </w:r>
            <w:r w:rsidRPr="009B2E82">
              <w:rPr>
                <w:rFonts w:ascii="Times New Roman" w:eastAsia="Times New Roman" w:hAnsi="Times New Roman" w:cs="Times New Roman"/>
                <w:color w:val="000000"/>
                <w:spacing w:val="-1"/>
                <w:sz w:val="20"/>
                <w:szCs w:val="20"/>
                <w:lang w:eastAsia="hr-HR"/>
              </w:rPr>
              <w:t>.</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Klimatske promjene i upravljanje rizicima</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w:t>
            </w:r>
            <w:r w:rsidR="00324C8B">
              <w:rPr>
                <w:rFonts w:ascii="Times New Roman" w:eastAsia="Times New Roman" w:hAnsi="Times New Roman" w:cs="Times New Roman"/>
                <w:color w:val="000000"/>
                <w:spacing w:val="-1"/>
                <w:sz w:val="20"/>
                <w:szCs w:val="20"/>
                <w:lang w:eastAsia="hr-HR"/>
              </w:rPr>
              <w:t>štita okoliša i održivost resursa</w:t>
            </w:r>
            <w:r w:rsidRPr="009B2E82">
              <w:rPr>
                <w:rFonts w:ascii="Times New Roman" w:eastAsia="Times New Roman" w:hAnsi="Times New Roman" w:cs="Times New Roman"/>
                <w:color w:val="000000"/>
                <w:spacing w:val="-1"/>
                <w:sz w:val="20"/>
                <w:szCs w:val="20"/>
                <w:lang w:eastAsia="hr-HR"/>
              </w:rPr>
              <w:t xml:space="preserv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7 - Povezanost i mobilnost</w:t>
            </w:r>
          </w:p>
          <w:p w:rsidR="009B2E82" w:rsidRPr="009B2E82" w:rsidRDefault="009B2E82" w:rsidP="009B2E82">
            <w:pPr>
              <w:widowControl w:val="0"/>
              <w:shd w:val="clear" w:color="auto" w:fill="FFFFFF"/>
              <w:autoSpaceDE w:val="0"/>
              <w:autoSpaceDN w:val="0"/>
              <w:adjustRightInd w:val="0"/>
              <w:spacing w:after="0" w:line="226" w:lineRule="exact"/>
              <w:ind w:right="120"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Jačanje gospodarstva primjenom istraživanja i inovacija </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Korištenje informacijske i komunikacijske tehnologije</w:t>
            </w:r>
          </w:p>
          <w:p w:rsidR="009B2E82" w:rsidRPr="009B2E82" w:rsidRDefault="009B2E82" w:rsidP="009B2E82">
            <w:pPr>
              <w:widowControl w:val="0"/>
              <w:shd w:val="clear" w:color="auto" w:fill="FFFFFF"/>
              <w:autoSpaceDE w:val="0"/>
              <w:autoSpaceDN w:val="0"/>
              <w:adjustRightInd w:val="0"/>
              <w:spacing w:after="0" w:line="34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3 - Poslovna konkurentnost  </w:t>
            </w:r>
            <w:r w:rsidRPr="009B2E82">
              <w:rPr>
                <w:rFonts w:ascii="Times New Roman" w:eastAsia="Times New Roman" w:hAnsi="Times New Roman" w:cs="Times New Roman"/>
                <w:color w:val="000000"/>
                <w:spacing w:val="-1"/>
                <w:sz w:val="20"/>
                <w:szCs w:val="20"/>
                <w:lang w:eastAsia="hr-HR"/>
              </w:rPr>
              <w:br/>
              <w:t>8 - Socijalno uključivanje i zdravlje</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10 - Tehnička pomoć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r>
      <w:tr w:rsidR="009B2E82" w:rsidRPr="009B2E82" w:rsidTr="009B2E82">
        <w:trPr>
          <w:trHeight w:hRule="exact" w:val="4675"/>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G.7 - Postojanje statističke osnove potrebne za poduzimanje evaluacije za procjenu učinkovitosti i utjecaja programa. Postojanje sustava pokazatelja rezultata potrebnih za odabir aktivnosti koje najučinkovitije pridonose željenim rezultatima, za praćenje napretka prema ostvarenju rezultata i za provođenje procjene utjecaja.</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Promicanje energetske učinkovitosti i obnovljivih izvora energije </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Klimatske promjene i upravljanje rizicima</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 Za</w:t>
            </w:r>
            <w:r w:rsidR="00324C8B">
              <w:rPr>
                <w:rFonts w:ascii="Times New Roman" w:eastAsia="Times New Roman" w:hAnsi="Times New Roman" w:cs="Times New Roman"/>
                <w:color w:val="000000"/>
                <w:spacing w:val="-1"/>
                <w:sz w:val="20"/>
                <w:szCs w:val="20"/>
                <w:lang w:eastAsia="hr-HR"/>
              </w:rPr>
              <w:t>štita okoliša i održivost resursa</w:t>
            </w:r>
            <w:r w:rsidRPr="009B2E82">
              <w:rPr>
                <w:rFonts w:ascii="Times New Roman" w:eastAsia="Times New Roman" w:hAnsi="Times New Roman" w:cs="Times New Roman"/>
                <w:color w:val="000000"/>
                <w:spacing w:val="-1"/>
                <w:sz w:val="20"/>
                <w:szCs w:val="20"/>
                <w:lang w:eastAsia="hr-HR"/>
              </w:rPr>
              <w:t xml:space="preserve">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7 - Povezanost i mobilnost</w:t>
            </w:r>
          </w:p>
          <w:p w:rsidR="009B2E82" w:rsidRPr="009B2E82" w:rsidRDefault="009B2E82" w:rsidP="009B2E82">
            <w:pPr>
              <w:widowControl w:val="0"/>
              <w:shd w:val="clear" w:color="auto" w:fill="FFFFFF"/>
              <w:autoSpaceDE w:val="0"/>
              <w:autoSpaceDN w:val="0"/>
              <w:adjustRightInd w:val="0"/>
              <w:spacing w:after="0" w:line="230" w:lineRule="exact"/>
              <w:ind w:right="120"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Jačanje gospodarstva primjenom istraživanja i inovacija </w:t>
            </w:r>
          </w:p>
          <w:p w:rsidR="009B2E82" w:rsidRPr="009B2E82" w:rsidRDefault="009B2E82" w:rsidP="009B2E82">
            <w:pPr>
              <w:widowControl w:val="0"/>
              <w:shd w:val="clear" w:color="auto" w:fill="FFFFFF"/>
              <w:autoSpaceDE w:val="0"/>
              <w:autoSpaceDN w:val="0"/>
              <w:adjustRightInd w:val="0"/>
              <w:spacing w:after="0" w:line="230" w:lineRule="exact"/>
              <w:ind w:right="120"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Korištenje informacijske i komunikacijske tehnologije</w:t>
            </w:r>
          </w:p>
          <w:p w:rsidR="009B2E82" w:rsidRPr="009B2E82" w:rsidRDefault="009B2E82" w:rsidP="009B2E82">
            <w:pPr>
              <w:widowControl w:val="0"/>
              <w:shd w:val="clear" w:color="auto" w:fill="FFFFFF"/>
              <w:autoSpaceDE w:val="0"/>
              <w:autoSpaceDN w:val="0"/>
              <w:adjustRightInd w:val="0"/>
              <w:spacing w:after="0" w:line="346"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 Poslovna konkurentnost</w:t>
            </w:r>
            <w:r w:rsidRPr="009B2E82">
              <w:rPr>
                <w:rFonts w:ascii="Times New Roman" w:eastAsia="Times New Roman" w:hAnsi="Times New Roman" w:cs="Times New Roman"/>
                <w:color w:val="000000"/>
                <w:spacing w:val="-1"/>
                <w:sz w:val="20"/>
                <w:szCs w:val="20"/>
                <w:lang w:eastAsia="hr-HR"/>
              </w:rPr>
              <w:br/>
              <w:t>8 - Socijalno uključivanje i zdravlje</w:t>
            </w:r>
          </w:p>
          <w:p w:rsidR="009B2E82" w:rsidRPr="009B2E82" w:rsidRDefault="009B2E82" w:rsidP="009B2E82">
            <w:pPr>
              <w:widowControl w:val="0"/>
              <w:shd w:val="clear" w:color="auto" w:fill="FFFFFF"/>
              <w:autoSpaceDE w:val="0"/>
              <w:autoSpaceDN w:val="0"/>
              <w:adjustRightInd w:val="0"/>
              <w:spacing w:after="0" w:line="230" w:lineRule="exact"/>
              <w:ind w:right="12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9 - Obrazovanje, vještine i cjeloživotno učenje </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1909" w:h="16834"/>
          <w:pgMar w:top="927"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927" w:right="360" w:bottom="360" w:left="730" w:header="720" w:footer="720" w:gutter="0"/>
          <w:cols w:num="3" w:space="720" w:equalWidth="0">
            <w:col w:w="720" w:space="4459"/>
            <w:col w:w="720" w:space="420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274"/>
        <w:gridCol w:w="3542"/>
        <w:gridCol w:w="1973"/>
      </w:tblGrid>
      <w:tr w:rsidR="009B2E82" w:rsidRPr="009B2E82" w:rsidTr="009B2E82">
        <w:trPr>
          <w:trHeight w:hRule="exact" w:val="1056"/>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8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lastRenderedPageBreak/>
              <w:t xml:space="preserve">Ex ante uvjetovanost </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77" w:right="91"/>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Prioritetne osi na koje se uvjetovanost odnosi</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82" w:right="-4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Ex ante uvjetovanost</w:t>
            </w:r>
            <w:r w:rsidRPr="009B2E82">
              <w:rPr>
                <w:rFonts w:ascii="Times New Roman" w:eastAsia="Times New Roman" w:hAnsi="Times New Roman" w:cs="Times New Roman"/>
                <w:b/>
                <w:bCs/>
                <w:color w:val="000000"/>
                <w:spacing w:val="4"/>
                <w:sz w:val="20"/>
                <w:szCs w:val="20"/>
                <w:lang w:eastAsia="hr-HR"/>
              </w:rPr>
              <w:t xml:space="preserve"> </w:t>
            </w:r>
            <w:r w:rsidRPr="009B2E82">
              <w:rPr>
                <w:rFonts w:ascii="Times New Roman" w:eastAsia="Times New Roman" w:hAnsi="Times New Roman" w:cs="Times New Roman"/>
                <w:b/>
                <w:bCs/>
                <w:color w:val="000000"/>
                <w:spacing w:val="-1"/>
                <w:sz w:val="20"/>
                <w:szCs w:val="20"/>
                <w:lang w:eastAsia="hr-HR"/>
              </w:rPr>
              <w:t xml:space="preserve">ispunjena </w:t>
            </w:r>
            <w:r w:rsidRPr="009B2E82">
              <w:rPr>
                <w:rFonts w:ascii="Times New Roman" w:eastAsia="Times New Roman" w:hAnsi="Times New Roman" w:cs="Times New Roman"/>
                <w:b/>
                <w:bCs/>
                <w:color w:val="000000"/>
                <w:spacing w:val="-2"/>
                <w:sz w:val="20"/>
                <w:szCs w:val="20"/>
                <w:lang w:eastAsia="hr-HR"/>
              </w:rPr>
              <w:t>(Da/Ne/Djelomično )</w:t>
            </w:r>
          </w:p>
        </w:tc>
      </w:tr>
      <w:tr w:rsidR="009B2E82" w:rsidRPr="009B2E82" w:rsidTr="009B2E82">
        <w:trPr>
          <w:trHeight w:hRule="exact" w:val="422"/>
        </w:trPr>
        <w:tc>
          <w:tcPr>
            <w:tcW w:w="327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10 - Tehnička pomoć  </w:t>
            </w:r>
          </w:p>
        </w:tc>
        <w:tc>
          <w:tcPr>
            <w:tcW w:w="197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1909" w:h="16834"/>
          <w:pgMar w:top="929" w:right="360" w:bottom="360" w:left="73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sectPr w:rsidR="009B2E82" w:rsidRPr="009B2E82">
          <w:type w:val="continuous"/>
          <w:pgSz w:w="11909" w:h="16834"/>
          <w:pgMar w:top="929" w:right="360" w:bottom="360" w:left="730" w:header="720" w:footer="720" w:gutter="0"/>
          <w:cols w:num="3" w:space="720" w:equalWidth="0">
            <w:col w:w="720" w:space="4459"/>
            <w:col w:w="720" w:space="4200"/>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300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T.01.1 - </w:t>
            </w:r>
            <w:r w:rsidRPr="009B2E82">
              <w:rPr>
                <w:rFonts w:ascii="Times New Roman" w:eastAsia="Times New Roman" w:hAnsi="Times New Roman" w:cs="Times New Roman"/>
                <w:color w:val="000000"/>
                <w:spacing w:val="1"/>
                <w:lang w:eastAsia="hr-HR"/>
              </w:rPr>
              <w:t>Istraživanje i inovacije: Postojanje nacionalne ili regionalne strategije pametne specijalizacije u skladu s nacionalnim programom reformi kako bi se utjecalo na rashode za privatna istraživanja i inovacije, koja udovoljava svojstvima nacionalnih ili regionalnih sustava za istraživanje i inovacije.</w:t>
            </w:r>
          </w:p>
          <w:p w:rsidR="009B2E82" w:rsidRPr="009B2E82" w:rsidRDefault="009B2E82" w:rsidP="009B2E82">
            <w:pPr>
              <w:shd w:val="clear" w:color="auto" w:fill="FFFFFF"/>
              <w:spacing w:line="230" w:lineRule="exact"/>
              <w:ind w:right="10"/>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21"/>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1"/>
                <w:lang w:eastAsia="hr-HR"/>
              </w:rPr>
              <w:t xml:space="preserve">1 - </w:t>
            </w:r>
            <w:r w:rsidRPr="009B2E82">
              <w:rPr>
                <w:rFonts w:ascii="Times New Roman" w:hAnsi="Times New Roman" w:cs="Times New Roman"/>
                <w:sz w:val="24"/>
                <w:lang w:eastAsia="hr-HR"/>
              </w:rPr>
              <w:t>Postoji nacionalna ili regionalna strategija za istraživanje i inovacije za potrebe pametne specijalizacije koja</w:t>
            </w:r>
            <w:r w:rsidRPr="009B2E82">
              <w:rPr>
                <w:rFonts w:ascii="Times New Roman" w:hAnsi="Times New Roman" w:cs="Times New Roman"/>
                <w:color w:val="000000"/>
                <w:spacing w:val="-2"/>
                <w:lang w:eastAsia="hr-HR"/>
              </w:rPr>
              <w:t>:</w:t>
            </w:r>
          </w:p>
          <w:p w:rsidR="009B2E82" w:rsidRPr="009B2E82" w:rsidRDefault="009B2E82" w:rsidP="009B2E82">
            <w:pPr>
              <w:shd w:val="clear" w:color="auto" w:fill="FFFFFF"/>
              <w:spacing w:line="230" w:lineRule="exact"/>
              <w:ind w:right="221"/>
              <w:rPr>
                <w:rFonts w:ascii="Times New Roman" w:hAnsi="Times New Roman" w:cs="Times New Roman"/>
                <w:color w:val="000000"/>
                <w:spacing w:val="-2"/>
                <w:lang w:eastAsia="hr-HR"/>
              </w:rPr>
            </w:pPr>
          </w:p>
          <w:p w:rsidR="009B2E82" w:rsidRPr="009B2E82" w:rsidRDefault="009B2E82" w:rsidP="009B2E82">
            <w:pPr>
              <w:shd w:val="clear" w:color="auto" w:fill="FFFFFF"/>
              <w:spacing w:line="230" w:lineRule="exact"/>
              <w:ind w:right="221"/>
              <w:rPr>
                <w:rFonts w:ascii="Times New Roman" w:hAnsi="Times New Roman" w:cs="Times New Roman"/>
                <w:lang w:eastAsia="hr-HR"/>
              </w:rPr>
            </w:pPr>
            <w:r w:rsidRPr="009B2E82">
              <w:rPr>
                <w:rFonts w:ascii="Times New Roman" w:hAnsi="Times New Roman" w:cs="Times New Roman"/>
                <w:color w:val="000000"/>
                <w:spacing w:val="-2"/>
                <w:lang w:eastAsia="hr-HR"/>
              </w:rPr>
              <w:t xml:space="preserve">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color w:val="000000"/>
                <w:spacing w:val="5"/>
                <w:lang w:eastAsia="hr-HR"/>
              </w:rPr>
              <w:t xml:space="preserve">Strategija za pametnu specijalizaciju u fazi je izrade, planira se da je Vlada usvoji u prosincu 2014. i dostavi Europskoj komisiji na odobrenje u siječnju 2015. Sastojat će se od sedam poglavlja, u skladu s uputstvima sustava istraživanja i inovacija, analitičkog dijela, SWOT analize, strateškog dijela, tematskih područja ulaganja, njegovih politika, upravljanja i praćenja i vrednovanja.  </w:t>
            </w:r>
          </w:p>
        </w:tc>
      </w:tr>
      <w:tr w:rsidR="009B2E82" w:rsidRPr="009B2E82" w:rsidTr="009B2E82">
        <w:trPr>
          <w:trHeight w:hRule="exact" w:val="253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rPr>
                <w:rFonts w:ascii="Times New Roman" w:hAnsi="Times New Roman" w:cs="Times New Roman"/>
                <w:lang w:eastAsia="hr-HR"/>
              </w:rPr>
            </w:pPr>
            <w:r w:rsidRPr="009B2E82">
              <w:rPr>
                <w:rFonts w:ascii="Times New Roman" w:hAnsi="Times New Roman" w:cs="Times New Roman"/>
                <w:color w:val="000000"/>
                <w:lang w:eastAsia="hr-HR"/>
              </w:rPr>
              <w:t xml:space="preserve">T.01.1 - </w:t>
            </w:r>
            <w:r w:rsidRPr="009B2E82">
              <w:rPr>
                <w:rFonts w:ascii="Times New Roman" w:eastAsia="Times New Roman" w:hAnsi="Times New Roman" w:cs="Times New Roman"/>
                <w:color w:val="000000"/>
                <w:spacing w:val="1"/>
                <w:szCs w:val="20"/>
                <w:lang w:eastAsia="hr-HR"/>
              </w:rPr>
              <w:t>Istraživanje i inovacije: Postojanje nacionalne ili regionalne strategije pametne specijalizacije u skladu s nacionalnim programom reformi kako bi se utjecalo na rashode za privatna istraživanja i inovacije, koja udovoljava svojstvima nacionalnih ili regionalnih sustava za istraživanje i inovacije.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21"/>
              <w:rPr>
                <w:rFonts w:ascii="Times New Roman" w:hAnsi="Times New Roman" w:cs="Times New Roman"/>
                <w:color w:val="000000"/>
                <w:lang w:eastAsia="hr-HR"/>
              </w:rPr>
            </w:pPr>
            <w:r w:rsidRPr="009B2E82">
              <w:rPr>
                <w:rFonts w:ascii="Times New Roman" w:hAnsi="Times New Roman" w:cs="Times New Roman"/>
                <w:color w:val="000000"/>
                <w:lang w:eastAsia="hr-HR"/>
              </w:rPr>
              <w:t>2 - temelji se na analizi prednosti i nedostataka, mogućnosti i opasnosti (SWOT analizi) i sličnim analizama kako bi se sredstva usmjerila na ograničen niz prioriteta u istraživanju i inovacijama</w:t>
            </w:r>
          </w:p>
          <w:p w:rsidR="009B2E82" w:rsidRPr="009B2E82" w:rsidRDefault="009B2E82" w:rsidP="009B2E82">
            <w:pPr>
              <w:shd w:val="clear" w:color="auto" w:fill="FFFFFF"/>
              <w:spacing w:line="230" w:lineRule="exact"/>
              <w:ind w:right="221"/>
              <w:rPr>
                <w:rFonts w:ascii="Times New Roman" w:hAnsi="Times New Roman" w:cs="Times New Roman"/>
                <w:color w:val="000000"/>
                <w:lang w:eastAsia="hr-HR"/>
              </w:rPr>
            </w:pPr>
          </w:p>
          <w:p w:rsidR="009B2E82" w:rsidRPr="009B2E82" w:rsidRDefault="009B2E82" w:rsidP="009B2E82">
            <w:pPr>
              <w:shd w:val="clear" w:color="auto" w:fill="FFFFFF"/>
              <w:spacing w:line="230" w:lineRule="exact"/>
              <w:ind w:right="221"/>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240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rPr>
                <w:rFonts w:ascii="Times New Roman" w:hAnsi="Times New Roman" w:cs="Times New Roman"/>
                <w:lang w:eastAsia="hr-HR"/>
              </w:rPr>
            </w:pPr>
            <w:r w:rsidRPr="009B2E82">
              <w:rPr>
                <w:rFonts w:ascii="Times New Roman" w:hAnsi="Times New Roman" w:cs="Times New Roman"/>
                <w:color w:val="000000"/>
                <w:lang w:eastAsia="hr-HR"/>
              </w:rPr>
              <w:t xml:space="preserve">T.01.1 - </w:t>
            </w:r>
            <w:r w:rsidRPr="009B2E82">
              <w:rPr>
                <w:rFonts w:ascii="Times New Roman" w:eastAsia="Times New Roman" w:hAnsi="Times New Roman" w:cs="Times New Roman"/>
                <w:color w:val="000000"/>
                <w:spacing w:val="1"/>
                <w:szCs w:val="20"/>
                <w:lang w:eastAsia="hr-HR"/>
              </w:rPr>
              <w:t>Istraživanje i inovacije: Postojanje nacionalne ili regionalne strategije pametne specijalizacije u skladu s nacionalnim programom reformi kako bi se utjecalo na rashode za privatna istraživanja i inovacije, koja udovoljava svojstvima nacionalnih ili regionalnih sustava za istraživanje i inovacije.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566"/>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3 – prepoznaje mjere za poticanje privatnih ulaganja u istraživanje i tehnološki razvoj</w:t>
            </w:r>
            <w:r w:rsidRPr="009B2E82">
              <w:rPr>
                <w:rFonts w:ascii="Times New Roman" w:hAnsi="Times New Roman" w:cs="Times New Roman"/>
                <w:color w:val="000000"/>
                <w:spacing w:val="-1"/>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81"/>
        <w:gridCol w:w="3468"/>
        <w:gridCol w:w="1281"/>
        <w:gridCol w:w="3419"/>
        <w:gridCol w:w="3419"/>
      </w:tblGrid>
      <w:tr w:rsidR="009B2E82" w:rsidRPr="009B2E82" w:rsidTr="009B2E82">
        <w:trPr>
          <w:trHeight w:hRule="exact" w:val="851"/>
        </w:trPr>
        <w:tc>
          <w:tcPr>
            <w:tcW w:w="338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6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2531"/>
        </w:trPr>
        <w:tc>
          <w:tcPr>
            <w:tcW w:w="338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T.01.1 - </w:t>
            </w:r>
            <w:r w:rsidRPr="009B2E82">
              <w:rPr>
                <w:rFonts w:ascii="Times New Roman" w:eastAsia="Times New Roman" w:hAnsi="Times New Roman" w:cs="Times New Roman"/>
                <w:color w:val="000000"/>
                <w:spacing w:val="1"/>
                <w:szCs w:val="20"/>
                <w:lang w:eastAsia="hr-HR"/>
              </w:rPr>
              <w:t>Istraživanje i inovacije: Postojanje nacionalne ili regionalne strategije pametne specijalizacije u skladu s nacionalnim programom reformi kako bi se utjecalo na rashode za privatna istraživanja i inovacije, koja udovoljava svojstvima nacionalnih ili regionalnih sustava za istraživanje i inovacije</w:t>
            </w:r>
          </w:p>
          <w:p w:rsidR="009B2E82" w:rsidRPr="009B2E82" w:rsidRDefault="009B2E82" w:rsidP="009B2E82">
            <w:pPr>
              <w:shd w:val="clear" w:color="auto" w:fill="FFFFFF"/>
              <w:spacing w:line="230" w:lineRule="exact"/>
              <w:ind w:right="10"/>
              <w:rPr>
                <w:rFonts w:ascii="Times New Roman" w:hAnsi="Times New Roman" w:cs="Times New Roman"/>
                <w:lang w:eastAsia="hr-HR"/>
              </w:rPr>
            </w:pPr>
          </w:p>
        </w:tc>
        <w:tc>
          <w:tcPr>
            <w:tcW w:w="346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color w:val="000000"/>
                <w:spacing w:val="-2"/>
                <w:sz w:val="20"/>
                <w:lang w:eastAsia="hr-HR"/>
              </w:rPr>
            </w:pPr>
            <w:r w:rsidRPr="009B2E82">
              <w:rPr>
                <w:rFonts w:ascii="Times New Roman" w:hAnsi="Times New Roman" w:cs="Times New Roman"/>
                <w:color w:val="000000"/>
                <w:spacing w:val="-2"/>
                <w:sz w:val="20"/>
                <w:lang w:eastAsia="hr-HR"/>
              </w:rPr>
              <w:t>4 –</w:t>
            </w:r>
            <w:r w:rsidRPr="009B2E82">
              <w:rPr>
                <w:rFonts w:ascii="Times New Roman" w:hAnsi="Times New Roman" w:cs="Times New Roman"/>
                <w:lang w:eastAsia="hr-HR"/>
              </w:rPr>
              <w:t>sadrži sustav za praćenje.</w:t>
            </w:r>
          </w:p>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2"/>
                <w:lang w:eastAsia="hr-HR"/>
              </w:rPr>
              <w:t>.</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5265"/>
        </w:trPr>
        <w:tc>
          <w:tcPr>
            <w:tcW w:w="338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T.01.1 - </w:t>
            </w:r>
            <w:r w:rsidRPr="009B2E82">
              <w:rPr>
                <w:rFonts w:ascii="Times New Roman" w:eastAsia="Times New Roman" w:hAnsi="Times New Roman" w:cs="Times New Roman"/>
                <w:color w:val="000000"/>
                <w:spacing w:val="1"/>
                <w:szCs w:val="20"/>
                <w:lang w:eastAsia="hr-HR"/>
              </w:rPr>
              <w:t>Istraživanje i inovacije: Postojanje nacionalne ili regionalne strategije pametne specijalizacije u skladu s nacionalnim programom reformi kako bi se utjecalo na rashode za privatna istraživanja i inovacije, koja udovoljava svojstvima nacionalnih ili regionalnih sustava za istraživanje i inovacije</w:t>
            </w:r>
          </w:p>
          <w:p w:rsidR="009B2E82" w:rsidRPr="009B2E82" w:rsidRDefault="009B2E82" w:rsidP="009B2E82">
            <w:pPr>
              <w:shd w:val="clear" w:color="auto" w:fill="FFFFFF"/>
              <w:spacing w:line="230" w:lineRule="exact"/>
              <w:ind w:right="10"/>
              <w:rPr>
                <w:rFonts w:ascii="Times New Roman" w:hAnsi="Times New Roman" w:cs="Times New Roman"/>
                <w:lang w:eastAsia="hr-HR"/>
              </w:rPr>
            </w:pPr>
          </w:p>
        </w:tc>
        <w:tc>
          <w:tcPr>
            <w:tcW w:w="346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98"/>
              <w:rPr>
                <w:rFonts w:ascii="Times New Roman" w:hAnsi="Times New Roman" w:cs="Times New Roman"/>
                <w:lang w:eastAsia="hr-HR"/>
              </w:rPr>
            </w:pPr>
            <w:r w:rsidRPr="009B2E82">
              <w:rPr>
                <w:rFonts w:ascii="Times New Roman" w:hAnsi="Times New Roman" w:cs="Times New Roman"/>
                <w:color w:val="000000"/>
                <w:lang w:eastAsia="hr-HR"/>
              </w:rPr>
              <w:t xml:space="preserve">5 – </w:t>
            </w:r>
            <w:r w:rsidRPr="009B2E82">
              <w:rPr>
                <w:rFonts w:ascii="Times New Roman" w:hAnsi="Times New Roman" w:cs="Times New Roman"/>
                <w:lang w:eastAsia="hr-HR"/>
              </w:rPr>
              <w:t>Usvojen je okvir u kojem se navode dostupna proračunska sredstva za istraživanje i inovacije</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Plan razvoja istraživačke infrastrukture u Republici Hrvatskoj za 2014.-2020. usvojio je ministar Znanosti, obrazovanja i športa 1. travnja 2014.:</w:t>
            </w:r>
          </w:p>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http://public.mzos.hr/Default.asp x?art=13111&amp;sec=2127</w:t>
            </w:r>
          </w:p>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On obuhvaća:</w:t>
            </w:r>
          </w:p>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1. Nacionalne prioritete za razvoj istraživačke infrastrukture;</w:t>
            </w:r>
          </w:p>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2. Kriterije za odabir projekata istraživanja i inovacije;</w:t>
            </w:r>
          </w:p>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3. Modeli suradnje unutar Europskog istraživačkog područja (ERA)</w:t>
            </w:r>
          </w:p>
          <w:p w:rsidR="009B2E82" w:rsidRPr="009B2E82" w:rsidRDefault="009B2E82" w:rsidP="009B2E82">
            <w:pPr>
              <w:spacing w:after="0" w:line="240" w:lineRule="auto"/>
              <w:rPr>
                <w:rFonts w:ascii="Times New Roman" w:hAnsi="Times New Roman" w:cs="Times New Roman"/>
                <w:lang w:eastAsia="hr-HR"/>
              </w:rPr>
            </w:pPr>
          </w:p>
          <w:p w:rsidR="009B2E82" w:rsidRPr="009B2E82" w:rsidRDefault="009B2E82" w:rsidP="009B2E82">
            <w:pPr>
              <w:shd w:val="clear" w:color="auto" w:fill="FFFFFF"/>
              <w:rPr>
                <w:rFonts w:ascii="Times New Roman" w:hAnsi="Times New Roman" w:cs="Times New Roman"/>
                <w:lang w:eastAsia="hr-HR"/>
              </w:rPr>
            </w:pPr>
          </w:p>
        </w:tc>
        <w:tc>
          <w:tcPr>
            <w:tcW w:w="341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5"/>
                <w:lang w:eastAsia="hr-HR"/>
              </w:rPr>
            </w:pPr>
            <w:r w:rsidRPr="009B2E82">
              <w:rPr>
                <w:rFonts w:ascii="Times New Roman" w:hAnsi="Times New Roman" w:cs="Times New Roman"/>
                <w:color w:val="000000"/>
                <w:spacing w:val="5"/>
                <w:lang w:eastAsia="hr-HR"/>
              </w:rPr>
              <w:t xml:space="preserve">Plan razvoja razvijen je istovremeno dok je MZOŠ sudjelovao u razvoju S3, stoga je u sinergiji s S3, kao i drugim relevantnim nacionalnim strategijama. Plan razvoja Hrvatske izrađen je u skladu s planom razvoja ESFII-ja, njegovim prioritetima, ali su uzete u obzir i postojeće velike infrastrukture. Planom razvoja ne predviđa se pokretanje novih velikih infrastruktura u Hrvatskoj nego se popisuju postojeće infrastrukture ESFII-ja koje su prepoznate kao infrastrukture koje bi Hrvatskoj bile najzanimljivije za priključenje. Definirani prioriteti vezani za nacionalne infrastrukture i velike međunarodne projekte (projekti iz plana razvoja ESFII-ja / EII-ja (Europska istraživačka infrastruktura)) </w:t>
            </w:r>
          </w:p>
          <w:p w:rsidR="009B2E82" w:rsidRPr="009B2E82" w:rsidRDefault="009B2E82" w:rsidP="009B2E82">
            <w:pPr>
              <w:shd w:val="clear" w:color="auto" w:fill="FFFFFF"/>
              <w:spacing w:line="226" w:lineRule="exact"/>
              <w:ind w:right="10"/>
              <w:jc w:val="center"/>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258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 xml:space="preserve">4. Provedbu inicijative Horizon 2020 </w:t>
            </w:r>
            <w:r w:rsidRPr="009B2E82">
              <w:rPr>
                <w:rFonts w:ascii="Times New Roman" w:hAnsi="Times New Roman" w:cs="Times New Roman"/>
                <w:lang w:eastAsia="hr-HR"/>
              </w:rPr>
              <w:br/>
              <w:t xml:space="preserve">5. Paneuropsku istraživačku infrastrukturu (projekti Europskog </w:t>
            </w:r>
            <w:r w:rsidRPr="009B2E82">
              <w:rPr>
                <w:rFonts w:ascii="Times New Roman" w:hAnsi="Times New Roman" w:cs="Times New Roman"/>
                <w:iCs/>
                <w:lang w:eastAsia="hr-HR"/>
              </w:rPr>
              <w:t>strateškog foruma</w:t>
            </w:r>
            <w:r w:rsidRPr="009B2E82">
              <w:rPr>
                <w:rFonts w:ascii="Times New Roman" w:hAnsi="Times New Roman" w:cs="Times New Roman"/>
                <w:lang w:eastAsia="hr-HR"/>
              </w:rPr>
              <w:t xml:space="preserve"> za </w:t>
            </w:r>
            <w:r w:rsidRPr="009B2E82">
              <w:rPr>
                <w:rFonts w:ascii="Times New Roman" w:hAnsi="Times New Roman" w:cs="Times New Roman"/>
                <w:iCs/>
                <w:lang w:eastAsia="hr-HR"/>
              </w:rPr>
              <w:t>istraživačke infrastrukture</w:t>
            </w:r>
            <w:r w:rsidRPr="009B2E82">
              <w:rPr>
                <w:rFonts w:ascii="Times New Roman" w:hAnsi="Times New Roman" w:cs="Times New Roman"/>
                <w:lang w:eastAsia="hr-HR"/>
              </w:rPr>
              <w:t xml:space="preserve"> ESFII) </w:t>
            </w:r>
            <w:r w:rsidRPr="009B2E82">
              <w:rPr>
                <w:rFonts w:ascii="Times New Roman" w:hAnsi="Times New Roman" w:cs="Times New Roman"/>
                <w:lang w:eastAsia="hr-HR"/>
              </w:rPr>
              <w:br/>
              <w:t>6. Okvirni proračun za financiranje istraživanja i inovacija postavljenih unutar Plana razvoja za 2014. - 2023.</w:t>
            </w:r>
          </w:p>
          <w:p w:rsidR="009B2E82" w:rsidRPr="009B2E82" w:rsidRDefault="009B2E82" w:rsidP="009B2E82">
            <w:pPr>
              <w:shd w:val="clear" w:color="auto" w:fill="FFFFFF"/>
              <w:spacing w:line="274" w:lineRule="exact"/>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5"/>
                <w:lang w:eastAsia="hr-HR"/>
              </w:rPr>
              <w:t xml:space="preserve">navedeni su i u prijedlogu S3 i razvijeni su uzimajući u obzir istu analiza koja je korištena u S3. Za svaku od ovih infrastruktura popisane su financijske obveze. Plan investicija za istraživanja </w:t>
            </w:r>
            <w:r w:rsidRPr="009B2E82">
              <w:rPr>
                <w:rFonts w:ascii="Times New Roman" w:hAnsi="Times New Roman" w:cs="Times New Roman"/>
                <w:color w:val="000000"/>
                <w:spacing w:val="1"/>
                <w:lang w:eastAsia="hr-HR"/>
              </w:rPr>
              <w:t xml:space="preserve">infrastruktura na godišnjoj razini za 2014. - 2020. i izvore financiranja za tri ministarstva (MZOŠ, MINPO i MG) sadržan je u Prilogu 1 ovoga dokumenta. </w:t>
            </w:r>
          </w:p>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p>
        </w:tc>
      </w:tr>
      <w:tr w:rsidR="009B2E82" w:rsidRPr="009B2E82" w:rsidTr="009B2E82">
        <w:trPr>
          <w:trHeight w:hRule="exact" w:val="454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48"/>
              <w:jc w:val="both"/>
              <w:rPr>
                <w:rFonts w:ascii="Times New Roman" w:hAnsi="Times New Roman" w:cs="Times New Roman"/>
                <w:lang w:eastAsia="hr-HR"/>
              </w:rPr>
            </w:pPr>
            <w:r w:rsidRPr="009B2E82">
              <w:rPr>
                <w:rFonts w:ascii="Times New Roman" w:hAnsi="Times New Roman" w:cs="Times New Roman"/>
                <w:color w:val="000000"/>
                <w:spacing w:val="1"/>
                <w:lang w:eastAsia="hr-HR"/>
              </w:rPr>
              <w:t>T.02.1 –</w:t>
            </w:r>
            <w:r w:rsidRPr="009B2E82">
              <w:rPr>
                <w:rFonts w:ascii="Times New Roman" w:hAnsi="Times New Roman" w:cs="Times New Roman"/>
                <w:b/>
                <w:bCs/>
                <w:i/>
                <w:lang w:eastAsia="hr-HR"/>
              </w:rPr>
              <w:t xml:space="preserve"> </w:t>
            </w:r>
            <w:r w:rsidRPr="009B2E82">
              <w:rPr>
                <w:rFonts w:ascii="Times New Roman" w:hAnsi="Times New Roman" w:cs="Times New Roman"/>
                <w:lang w:eastAsia="hr-HR"/>
              </w:rPr>
              <w:t>Digitalni rast: Strateški okvir za politiku digitalnog rasta za poticanje povoljnih, kvalitetnih i interoperabilnih privatnih i javnih usluga na temelju IKT-a te za povećanje prihvaćenosti od strane građana, uključujući ranjive skupine, poduzeća, i javne uprave, uključujući prekogranične inicijative.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8"/>
              <w:rPr>
                <w:rFonts w:ascii="Times New Roman" w:hAnsi="Times New Roman" w:cs="Times New Roman"/>
                <w:lang w:eastAsia="hr-HR"/>
              </w:rPr>
            </w:pPr>
            <w:r w:rsidRPr="009B2E82">
              <w:rPr>
                <w:rFonts w:ascii="Times New Roman" w:hAnsi="Times New Roman" w:cs="Times New Roman"/>
                <w:color w:val="000000"/>
                <w:spacing w:val="-1"/>
                <w:lang w:eastAsia="hr-HR"/>
              </w:rPr>
              <w:t>1 – strateški okvir za politiku digitalnog rasta, na primjer, u okviru nacionalne ili regionalne inovacijske strategije za pametnu specijalizaciju koji obuhvaća: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Razvoj strategije e-Hrvatska započet će u 3. kvartalu 2014. Njome će se postaviti strateški ciljevi i mjere koje se koriste samo vezano za investicije IKT-a u javnom sektoru, dok Strategija razvoja MSP-ova u Republici Hrvatskoj 2013. - 2020. postavlja strateške ciljeve i mjere koje se poduzimaju u svezi s razvojem proizvoda i usluga IKT–a u privatnom sektoru. Strategija će također uzeti u obzir i druge nacionalne strategije koje pokrivaju razvoj IKT-a u pojedinim sektorima (primjerice Nacionalna strategija razvoja zdravstva sadrži važan dio vezano uz razvoj e-zdravstva). Definirat će se ciljevi u skladu s Digitalnim planom za Europe 2020. (DAE 2020).</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259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r w:rsidRPr="009B2E82">
              <w:rPr>
                <w:rFonts w:ascii="Times New Roman" w:hAnsi="Times New Roman" w:cs="Times New Roman"/>
                <w:lang w:eastAsia="hr-HR"/>
              </w:rPr>
              <w:t>Zakon o državnoj informacijskoj infrastrukturi zahtijeva koordinirani pristup razvoju projektima IKT-a u javnom sektoru. Definira mehanizam za praćenje i koordinaciju svih javnih projekata IKT-a, bez obzira na izvore financiranja. Isti mehanizam definiran ovim zakonom, koristit će se za prepoznavanje plana provedbe projekta koji će se financirati iz ESI fondova.</w:t>
            </w:r>
          </w:p>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p>
        </w:tc>
      </w:tr>
      <w:tr w:rsidR="009B2E82" w:rsidRPr="009B2E82" w:rsidTr="009B2E82">
        <w:trPr>
          <w:trHeight w:hRule="exact" w:val="226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48"/>
              <w:rPr>
                <w:rFonts w:ascii="Times New Roman" w:hAnsi="Times New Roman" w:cs="Times New Roman"/>
                <w:lang w:eastAsia="hr-HR"/>
              </w:rPr>
            </w:pPr>
            <w:r w:rsidRPr="009B2E82">
              <w:rPr>
                <w:rFonts w:ascii="Times New Roman" w:hAnsi="Times New Roman" w:cs="Times New Roman"/>
                <w:color w:val="000000"/>
                <w:spacing w:val="1"/>
                <w:lang w:eastAsia="hr-HR"/>
              </w:rPr>
              <w:t>T.02.1 –</w:t>
            </w:r>
            <w:r w:rsidRPr="009B2E82">
              <w:rPr>
                <w:rFonts w:ascii="Times New Roman" w:hAnsi="Times New Roman" w:cs="Times New Roman"/>
                <w:i/>
                <w:color w:val="000000"/>
                <w:spacing w:val="1"/>
                <w:lang w:eastAsia="hr-HR"/>
              </w:rPr>
              <w:t xml:space="preserve"> </w:t>
            </w:r>
            <w:r w:rsidRPr="009B2E82">
              <w:rPr>
                <w:rFonts w:ascii="Times New Roman" w:hAnsi="Times New Roman" w:cs="Times New Roman"/>
                <w:color w:val="000000"/>
                <w:spacing w:val="1"/>
                <w:lang w:eastAsia="hr-HR"/>
              </w:rPr>
              <w:t>Digitalni rast: Strateški okvir za politiku digitalnog rasta za poticanje povoljnih, kvalitetnih i interoperabilnih privatnih i javnih usluga na temelju IKT-a te za povećanje prihvaćenosti od strane građana, uključujući ranjive skupine, poduzeća i javne uprave uključujući prekogranične inicijative.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86"/>
              <w:rPr>
                <w:rFonts w:ascii="Times New Roman" w:hAnsi="Times New Roman" w:cs="Times New Roman"/>
                <w:color w:val="000000"/>
                <w:lang w:eastAsia="hr-HR"/>
              </w:rPr>
            </w:pPr>
            <w:r w:rsidRPr="009B2E82">
              <w:rPr>
                <w:rFonts w:ascii="Times New Roman" w:hAnsi="Times New Roman" w:cs="Times New Roman"/>
                <w:color w:val="000000"/>
                <w:lang w:eastAsia="hr-HR"/>
              </w:rPr>
              <w:t>2 – pripremu proračuna i određivanje prioriteta za aktivnosti analizom jakih i slabih točaka, mogućnosti i opasnosti ili</w:t>
            </w:r>
            <w:r w:rsidRPr="009B2E82">
              <w:rPr>
                <w:rFonts w:ascii="Times New Roman" w:hAnsi="Times New Roman" w:cs="Times New Roman"/>
                <w:b/>
                <w:color w:val="000000"/>
                <w:lang w:eastAsia="hr-HR"/>
              </w:rPr>
              <w:t xml:space="preserve"> </w:t>
            </w:r>
            <w:r w:rsidRPr="009B2E82">
              <w:rPr>
                <w:rFonts w:ascii="Times New Roman" w:hAnsi="Times New Roman" w:cs="Times New Roman"/>
                <w:color w:val="000000"/>
                <w:lang w:eastAsia="hr-HR"/>
              </w:rPr>
              <w:t>sličnom analizom provedenom u skladu s ljestvicom uspjeha Digitalne agende za Europu</w:t>
            </w:r>
          </w:p>
          <w:p w:rsidR="009B2E82" w:rsidRPr="009B2E82" w:rsidRDefault="009B2E82" w:rsidP="009B2E82">
            <w:pPr>
              <w:shd w:val="clear" w:color="auto" w:fill="FFFFFF"/>
              <w:spacing w:line="230" w:lineRule="exact"/>
              <w:ind w:right="86"/>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239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48"/>
              <w:rPr>
                <w:rFonts w:ascii="Times New Roman" w:hAnsi="Times New Roman" w:cs="Times New Roman"/>
                <w:lang w:eastAsia="hr-HR"/>
              </w:rPr>
            </w:pPr>
            <w:r w:rsidRPr="009B2E82">
              <w:rPr>
                <w:rFonts w:ascii="Times New Roman" w:hAnsi="Times New Roman" w:cs="Times New Roman"/>
                <w:color w:val="000000"/>
                <w:spacing w:val="1"/>
                <w:lang w:eastAsia="hr-HR"/>
              </w:rPr>
              <w:t>T.02.1 –</w:t>
            </w:r>
            <w:r w:rsidRPr="009B2E82">
              <w:rPr>
                <w:rFonts w:ascii="Times New Roman" w:hAnsi="Times New Roman" w:cs="Times New Roman"/>
                <w:i/>
                <w:color w:val="000000"/>
                <w:spacing w:val="1"/>
                <w:lang w:eastAsia="hr-HR"/>
              </w:rPr>
              <w:t xml:space="preserve"> </w:t>
            </w:r>
            <w:r w:rsidRPr="009B2E82">
              <w:rPr>
                <w:rFonts w:ascii="Times New Roman" w:hAnsi="Times New Roman" w:cs="Times New Roman"/>
                <w:color w:val="000000"/>
                <w:spacing w:val="1"/>
                <w:lang w:eastAsia="hr-HR"/>
              </w:rPr>
              <w:t>Digitalni rast: Strateški okvir za politiku digitalnog rasta za poticanje povoljnih, kvalitetnih i interoperabilnih privatnih i javnih usluga na temelju IKT-a te za povećanje prihvaćenosti od strane građana, uključujući ranjive skupine, poduzeća i javne uprave uključujući prekogranične inicijative.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91"/>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3 - analizu uravnotežene podrške za potražnju i ponudu informacijske i komunikacijske tehnologije (IKT) koju je trebalo provesti;</w:t>
            </w:r>
          </w:p>
          <w:p w:rsidR="009B2E82" w:rsidRPr="009B2E82" w:rsidRDefault="009B2E82" w:rsidP="009B2E82">
            <w:pPr>
              <w:shd w:val="clear" w:color="auto" w:fill="FFFFFF"/>
              <w:spacing w:line="230" w:lineRule="exact"/>
              <w:ind w:right="91"/>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106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48"/>
              <w:rPr>
                <w:rFonts w:ascii="Times New Roman" w:hAnsi="Times New Roman" w:cs="Times New Roman"/>
                <w:lang w:eastAsia="hr-HR"/>
              </w:rPr>
            </w:pPr>
            <w:r w:rsidRPr="009B2E82">
              <w:rPr>
                <w:rFonts w:ascii="Times New Roman" w:hAnsi="Times New Roman" w:cs="Times New Roman"/>
                <w:color w:val="000000"/>
                <w:spacing w:val="1"/>
                <w:lang w:eastAsia="hr-HR"/>
              </w:rPr>
              <w:t>T.02.1 –</w:t>
            </w:r>
            <w:r w:rsidRPr="009B2E82">
              <w:rPr>
                <w:rFonts w:ascii="Times New Roman" w:hAnsi="Times New Roman" w:cs="Times New Roman"/>
                <w:i/>
                <w:color w:val="000000"/>
                <w:spacing w:val="1"/>
                <w:lang w:eastAsia="hr-HR"/>
              </w:rPr>
              <w:t xml:space="preserve"> </w:t>
            </w:r>
            <w:r w:rsidRPr="009B2E82">
              <w:rPr>
                <w:rFonts w:ascii="Times New Roman" w:hAnsi="Times New Roman" w:cs="Times New Roman"/>
                <w:color w:val="000000"/>
                <w:spacing w:val="1"/>
                <w:lang w:eastAsia="hr-HR"/>
              </w:rPr>
              <w:t>Digitalni rast: Strateški okvir za politiku digitalnog rasta za poticanje povoljnih, kvalitetnih i interoperabilnih privatnih i građana,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9"/>
              <w:rPr>
                <w:rFonts w:ascii="Times New Roman" w:hAnsi="Times New Roman" w:cs="Times New Roman"/>
                <w:lang w:eastAsia="hr-HR"/>
              </w:rPr>
            </w:pPr>
            <w:r w:rsidRPr="009B2E82">
              <w:rPr>
                <w:rFonts w:ascii="Times New Roman" w:hAnsi="Times New Roman" w:cs="Times New Roman"/>
                <w:color w:val="000000"/>
                <w:lang w:eastAsia="hr-HR"/>
              </w:rPr>
              <w:t xml:space="preserve">4 - pokazatelje za mjerenje napretka intervencija u područjima kao što su digitalna pismenost, e-uključenost, e-dostupnost i e-zdravlje u okviru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105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72"/>
              <w:rPr>
                <w:rFonts w:ascii="Times New Roman" w:hAnsi="Times New Roman" w:cs="Times New Roman"/>
                <w:lang w:eastAsia="hr-HR"/>
              </w:rPr>
            </w:pPr>
            <w:r w:rsidRPr="009B2E82">
              <w:rPr>
                <w:rFonts w:ascii="Times New Roman" w:hAnsi="Times New Roman" w:cs="Times New Roman"/>
                <w:color w:val="000000"/>
                <w:spacing w:val="-1"/>
                <w:lang w:eastAsia="hr-HR"/>
              </w:rPr>
              <w:t>uključujući ranjive skupine, poduzeća i javne uprave uključujući prekogranične inicijative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74"/>
              <w:rPr>
                <w:rFonts w:ascii="Times New Roman" w:hAnsi="Times New Roman" w:cs="Times New Roman"/>
                <w:lang w:eastAsia="hr-HR"/>
              </w:rPr>
            </w:pPr>
            <w:r w:rsidRPr="009B2E82">
              <w:rPr>
                <w:rFonts w:ascii="Times New Roman" w:hAnsi="Times New Roman" w:cs="Times New Roman"/>
                <w:color w:val="000000"/>
                <w:spacing w:val="-1"/>
                <w:lang w:eastAsia="hr-HR"/>
              </w:rPr>
              <w:t>članka 168. UFEU-a koje su po potrebi usklađene s postojećim sektorskim,</w:t>
            </w:r>
            <w:r w:rsidRPr="009B2E82">
              <w:rPr>
                <w:rFonts w:ascii="Times New Roman" w:hAnsi="Times New Roman" w:cs="Times New Roman"/>
                <w:b/>
                <w:i/>
                <w:color w:val="000000"/>
                <w:spacing w:val="-1"/>
                <w:lang w:eastAsia="hr-HR"/>
              </w:rPr>
              <w:t xml:space="preserve"> </w:t>
            </w:r>
            <w:r w:rsidRPr="009B2E82">
              <w:rPr>
                <w:rFonts w:ascii="Times New Roman" w:hAnsi="Times New Roman" w:cs="Times New Roman"/>
                <w:color w:val="000000"/>
                <w:spacing w:val="-1"/>
                <w:lang w:eastAsia="hr-HR"/>
              </w:rPr>
              <w:t>Unijinim</w:t>
            </w:r>
            <w:r w:rsidRPr="009B2E82">
              <w:rPr>
                <w:rFonts w:ascii="Times New Roman" w:hAnsi="Times New Roman" w:cs="Times New Roman"/>
                <w:b/>
                <w:i/>
                <w:color w:val="000000"/>
                <w:spacing w:val="-1"/>
                <w:lang w:eastAsia="hr-HR"/>
              </w:rPr>
              <w:t xml:space="preserve">, </w:t>
            </w:r>
            <w:r w:rsidRPr="009B2E82">
              <w:rPr>
                <w:rFonts w:ascii="Times New Roman" w:hAnsi="Times New Roman" w:cs="Times New Roman"/>
                <w:color w:val="000000"/>
                <w:spacing w:val="-1"/>
                <w:lang w:eastAsia="hr-HR"/>
              </w:rPr>
              <w:t>nacionalnim ili regionalnim strategijama;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222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48"/>
              <w:rPr>
                <w:rFonts w:ascii="Times New Roman" w:hAnsi="Times New Roman" w:cs="Times New Roman"/>
                <w:lang w:eastAsia="hr-HR"/>
              </w:rPr>
            </w:pPr>
            <w:r w:rsidRPr="009B2E82">
              <w:rPr>
                <w:rFonts w:ascii="Times New Roman" w:hAnsi="Times New Roman" w:cs="Times New Roman"/>
                <w:color w:val="000000"/>
                <w:spacing w:val="1"/>
                <w:lang w:eastAsia="hr-HR"/>
              </w:rPr>
              <w:t>T.02.1 –</w:t>
            </w:r>
            <w:r w:rsidRPr="009B2E82">
              <w:rPr>
                <w:rFonts w:ascii="Times New Roman" w:hAnsi="Times New Roman" w:cs="Times New Roman"/>
                <w:i/>
                <w:color w:val="000000"/>
                <w:spacing w:val="1"/>
                <w:lang w:eastAsia="hr-HR"/>
              </w:rPr>
              <w:t xml:space="preserve"> </w:t>
            </w:r>
            <w:r w:rsidRPr="009B2E82">
              <w:rPr>
                <w:rFonts w:ascii="Times New Roman" w:hAnsi="Times New Roman" w:cs="Times New Roman"/>
                <w:color w:val="000000"/>
                <w:spacing w:val="1"/>
                <w:lang w:eastAsia="hr-HR"/>
              </w:rPr>
              <w:t>Digitalni rast: Strateški okvir za politiku digitalnog rasta za poticanje povoljnih, kvalitetnih i interoperabilnih privatnih i javnih usluga na temelju IKT-a te za povećanje prihvaćenosti od strane građana, uključujući ranjive skupine, poduzeća i javne uprave uključujući prekogranične inicijative.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1" w:lineRule="exact"/>
              <w:ind w:right="14"/>
              <w:rPr>
                <w:rFonts w:ascii="Times New Roman" w:hAnsi="Times New Roman" w:cs="Times New Roman"/>
                <w:lang w:eastAsia="hr-HR"/>
              </w:rPr>
            </w:pPr>
            <w:r w:rsidRPr="009B2E82">
              <w:rPr>
                <w:rFonts w:ascii="Times New Roman" w:hAnsi="Times New Roman" w:cs="Times New Roman"/>
                <w:color w:val="000000"/>
                <w:spacing w:val="-1"/>
                <w:lang w:eastAsia="hr-HR"/>
              </w:rPr>
              <w:t>5 - procjenu potreba za jačanjem izgradnje informacijsko-komunikacijskih kapaciteta.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452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rPr>
                <w:rFonts w:ascii="Times New Roman" w:hAnsi="Times New Roman" w:cs="Times New Roman"/>
                <w:lang w:eastAsia="hr-HR"/>
              </w:rPr>
            </w:pPr>
            <w:r w:rsidRPr="009B2E82">
              <w:rPr>
                <w:rFonts w:ascii="Times New Roman" w:hAnsi="Times New Roman" w:cs="Times New Roman"/>
                <w:color w:val="000000"/>
                <w:spacing w:val="3"/>
                <w:lang w:eastAsia="hr-HR"/>
              </w:rPr>
              <w:t xml:space="preserve">T.02.2- Infrastruktura za mreže sljedeće generacije (NGN); Postojanje nacionalnih ili regionalnih planova za pristup sljedeće generacije u kojima se uzimaju u obzir regionalne </w:t>
            </w:r>
            <w:r w:rsidRPr="009B2E82">
              <w:rPr>
                <w:rFonts w:ascii="Times New Roman" w:hAnsi="Times New Roman" w:cs="Times New Roman"/>
                <w:color w:val="000000"/>
                <w:lang w:eastAsia="hr-HR"/>
              </w:rPr>
              <w:t>aktivnosti kako bi se postigli ciljevi pristupa internetu velike brzine u Europskoj uniji s naglaskom na područja na kojima tržište ne uspijeva pružiti otvorenu infrastrukturu pristupačne cijene i kakvoće u skladu s pravilima EU-a o konkurentnosti i državnim potporama i kako bi se pružile dostupne usluge osjetljivim skupinama.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44"/>
              <w:rPr>
                <w:rFonts w:ascii="Times New Roman" w:hAnsi="Times New Roman" w:cs="Times New Roman"/>
                <w:lang w:eastAsia="hr-HR"/>
              </w:rPr>
            </w:pPr>
            <w:r w:rsidRPr="009B2E82">
              <w:rPr>
                <w:rFonts w:ascii="Times New Roman" w:hAnsi="Times New Roman" w:cs="Times New Roman"/>
                <w:color w:val="000000"/>
                <w:spacing w:val="-2"/>
                <w:lang w:eastAsia="hr-HR"/>
              </w:rPr>
              <w:t>1 – Postoji nacionalni i/ili regionalni Plan NGN-a koji obuhvaća</w:t>
            </w:r>
            <w:r w:rsidRPr="009B2E82">
              <w:rPr>
                <w:rFonts w:ascii="Times New Roman" w:hAnsi="Times New Roman" w:cs="Times New Roman"/>
                <w:color w:val="000000"/>
                <w:spacing w:val="-1"/>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Provedba plana NGN-a za razdoblje 2014. - 2020. u Republici Hrvatskoj formalno je pokrivena nizom dokumenata (strategije,  provedbenim projektima, studija, operativnih programa): </w:t>
            </w:r>
            <w:r w:rsidRPr="009B2E82">
              <w:rPr>
                <w:rFonts w:ascii="Times New Roman" w:hAnsi="Times New Roman" w:cs="Times New Roman"/>
                <w:lang w:eastAsia="hr-HR"/>
              </w:rPr>
              <w:br/>
              <w:t xml:space="preserve">Strategija razvoja širokopojasnog pristupa u Republici Hrvatskoj za razdoblje od 2012. – 2015. (NN 144/11) </w:t>
            </w:r>
            <w:r w:rsidRPr="009B2E82">
              <w:rPr>
                <w:rFonts w:ascii="Times New Roman" w:hAnsi="Times New Roman" w:cs="Times New Roman"/>
                <w:lang w:eastAsia="hr-HR"/>
              </w:rPr>
              <w:br/>
              <w:t xml:space="preserve">- Nova Strategija razvoja širokopojasnog pristupa u Republici Hrvatskoj za razdoblje od 2016. – 2020. s detaljnim provedbenim mjerama, koju će usvojiti Vlada RH do kraja 2015. Ciljevi za pristup internetu velikim brzinama definirani unutar ove Strategije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gridCol w:w="1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gridAfter w:val="1"/>
          <w:wAfter w:w="108" w:type="dxa"/>
          <w:trHeight w:hRule="exact" w:val="400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both"/>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bit će usklađeni sa stupom 4. DAE. </w:t>
            </w:r>
          </w:p>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color w:val="000000"/>
                <w:spacing w:val="1"/>
                <w:lang w:eastAsia="hr-HR"/>
              </w:rPr>
              <w:t>Studija o modelima financiranja i potpore za investicije u širokopojasnu infrastrukturu (2012.)</w:t>
            </w:r>
          </w:p>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color w:val="000000"/>
                <w:lang w:eastAsia="hr-HR"/>
              </w:rPr>
              <w:t>Okvirni nacionalni program (ONP) za razvoj širokopojasne infrastrukture u područjima u kojima ne postoji dostatan komercijalni interes za ulaganja (pristup, posljednja milja)</w:t>
            </w:r>
          </w:p>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color w:val="000000"/>
                <w:spacing w:val="20"/>
                <w:lang w:eastAsia="hr-HR"/>
              </w:rPr>
              <w:t>Nacionalni program razvoja širokopojasne agregacijske infrastrukture (NP-BBI) (trenutno u izradi)</w:t>
            </w:r>
            <w:r w:rsidRPr="009B2E82">
              <w:rPr>
                <w:rFonts w:ascii="Times New Roman" w:hAnsi="Times New Roman" w:cs="Times New Roman"/>
                <w:color w:val="000000"/>
                <w:spacing w:val="-1"/>
                <w:lang w:eastAsia="hr-HR"/>
              </w:rPr>
              <w:t>.</w:t>
            </w:r>
          </w:p>
        </w:tc>
      </w:tr>
      <w:tr w:rsidR="009B2E82" w:rsidRPr="009B2E82" w:rsidTr="009B2E82">
        <w:trPr>
          <w:trHeight w:hRule="exact" w:val="496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rPr>
                <w:rFonts w:ascii="Times New Roman" w:hAnsi="Times New Roman" w:cs="Times New Roman"/>
                <w:lang w:eastAsia="hr-HR"/>
              </w:rPr>
            </w:pPr>
            <w:r w:rsidRPr="009B2E82">
              <w:rPr>
                <w:rFonts w:ascii="Times New Roman" w:hAnsi="Times New Roman" w:cs="Times New Roman"/>
                <w:color w:val="000000"/>
                <w:spacing w:val="1"/>
                <w:lang w:eastAsia="hr-HR"/>
              </w:rPr>
              <w:lastRenderedPageBreak/>
              <w:t>T.02.2- Infrastruktura za mreže sljedeće generacije (NGN); Postojanje nacionalnih ili regionalnih planova za pristup sljedeće generacije u kojima se uzimaju u obzir regionalne aktivnosti kako bi se postigli ciljevi pristupa internetu velike brzine u Europskoj uniji s naglaskom na područja na kojima tržište ne uspijeva pružiti otvorenu infrastrukturu pristupačne cijene i kakvoće u skladu s pravilima EU-a o konkurentnosti i državnim potporama i kako bi se pružile dostupne usluge osjetljivim skupinama.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4"/>
              <w:rPr>
                <w:rFonts w:ascii="Times New Roman" w:hAnsi="Times New Roman" w:cs="Times New Roman"/>
                <w:lang w:eastAsia="hr-HR"/>
              </w:rPr>
            </w:pPr>
            <w:r w:rsidRPr="009B2E82">
              <w:rPr>
                <w:rFonts w:ascii="Times New Roman" w:hAnsi="Times New Roman" w:cs="Times New Roman"/>
                <w:color w:val="000000"/>
                <w:lang w:eastAsia="hr-HR"/>
              </w:rPr>
              <w:t>2 - plan infrastrukturnih ulaganja na temelju gospodarske analize uzimajući u obzir postojeće privatne i javne infrastrukture i planirana ulaganja</w:t>
            </w:r>
            <w:r w:rsidRPr="009B2E82">
              <w:rPr>
                <w:rFonts w:ascii="Times New Roman" w:hAnsi="Times New Roman" w:cs="Times New Roman"/>
                <w:color w:val="000000"/>
                <w:spacing w:val="-1"/>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color w:val="000000"/>
                <w:spacing w:val="-3"/>
                <w:lang w:eastAsia="hr-HR"/>
              </w:rPr>
            </w:pPr>
            <w:r w:rsidRPr="009B2E82">
              <w:rPr>
                <w:rFonts w:ascii="Times New Roman" w:hAnsi="Times New Roman" w:cs="Times New Roman"/>
                <w:color w:val="000000"/>
                <w:spacing w:val="-3"/>
                <w:lang w:eastAsia="hr-HR"/>
              </w:rPr>
              <w:t>Studija o odabiru modela financiranja i poticajnih mjera za ulaganja u infrastrukturu širokopojasnog pristupa (izrađena 2012.); poglavlje 2 i prilog A; poglavlje 4 i prilog B</w:t>
            </w:r>
            <w:r w:rsidRPr="009B2E82">
              <w:rPr>
                <w:rFonts w:ascii="Times New Roman" w:hAnsi="Times New Roman" w:cs="Times New Roman"/>
                <w:lang w:eastAsia="hr-HR"/>
              </w:rPr>
              <w:t xml:space="preserve"> </w:t>
            </w:r>
            <w:r w:rsidRPr="009B2E82">
              <w:rPr>
                <w:rFonts w:ascii="Times New Roman" w:hAnsi="Times New Roman" w:cs="Times New Roman"/>
                <w:color w:val="000000"/>
                <w:spacing w:val="-3"/>
                <w:lang w:eastAsia="hr-HR"/>
              </w:rPr>
              <w:t xml:space="preserve">Okvirnog nacionalnog programa (ONP) za razvoj širokopojasne infrastrukture u područjima u kojima ne postoji dostatan komercijalni interes za ulaganja </w:t>
            </w: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gridSpan w:val="2"/>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Studija sadrži analizu pokrivenosti širokopojasnom infrastrukturom po županijama, općinama i naseljima, (mapiranje bijelih, sivih i crnih područja) i gospodarsku analizu troškova uvođenja mreža sljedeće generacije usklađene s ciljevima DAE uzimajući u obzir ponovnu upotrebu infrastrukture postojećih operatora (kanali, bakreni vodovi, antenski stupovi), kao i izgradnju nove infrastrukture (isključivo svjetlovodna i LTE infrastruktura financirat će se unutar ESIF-a). ONP je Nacionalni NGN plan za razvoj pristupnih mreža u područjima u kojima ne postoji dostatan komercijalni interes za ulaganja do 2020., s ciljem ostvarivanja ciljeva DAE-a, uzimajući u obzir najbolje prakse Europske Unije za pružanje otvorene</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301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b/>
                <w:bCs/>
                <w:lang w:eastAsia="hr-HR"/>
              </w:rPr>
            </w:pPr>
            <w:r w:rsidRPr="009B2E82">
              <w:rPr>
                <w:rFonts w:ascii="Times New Roman" w:hAnsi="Times New Roman" w:cs="Times New Roman"/>
                <w:b/>
                <w:bCs/>
                <w:iCs/>
                <w:lang w:eastAsia="hr-HR"/>
              </w:rPr>
              <w:t>Interaktivna karta</w:t>
            </w:r>
            <w:r w:rsidRPr="009B2E82">
              <w:rPr>
                <w:rFonts w:ascii="Times New Roman" w:hAnsi="Times New Roman" w:cs="Times New Roman"/>
                <w:b/>
                <w:bCs/>
                <w:lang w:eastAsia="hr-HR"/>
              </w:rPr>
              <w:t xml:space="preserve"> s prikazom </w:t>
            </w:r>
            <w:r w:rsidRPr="009B2E82">
              <w:rPr>
                <w:rFonts w:ascii="Times New Roman" w:hAnsi="Times New Roman" w:cs="Times New Roman"/>
                <w:b/>
                <w:bCs/>
                <w:iCs/>
                <w:lang w:eastAsia="hr-HR"/>
              </w:rPr>
              <w:t>pokrivenosti širokopojasnog</w:t>
            </w:r>
            <w:r w:rsidRPr="009B2E82">
              <w:rPr>
                <w:rFonts w:ascii="Times New Roman" w:hAnsi="Times New Roman" w:cs="Times New Roman"/>
                <w:b/>
                <w:bCs/>
                <w:lang w:eastAsia="hr-HR"/>
              </w:rPr>
              <w:t xml:space="preserve"> pristupa internetu </w:t>
            </w:r>
            <w:r w:rsidRPr="009B2E82">
              <w:rPr>
                <w:rFonts w:ascii="Times New Roman" w:hAnsi="Times New Roman" w:cs="Times New Roman"/>
                <w:bCs/>
                <w:lang w:eastAsia="hr-HR"/>
              </w:rPr>
              <w:t>koju je razvilo Nacionalno regulatorno tijelo (HAKOM) daje pregled dostupnosti osnovne i pokrivenosti NGA u cijeloj Hrvatskoj. Ažurira se kvartalno s posljednjim podacima operatora</w:t>
            </w:r>
            <w:r w:rsidRPr="009B2E82">
              <w:rPr>
                <w:rFonts w:ascii="Times New Roman" w:hAnsi="Times New Roman" w:cs="Times New Roman"/>
                <w:b/>
                <w:bCs/>
                <w:lang w:eastAsia="hr-HR"/>
              </w:rPr>
              <w:t xml:space="preserve"> </w:t>
            </w: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infrastrukture pristupačne cijene i  kakvoće u skladu s pravilima EU-a o konkurentnosti i državnim potporama. Donosi smjernice lokalnim općinama za provođenje projekata: izabran je najbolji model investiranja (Privatni modeli Projektiraj-izgradi-upravljaj / javni Projektiraj-izgradi-upravljaj model/model javno-privatnog partnerstva) nakon analize potreba, postojećeg stanja na terenu i javne rasprave održane o svakom projektu</w:t>
            </w:r>
          </w:p>
        </w:tc>
      </w:tr>
      <w:tr w:rsidR="009B2E82" w:rsidRPr="009B2E82" w:rsidTr="009B2E82">
        <w:trPr>
          <w:trHeight w:hRule="exact" w:val="497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rPr>
                <w:rFonts w:ascii="Times New Roman" w:hAnsi="Times New Roman" w:cs="Times New Roman"/>
                <w:lang w:eastAsia="hr-HR"/>
              </w:rPr>
            </w:pPr>
            <w:r w:rsidRPr="009B2E82">
              <w:rPr>
                <w:rFonts w:ascii="Times New Roman" w:hAnsi="Times New Roman" w:cs="Times New Roman"/>
                <w:color w:val="000000"/>
                <w:spacing w:val="3"/>
                <w:lang w:eastAsia="hr-HR"/>
              </w:rPr>
              <w:t>T.02.2- Infrastruktura za mreže sljedeće generacije (NGN); Postojanje nacionalnih ili regionalnih planova za pristup sljedeće generacije u kojima se uzimaju u obzir regionalne aktivnosti kako bi se postigli ciljevi pristupa internetu velike brzine u Europskoj uniji s naglaskom na područja na kojima tržište ne uspijeva pružiti otvorenu infrastrukturu pristupačne cijene i kakvoće u skladu s pravilima EU-a o konkurentnosti i državnim potporama i kako bi se pružile dostupne usluge osjetljivim skupinama.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9"/>
              <w:rPr>
                <w:rFonts w:ascii="Times New Roman" w:hAnsi="Times New Roman" w:cs="Times New Roman"/>
                <w:lang w:eastAsia="hr-HR"/>
              </w:rPr>
            </w:pPr>
            <w:r w:rsidRPr="009B2E82">
              <w:rPr>
                <w:rFonts w:ascii="Times New Roman" w:hAnsi="Times New Roman" w:cs="Times New Roman"/>
                <w:bCs/>
                <w:color w:val="000000"/>
                <w:lang w:eastAsia="hr-HR"/>
              </w:rPr>
              <w:t>3 - održive modele ulaganja kojima se ojačava tržišno natjecanje i pruža pristup otvorenoj, pristupačnoj, kvalitetnoj infrastrukturi i uslugama koje odolijevaju budućim tehnološkim promjenama</w:t>
            </w:r>
            <w:r w:rsidRPr="009B2E82">
              <w:rPr>
                <w:rFonts w:ascii="Times New Roman" w:hAnsi="Times New Roman" w:cs="Times New Roman"/>
                <w:color w:val="000000"/>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b/>
                <w:bCs/>
                <w:color w:val="000000"/>
                <w:lang w:eastAsia="hr-HR"/>
              </w:rPr>
              <w:t xml:space="preserve">Studija o odabiru modela financiranja i poticajnih mjera za ulaganja u infrastrukturu širokopojasnog pristupa (izrađena 2012.); poglavlje 3 </w:t>
            </w:r>
            <w:r w:rsidRPr="009B2E82">
              <w:rPr>
                <w:rFonts w:ascii="Times New Roman" w:hAnsi="Times New Roman" w:cs="Times New Roman"/>
                <w:b/>
                <w:bCs/>
                <w:color w:val="000000"/>
                <w:lang w:eastAsia="hr-HR"/>
              </w:rPr>
              <w:br/>
              <w:t>Okvirni nacionalni program (ONP) za razvoj širokopojasne infrastrukture u područjima u kojima ne postoji dostatan komercijalni interes za ulaganja, poglavlje 4.2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rPr>
                <w:rFonts w:ascii="Times New Roman" w:hAnsi="Times New Roman" w:cs="Times New Roman"/>
                <w:bCs/>
                <w:color w:val="000000"/>
                <w:lang w:eastAsia="hr-HR"/>
              </w:rPr>
            </w:pPr>
            <w:r w:rsidRPr="009B2E82">
              <w:rPr>
                <w:rFonts w:ascii="Times New Roman" w:hAnsi="Times New Roman" w:cs="Times New Roman"/>
                <w:bCs/>
                <w:color w:val="000000"/>
                <w:lang w:eastAsia="hr-HR"/>
              </w:rPr>
              <w:t>Studija sadrži analizu investicijskih modela širokopojasne infrastrukture, prema Vodiču EZ-a za investicije u širokopojasne mreže  i najboljim praksama iz drugih zemalja EU-a. Procjena infrastrukturnih investicija temelji se na gospodarskoj analizi (opis metodologije i izvora podataka korištenih u analizi, uključujući i uključenost dionika, kartu postojećih privatnih i javnih infrastruktura i planiranih ulaganja, kao i podatke o pokrivenosti). Studija uzima u obzir postojeće privatne i javne infrastrukture i planirana ulaganja; kojima se ojačava tržišno natjecanje i pruža pristup otvorenoj, pristupačnoj, kvalitetnoj infrastrukturi i uslugama koje odolijevaju budućim tehnološkim promjenama; mjere za poticanje privatnih ulaganja. Privatni i javni</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187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modeli projektiraj-izgradi-upravljaj i modeli javnog partnerstva prepoznati su kao najbolji modeli ulaganja u Republici Hrvatskoj; prepoznati su modeli koji će se smatrati modelima za mjere državne potpore u bijelim i sivim područjima. </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666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rPr>
                <w:rFonts w:ascii="Times New Roman" w:hAnsi="Times New Roman" w:cs="Times New Roman"/>
                <w:lang w:eastAsia="hr-HR"/>
              </w:rPr>
            </w:pPr>
            <w:r w:rsidRPr="009B2E82">
              <w:rPr>
                <w:rFonts w:ascii="Times New Roman" w:hAnsi="Times New Roman" w:cs="Times New Roman"/>
                <w:color w:val="000000"/>
                <w:spacing w:val="3"/>
                <w:lang w:eastAsia="hr-HR"/>
              </w:rPr>
              <w:t>T.02.2- Infrastruktura za mreže sljedeće generacije (NGN); Postojanje nacionalnih ili regionalnih planova za pristup sljedeće generacije u kojima se uzimaju u obzir regionalne aktivnosti kako bi se postigli ciljevi pristupa internetu velike brzine u Europskoj uniji s naglaskom na područja na kojima tržište ne uspijeva pružiti otvorenu infrastrukturu pristupačne cijene i kakvoće u skladu s pravilima EU-a o konkurentnosti i državnim potporama i kako bi se pružile dostupne usluge osjetljivim skupinama.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43"/>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4 – mjere za poticanje privatnih ulaganja. </w:t>
            </w:r>
          </w:p>
          <w:p w:rsidR="009B2E82" w:rsidRPr="009B2E82" w:rsidRDefault="009B2E82" w:rsidP="009B2E82">
            <w:pPr>
              <w:shd w:val="clear" w:color="auto" w:fill="FFFFFF"/>
              <w:spacing w:line="230" w:lineRule="exact"/>
              <w:ind w:right="643"/>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b/>
                <w:bCs/>
                <w:color w:val="000000"/>
                <w:spacing w:val="4"/>
                <w:lang w:eastAsia="hr-HR"/>
              </w:rPr>
            </w:pPr>
            <w:r w:rsidRPr="009B2E82">
              <w:rPr>
                <w:rFonts w:ascii="Times New Roman" w:hAnsi="Times New Roman" w:cs="Times New Roman"/>
                <w:b/>
                <w:bCs/>
                <w:color w:val="000000"/>
                <w:spacing w:val="4"/>
                <w:lang w:eastAsia="hr-HR"/>
              </w:rPr>
              <w:t>Studija o odabiru modela financiranja i poticajnih mjera za ulaganja u infrastrukturu širokopojasnog pristupa (</w:t>
            </w:r>
            <w:r w:rsidRPr="009B2E82">
              <w:rPr>
                <w:rFonts w:ascii="Times New Roman" w:hAnsi="Times New Roman" w:cs="Times New Roman"/>
                <w:bCs/>
                <w:color w:val="000000"/>
                <w:spacing w:val="4"/>
                <w:lang w:eastAsia="hr-HR"/>
              </w:rPr>
              <w:t>poglavlje 5)</w:t>
            </w:r>
            <w:r w:rsidRPr="009B2E82">
              <w:rPr>
                <w:rFonts w:ascii="Times New Roman" w:hAnsi="Times New Roman" w:cs="Times New Roman"/>
                <w:b/>
                <w:bCs/>
                <w:color w:val="000000"/>
                <w:spacing w:val="4"/>
                <w:lang w:eastAsia="hr-HR"/>
              </w:rPr>
              <w:t xml:space="preserve"> </w:t>
            </w:r>
            <w:r w:rsidRPr="009B2E82">
              <w:rPr>
                <w:rFonts w:ascii="Times New Roman" w:hAnsi="Times New Roman" w:cs="Times New Roman"/>
                <w:b/>
                <w:bCs/>
                <w:color w:val="000000"/>
                <w:spacing w:val="4"/>
                <w:lang w:eastAsia="hr-HR"/>
              </w:rPr>
              <w:br/>
            </w:r>
          </w:p>
          <w:p w:rsidR="009B2E82" w:rsidRPr="009B2E82" w:rsidRDefault="009B2E82" w:rsidP="009B2E82">
            <w:pPr>
              <w:shd w:val="clear" w:color="auto" w:fill="FFFFFF"/>
              <w:spacing w:line="274" w:lineRule="exact"/>
              <w:rPr>
                <w:rFonts w:ascii="Times New Roman" w:hAnsi="Times New Roman" w:cs="Times New Roman"/>
                <w:bCs/>
                <w:color w:val="000000"/>
                <w:spacing w:val="4"/>
                <w:lang w:eastAsia="hr-HR"/>
              </w:rPr>
            </w:pPr>
            <w:r w:rsidRPr="009B2E82">
              <w:rPr>
                <w:rFonts w:ascii="Times New Roman" w:hAnsi="Times New Roman" w:cs="Times New Roman"/>
                <w:b/>
                <w:bCs/>
                <w:color w:val="000000"/>
                <w:spacing w:val="4"/>
                <w:lang w:eastAsia="hr-HR"/>
              </w:rPr>
              <w:t xml:space="preserve">Zakon o elektroničkim komunikacijama </w:t>
            </w:r>
            <w:r w:rsidRPr="009B2E82">
              <w:rPr>
                <w:rFonts w:ascii="Times New Roman" w:hAnsi="Times New Roman" w:cs="Times New Roman"/>
                <w:bCs/>
                <w:color w:val="000000"/>
                <w:spacing w:val="4"/>
                <w:lang w:eastAsia="hr-HR"/>
              </w:rPr>
              <w:t>(NN 71/14, članak 16. (5, 6, 7, 8))</w:t>
            </w:r>
          </w:p>
          <w:p w:rsidR="009B2E82" w:rsidRPr="009B2E82" w:rsidRDefault="009B2E82" w:rsidP="009B2E82">
            <w:pPr>
              <w:shd w:val="clear" w:color="auto" w:fill="FFFFFF"/>
              <w:spacing w:line="274" w:lineRule="exact"/>
              <w:rPr>
                <w:rFonts w:ascii="Times New Roman" w:hAnsi="Times New Roman" w:cs="Times New Roman"/>
                <w:bCs/>
                <w:color w:val="000000"/>
                <w:spacing w:val="4"/>
                <w:lang w:eastAsia="hr-HR"/>
              </w:rPr>
            </w:pPr>
            <w:r w:rsidRPr="009B2E82">
              <w:rPr>
                <w:rFonts w:ascii="Times New Roman" w:hAnsi="Times New Roman" w:cs="Times New Roman"/>
                <w:bCs/>
                <w:color w:val="000000"/>
                <w:spacing w:val="4"/>
                <w:lang w:eastAsia="hr-HR"/>
              </w:rPr>
              <w:t xml:space="preserve">NN 131/2012; NN 108/10; NN 136/11; NN 155/09; NN br. 107/13 </w:t>
            </w:r>
          </w:p>
          <w:p w:rsidR="009B2E82" w:rsidRPr="009B2E82" w:rsidRDefault="009B2E82" w:rsidP="009B2E82">
            <w:pPr>
              <w:shd w:val="clear" w:color="auto" w:fill="FFFFFF"/>
              <w:spacing w:line="274" w:lineRule="exact"/>
              <w:rPr>
                <w:rFonts w:ascii="Times New Roman" w:hAnsi="Times New Roman" w:cs="Times New Roman"/>
                <w:bCs/>
                <w:color w:val="000000"/>
                <w:spacing w:val="4"/>
                <w:lang w:eastAsia="hr-HR"/>
              </w:rPr>
            </w:pP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lang w:eastAsia="hr-HR"/>
              </w:rPr>
              <w:t xml:space="preserve">Pravilnici  NN 131/2012; NN 108/10; NN 136/11; NN 155/09; </w:t>
            </w:r>
            <w:r w:rsidRPr="009B2E82">
              <w:rPr>
                <w:rFonts w:ascii="Times New Roman" w:hAnsi="Times New Roman" w:cs="Times New Roman"/>
                <w:color w:val="000000"/>
                <w:spacing w:val="-7"/>
                <w:lang w:eastAsia="hr-HR"/>
              </w:rPr>
              <w:t>NN Br. 107/13</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Studija o odabiru modela financiranja i poticajnih mjera za ulaganja u infrastrukturu širokopojasnog pristupa sadrži prijedloge glavnih mjera za potporu ulaganja u širokopojasnu infrastrukturu, uključujući mjere državne potpore za bijela i siva područja, pokrivajući i pristupnu mrežu i okosnicu mreže. Daje pregled potrebnih proračunskih sredstava za intervencije na području širokopojasne mreže (izvora iz EU-a, nacionalnih, regionalnih i drugih izvora prema potrebi). </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Zakon o elektroničkim komunikacijama (SL 71/14, članak 16. (5., 6., 7., 8.)) određuje uspostavu  „fonda za razvoj mrežne industrije“ do kraja  2014. Fond je osnovan kako bi pridonio ostvarivanju prioriteta definiranih u odgovarajućim strategijama i Vladinim programima s ciljem poticanja razvoja mreža i usluga elektroničkih komunikacija, posebno za ulaganja u  pristupne mreže velikih brzina. Financijska pomoć će se odobriti prema</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84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ind w:right="2021"/>
              <w:rPr>
                <w:rFonts w:ascii="Times New Roman" w:hAnsi="Times New Roman" w:cs="Times New Roman"/>
                <w:lang w:eastAsia="hr-HR"/>
              </w:rPr>
            </w:pPr>
            <w:r w:rsidRPr="009B2E82">
              <w:rPr>
                <w:rFonts w:ascii="Times New Roman" w:hAnsi="Times New Roman" w:cs="Times New Roman"/>
                <w:color w:val="000000"/>
                <w:spacing w:val="-3"/>
                <w:lang w:eastAsia="hr-HR"/>
              </w:rPr>
              <w:t xml:space="preserve">Pravilima državne </w:t>
            </w:r>
          </w:p>
        </w:tc>
      </w:tr>
      <w:tr w:rsidR="009B2E82" w:rsidRPr="009B2E82" w:rsidTr="009B2E82">
        <w:trPr>
          <w:trHeight w:hRule="exact" w:val="533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25"/>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T.03.1 – Provedene su specifične aktivnosti promicanja poduzetništva uzimajući u obzir Zakon o malom poduzetništvu (SBA).</w:t>
            </w:r>
          </w:p>
          <w:p w:rsidR="009B2E82" w:rsidRPr="009B2E82" w:rsidRDefault="009B2E82" w:rsidP="009B2E82">
            <w:pPr>
              <w:shd w:val="clear" w:color="auto" w:fill="FFFFFF"/>
              <w:spacing w:line="226" w:lineRule="exact"/>
              <w:ind w:right="125"/>
              <w:rPr>
                <w:rFonts w:ascii="Times New Roman" w:hAnsi="Times New Roman" w:cs="Times New Roman"/>
                <w:color w:val="000000"/>
                <w:spacing w:val="1"/>
                <w:lang w:eastAsia="hr-HR"/>
              </w:rPr>
            </w:pPr>
          </w:p>
          <w:p w:rsidR="009B2E82" w:rsidRPr="009B2E82" w:rsidRDefault="009B2E82" w:rsidP="009B2E82">
            <w:pPr>
              <w:shd w:val="clear" w:color="auto" w:fill="FFFFFF"/>
              <w:spacing w:line="226" w:lineRule="exact"/>
              <w:ind w:right="125"/>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1 – Specifične aktivnosti su: uspostavljene su mjere u cilju skraćivanja vremena i smanjenja troškova osnivanja poduzeća uzimajući u obzir ciljeve SBA-a; </w:t>
            </w:r>
          </w:p>
          <w:p w:rsidR="009B2E82" w:rsidRPr="009B2E82" w:rsidRDefault="009B2E82" w:rsidP="009B2E82">
            <w:pPr>
              <w:shd w:val="clear" w:color="auto" w:fill="FFFFFF"/>
              <w:spacing w:line="230" w:lineRule="exact"/>
              <w:ind w:right="67"/>
              <w:rPr>
                <w:rFonts w:ascii="Times New Roman" w:hAnsi="Times New Roman" w:cs="Times New Roman"/>
                <w:lang w:eastAsia="hr-HR"/>
              </w:rPr>
            </w:pPr>
            <w:r w:rsidRPr="009B2E82">
              <w:rPr>
                <w:rFonts w:ascii="Times New Roman" w:hAnsi="Times New Roman" w:cs="Times New Roman"/>
                <w:color w:val="000000"/>
                <w:spacing w:val="-1"/>
                <w:lang w:eastAsia="hr-HR"/>
              </w:rPr>
              <w:br/>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pacing w:val="3"/>
                <w:lang w:eastAsia="hr-HR"/>
              </w:rPr>
            </w:pPr>
            <w:r w:rsidRPr="009B2E82">
              <w:rPr>
                <w:rFonts w:ascii="Times New Roman" w:hAnsi="Times New Roman" w:cs="Times New Roman"/>
                <w:color w:val="000000"/>
                <w:spacing w:val="3"/>
                <w:lang w:eastAsia="hr-HR"/>
              </w:rPr>
              <w:t>- Zakon o trgovačkim društvima (NN 111/93, 34/99, 121/99 -</w:t>
            </w:r>
            <w:r w:rsidRPr="009B2E82">
              <w:rPr>
                <w:rFonts w:ascii="Times New Roman" w:eastAsia="Times New Roman" w:hAnsi="Times New Roman" w:cs="Times New Roman"/>
                <w:lang w:eastAsia="hr-HR"/>
              </w:rPr>
              <w:t xml:space="preserve"> </w:t>
            </w:r>
            <w:r w:rsidRPr="009B2E82">
              <w:rPr>
                <w:rFonts w:ascii="Times New Roman" w:hAnsi="Times New Roman" w:cs="Times New Roman"/>
                <w:color w:val="000000"/>
                <w:spacing w:val="3"/>
                <w:lang w:eastAsia="hr-HR"/>
              </w:rPr>
              <w:t xml:space="preserve">autoritativno tumačenje, 52/00 - Odluka Ustavnog suda Republike Hrvatske, 118/03, 107/07, 146/08, 137 / 09, 152/11 - pročišćeni tekst, 111/12 i 68/13) (http://narodne-novine.nn.hr/clanci/sluzbeni/201 l_12_152_3144.html; http://narodne-novine.nn.hr / članci / NN / 201 2_10_lll_2392.html; http://narodnenovine.nn.hr/clanc i / NN / 2013 06 68 1348.ht ml) </w:t>
            </w:r>
          </w:p>
          <w:p w:rsidR="009B2E82" w:rsidRPr="009B2E82" w:rsidRDefault="009B2E82" w:rsidP="009B2E82">
            <w:pPr>
              <w:shd w:val="clear" w:color="auto" w:fill="FFFFFF"/>
              <w:spacing w:line="274" w:lineRule="exact"/>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Zakonom o trgovačkim društvima i izmjenama i dopunama Zakona o trgovačkim društvima (vidi stupac 6) korištene su posebne mjere u cilju skraćivanja vremena osnivanja poduzeća</w:t>
            </w:r>
            <w:r w:rsidRPr="009B2E82">
              <w:rPr>
                <w:rFonts w:ascii="Times New Roman" w:hAnsi="Times New Roman" w:cs="Times New Roman"/>
                <w:b/>
                <w:i/>
                <w:lang w:eastAsia="hr-HR"/>
              </w:rPr>
              <w:t xml:space="preserve"> </w:t>
            </w:r>
            <w:r w:rsidRPr="009B2E82">
              <w:rPr>
                <w:rFonts w:ascii="Times New Roman" w:hAnsi="Times New Roman" w:cs="Times New Roman"/>
                <w:lang w:eastAsia="hr-HR"/>
              </w:rPr>
              <w:t>na do 3 radna dana (pod-kriterij A), i smanjenja troškova osnivanja poduzeća na do najviše 100 € (pod-kriterij B). Kriteriji (pod-kriterij A + B) uspješno su primijenjeni na sve vrste subjekata iz sektora malog poduzetništva i pokazana su praktična poboljšanja s obzirom na kriterijske zahtjeve</w:t>
            </w:r>
          </w:p>
        </w:tc>
      </w:tr>
      <w:tr w:rsidR="009B2E82" w:rsidRPr="009B2E82" w:rsidTr="009B2E82">
        <w:trPr>
          <w:trHeight w:hRule="exact" w:val="165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25"/>
              <w:rPr>
                <w:rFonts w:ascii="Times New Roman" w:hAnsi="Times New Roman" w:cs="Times New Roman"/>
                <w:lang w:eastAsia="hr-HR"/>
              </w:rPr>
            </w:pPr>
            <w:r w:rsidRPr="009B2E82">
              <w:rPr>
                <w:rFonts w:ascii="Times New Roman" w:hAnsi="Times New Roman" w:cs="Times New Roman"/>
                <w:color w:val="000000"/>
                <w:spacing w:val="1"/>
                <w:lang w:eastAsia="hr-HR"/>
              </w:rPr>
              <w:t>T.03.1 – Provedene su specifične aktivnosti promicanja poduzetništva uzimajući u obzir Zakon o malom poduzetništvu (SBA).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29"/>
              <w:rPr>
                <w:rFonts w:ascii="Times New Roman" w:hAnsi="Times New Roman" w:cs="Times New Roman"/>
                <w:lang w:eastAsia="hr-HR"/>
              </w:rPr>
            </w:pPr>
            <w:r w:rsidRPr="009B2E82">
              <w:rPr>
                <w:rFonts w:ascii="Times New Roman" w:hAnsi="Times New Roman" w:cs="Times New Roman"/>
                <w:color w:val="000000"/>
                <w:lang w:eastAsia="hr-HR"/>
              </w:rPr>
              <w:t>2 – Specifične su aktivnosti: uspostavljene su mjere u cilju skraćenja potrebnog vremena za dobivanje licenci i dozvola za pokretanje i obavljanje određene djelatnosti poduzeća uzimajući u obzir ciljeve SBA-a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 xml:space="preserve">Zakon o općem upravnom postupku  (NN br 47/09) – članak 101. i članak 102. (http://narodne-novine.nn.hr/clanci/sluzbeni/200 </w:t>
            </w:r>
          </w:p>
          <w:p w:rsidR="009B2E82" w:rsidRPr="009B2E82" w:rsidRDefault="009B2E82" w:rsidP="009B2E82">
            <w:pPr>
              <w:shd w:val="clear" w:color="auto" w:fill="FFFFFF"/>
              <w:spacing w:line="274" w:lineRule="exact"/>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color w:val="000000"/>
                <w:spacing w:val="1"/>
                <w:lang w:eastAsia="hr-HR"/>
              </w:rPr>
              <w:t>Zakon o općem upravnom postupku propisuje standardni rok u postupku izdavanja rješenja koji treba biti dovršen najkasnije u roku od 30 dana od dana podnošenja potpunog zahtjeva. Osim toga,</w:t>
            </w:r>
            <w:r w:rsidRPr="009B2E82">
              <w:rPr>
                <w:rFonts w:ascii="Times New Roman" w:hAnsi="Times New Roman" w:cs="Times New Roman"/>
                <w:color w:val="000000"/>
                <w:spacing w:val="7"/>
                <w:lang w:eastAsia="hr-HR"/>
              </w:rPr>
              <w:t xml:space="preserve"> propisan je princip: "šutnja je suglasnost", što</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515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both"/>
              <w:rPr>
                <w:rFonts w:ascii="Times New Roman" w:hAnsi="Times New Roman" w:cs="Times New Roman"/>
                <w:lang w:eastAsia="hr-HR"/>
              </w:rPr>
            </w:pPr>
            <w:r w:rsidRPr="009B2E82">
              <w:rPr>
                <w:rFonts w:ascii="Times New Roman" w:hAnsi="Times New Roman" w:cs="Times New Roman"/>
                <w:color w:val="000000"/>
                <w:spacing w:val="2"/>
                <w:lang w:eastAsia="hr-HR"/>
              </w:rPr>
              <w:t>9_04_47_1065.html)</w:t>
            </w:r>
          </w:p>
          <w:p w:rsidR="009B2E82" w:rsidRPr="009B2E82" w:rsidRDefault="009B2E82" w:rsidP="009B2E82">
            <w:pPr>
              <w:shd w:val="clear" w:color="auto" w:fill="FFFFFF"/>
              <w:spacing w:line="274" w:lineRule="exact"/>
              <w:jc w:val="both"/>
              <w:rPr>
                <w:rFonts w:ascii="Times New Roman" w:hAnsi="Times New Roman" w:cs="Times New Roman"/>
                <w:color w:val="000000"/>
                <w:spacing w:val="22"/>
                <w:lang w:eastAsia="hr-HR"/>
              </w:rPr>
            </w:pPr>
            <w:r w:rsidRPr="009B2E82">
              <w:rPr>
                <w:rFonts w:ascii="Times New Roman" w:hAnsi="Times New Roman" w:cs="Times New Roman"/>
                <w:color w:val="000000"/>
                <w:spacing w:val="22"/>
                <w:lang w:eastAsia="hr-HR"/>
              </w:rPr>
              <w:t xml:space="preserve">-Strategija razvoja MSP-ova u RH 2013. – 2020. 136/13) (http://narodne-novine.nn.hr/clanci/sluzbeni/201 3_ll_136_2926.html) </w:t>
            </w: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7"/>
                <w:lang w:eastAsia="hr-HR"/>
              </w:rPr>
            </w:pPr>
            <w:r w:rsidRPr="009B2E82">
              <w:rPr>
                <w:rFonts w:ascii="Times New Roman" w:hAnsi="Times New Roman" w:cs="Times New Roman"/>
                <w:color w:val="000000"/>
                <w:spacing w:val="7"/>
                <w:lang w:eastAsia="hr-HR"/>
              </w:rPr>
              <w:t>znači da kada javno tijelo u postupku uredne prijave ne donese odluku u roku od 30 dana, zahtjev koji je prijavitelj podnio, automatski se odobrava. Postoje pojedina područja za koje su potrebne licence i dozvole za čije je izdavanje potrebno više vremena. Primjer su zanati gdje postoje tri različite vrste obrta. Bit će potrebno mapirati i analizirati sva posebna područja i aktivnosti kako bi se odredili oni za koje su pojedine licence i dozvole potrebne i vrijeme potrebno za njihovo izdavanje.</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373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25"/>
              <w:rPr>
                <w:rFonts w:ascii="Times New Roman" w:hAnsi="Times New Roman" w:cs="Times New Roman"/>
                <w:lang w:eastAsia="hr-HR"/>
              </w:rPr>
            </w:pPr>
            <w:r w:rsidRPr="009B2E82">
              <w:rPr>
                <w:rFonts w:ascii="Times New Roman" w:hAnsi="Times New Roman" w:cs="Times New Roman"/>
                <w:color w:val="000000"/>
                <w:spacing w:val="1"/>
                <w:lang w:eastAsia="hr-HR"/>
              </w:rPr>
              <w:t>T.03.1 – Provedene su specifične aktivnosti promicanja poduzetništva uzimajući u obzir Zakon o malom poduzetništvu (SBA).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2"/>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3 – Specifične aktivnosti su: uspostavljen je mehanizam za praćenje provedbe AMP-a i procjene učinka zakonodavstva na MSP-ove</w:t>
            </w:r>
          </w:p>
          <w:p w:rsidR="009B2E82" w:rsidRPr="009B2E82" w:rsidRDefault="009B2E82" w:rsidP="009B2E82">
            <w:pPr>
              <w:shd w:val="clear" w:color="auto" w:fill="FFFFFF"/>
              <w:spacing w:line="230" w:lineRule="exact"/>
              <w:ind w:right="62"/>
              <w:rPr>
                <w:rFonts w:ascii="Times New Roman" w:hAnsi="Times New Roman" w:cs="Times New Roman"/>
                <w:lang w:eastAsia="hr-HR"/>
              </w:rPr>
            </w:pPr>
            <w:r w:rsidRPr="009B2E82">
              <w:rPr>
                <w:rFonts w:ascii="Times New Roman" w:hAnsi="Times New Roman" w:cs="Times New Roman"/>
                <w:color w:val="000000"/>
                <w:spacing w:val="-1"/>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13"/>
                <w:lang w:eastAsia="hr-HR"/>
              </w:rPr>
              <w:t>- Zakon o trgovačkim društvima (NN 111/93, 34/99, 121/99 - autoritativno tumačenje, 52/00 - Odluka Ustavnog suda Republike Hrvatske, 118/03, 107/07, 146/08, 137 / 09, 152/11 - pročišćeni` tekst, 111/12 i 68/13</w:t>
            </w:r>
            <w:r w:rsidRPr="009B2E82">
              <w:rPr>
                <w:rFonts w:ascii="Times New Roman" w:hAnsi="Times New Roman" w:cs="Times New Roman"/>
                <w:color w:val="000000"/>
                <w:spacing w:val="-2"/>
                <w:lang w:eastAsia="hr-HR"/>
              </w:rPr>
              <w:t xml:space="preserve">) </w:t>
            </w:r>
            <w:r w:rsidRPr="009B2E82">
              <w:rPr>
                <w:rFonts w:ascii="Times New Roman" w:hAnsi="Times New Roman" w:cs="Times New Roman"/>
                <w:color w:val="000000"/>
                <w:spacing w:val="-1"/>
                <w:lang w:eastAsia="hr-HR"/>
              </w:rPr>
              <w:t xml:space="preserve">(http://narodne-novine.nn.hr/clanci/sluzbeni/201 </w:t>
            </w:r>
            <w:r w:rsidRPr="009B2E82">
              <w:rPr>
                <w:rFonts w:ascii="Times New Roman" w:hAnsi="Times New Roman" w:cs="Times New Roman"/>
                <w:color w:val="000000"/>
                <w:spacing w:val="4"/>
                <w:lang w:eastAsia="hr-HR"/>
              </w:rPr>
              <w:t>1  12 152 3144.html;</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Provedba mjera iz 10 prioritetnih područja SBA-a je kontinuirana zadaća i rezultati su prikazani u državnim informativnim listovima  SBA-a. Prema informativnim listovima SBA-a 2013., Hrvatska je u rangu s prosjekom EU-a u područjima 'poduzetništva' i 'vještina i inovacija'. Glavni prioritet bi trebao biti poboljšanje poslovnog okruženja u pogledu upravnih i sudskih nedostataka. Posebice, Vlada bi trebala nastaviti programe pojednostavljenja regulatornih procesa.</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bookmarkStart w:id="0" w:name="_GoBack"/>
            <w:bookmarkEnd w:id="0"/>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273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1"/>
                <w:lang w:eastAsia="hr-HR"/>
              </w:rPr>
              <w:t>http://narodne-novine.</w:t>
            </w:r>
          </w:p>
          <w:p w:rsidR="009B2E82" w:rsidRPr="009B2E82" w:rsidRDefault="009B2E82" w:rsidP="009B2E82">
            <w:pPr>
              <w:shd w:val="clear" w:color="auto" w:fill="FFFFFF"/>
              <w:spacing w:line="278" w:lineRule="exact"/>
              <w:ind w:right="5"/>
              <w:rPr>
                <w:rFonts w:ascii="Times New Roman" w:hAnsi="Times New Roman" w:cs="Times New Roman"/>
                <w:lang w:eastAsia="hr-HR"/>
              </w:rPr>
            </w:pPr>
            <w:r w:rsidRPr="009B2E82">
              <w:rPr>
                <w:rFonts w:ascii="Times New Roman" w:hAnsi="Times New Roman" w:cs="Times New Roman"/>
                <w:color w:val="000000"/>
                <w:spacing w:val="-1"/>
                <w:lang w:eastAsia="hr-HR"/>
              </w:rPr>
              <w:t>nn.hr/clanci/sluzbeni/20</w:t>
            </w:r>
            <w:r w:rsidRPr="009B2E82">
              <w:rPr>
                <w:rFonts w:ascii="Times New Roman" w:hAnsi="Times New Roman" w:cs="Times New Roman"/>
                <w:color w:val="000000"/>
                <w:spacing w:val="45"/>
                <w:lang w:eastAsia="hr-HR"/>
              </w:rPr>
              <w:t xml:space="preserve">12101 </w:t>
            </w:r>
            <w:r w:rsidRPr="009B2E82">
              <w:rPr>
                <w:rFonts w:ascii="Times New Roman" w:hAnsi="Times New Roman" w:cs="Times New Roman"/>
                <w:color w:val="000000"/>
                <w:spacing w:val="1"/>
                <w:lang w:eastAsia="hr-HR"/>
              </w:rPr>
              <w:t>ll_2392.html;      http://narodne-</w:t>
            </w:r>
            <w:r w:rsidRPr="009B2E82">
              <w:rPr>
                <w:rFonts w:ascii="Times New Roman" w:hAnsi="Times New Roman" w:cs="Times New Roman"/>
                <w:color w:val="000000"/>
                <w:spacing w:val="-4"/>
                <w:lang w:eastAsia="hr-HR"/>
              </w:rPr>
              <w:t>novine.</w:t>
            </w:r>
          </w:p>
          <w:p w:rsidR="009B2E82" w:rsidRPr="009B2E82" w:rsidRDefault="009B2E82" w:rsidP="009B2E82">
            <w:pPr>
              <w:shd w:val="clear" w:color="auto" w:fill="FFFFFF"/>
              <w:spacing w:line="278" w:lineRule="exact"/>
              <w:ind w:right="5"/>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nn.hr/clanci/sluzbeni/2013 06 6 </w:t>
            </w:r>
            <w:r w:rsidRPr="009B2E82">
              <w:rPr>
                <w:rFonts w:ascii="Times New Roman" w:hAnsi="Times New Roman" w:cs="Times New Roman"/>
                <w:color w:val="000000"/>
                <w:spacing w:val="3"/>
                <w:lang w:eastAsia="hr-HR"/>
              </w:rPr>
              <w:t>8_1348.html)</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497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
              <w:rPr>
                <w:rFonts w:ascii="Times New Roman" w:hAnsi="Times New Roman" w:cs="Times New Roman"/>
                <w:lang w:eastAsia="hr-HR"/>
              </w:rPr>
            </w:pPr>
            <w:r w:rsidRPr="009B2E82">
              <w:rPr>
                <w:rFonts w:ascii="Times New Roman" w:hAnsi="Times New Roman" w:cs="Times New Roman"/>
                <w:color w:val="000000"/>
                <w:lang w:eastAsia="hr-HR"/>
              </w:rPr>
              <w:t xml:space="preserve">T.04.1 - </w:t>
            </w:r>
            <w:r w:rsidRPr="009B2E82">
              <w:rPr>
                <w:rFonts w:ascii="Times New Roman" w:hAnsi="Times New Roman" w:cs="Times New Roman"/>
                <w:lang w:eastAsia="hr-HR"/>
              </w:rPr>
              <w:t>Provedene su aktivnosti za promicanje učinkovite potrošnje</w:t>
            </w:r>
            <w:r w:rsidRPr="009B2E82">
              <w:rPr>
                <w:rFonts w:ascii="Times New Roman" w:eastAsia="Times New Roman" w:hAnsi="Times New Roman" w:cs="Times New Roman"/>
                <w:snapToGrid w:val="0"/>
                <w:lang w:eastAsia="en-GB"/>
              </w:rPr>
              <w:t xml:space="preserve"> </w:t>
            </w:r>
            <w:r w:rsidRPr="009B2E82">
              <w:rPr>
                <w:rFonts w:ascii="Times New Roman" w:hAnsi="Times New Roman" w:cs="Times New Roman"/>
                <w:lang w:eastAsia="hr-HR"/>
              </w:rPr>
              <w:t>energije te učinkovitih ulaganja u energetsku učinkovitost kod izgradnje ili obnove zgrada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9"/>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1 – Mjere kojima će se osigurati primjena minimalnih zahtjeva povezanih s potrebnom energetskom učinkovitošću zgrada u skladu s člankom 3., člankom 4. i člankom 5. Direktive 2010/31/EU Europskog parlamenta i Vijeća;</w:t>
            </w:r>
          </w:p>
          <w:p w:rsidR="009B2E82" w:rsidRPr="009B2E82" w:rsidRDefault="009B2E82" w:rsidP="009B2E82">
            <w:pPr>
              <w:shd w:val="clear" w:color="auto" w:fill="FFFFFF"/>
              <w:spacing w:line="226" w:lineRule="exact"/>
              <w:ind w:right="19"/>
              <w:rPr>
                <w:rFonts w:ascii="Times New Roman" w:hAnsi="Times New Roman" w:cs="Times New Roman"/>
                <w:color w:val="000000"/>
                <w:spacing w:val="-1"/>
                <w:lang w:eastAsia="hr-HR"/>
              </w:rPr>
            </w:pPr>
          </w:p>
          <w:p w:rsidR="009B2E82" w:rsidRPr="009B2E82" w:rsidRDefault="009B2E82" w:rsidP="009B2E82">
            <w:pPr>
              <w:shd w:val="clear" w:color="auto" w:fill="FFFFFF"/>
              <w:spacing w:line="226" w:lineRule="exact"/>
              <w:ind w:right="19"/>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rPr>
                <w:rFonts w:ascii="Times New Roman" w:hAnsi="Times New Roman" w:cs="Times New Roman"/>
                <w:color w:val="000000"/>
                <w:spacing w:val="8"/>
                <w:lang w:eastAsia="hr-HR"/>
              </w:rPr>
            </w:pPr>
            <w:r w:rsidRPr="009B2E82">
              <w:rPr>
                <w:rFonts w:ascii="Times New Roman" w:hAnsi="Times New Roman" w:cs="Times New Roman"/>
                <w:iCs/>
                <w:color w:val="000000"/>
                <w:spacing w:val="8"/>
                <w:lang w:eastAsia="hr-HR"/>
              </w:rPr>
              <w:t>Pravilnik o energetskim pregledima građevina</w:t>
            </w:r>
            <w:r w:rsidRPr="009B2E82">
              <w:rPr>
                <w:rFonts w:ascii="Times New Roman" w:hAnsi="Times New Roman" w:cs="Times New Roman"/>
                <w:color w:val="000000"/>
                <w:spacing w:val="8"/>
                <w:lang w:eastAsia="hr-HR"/>
              </w:rPr>
              <w:t xml:space="preserve"> i energetskom certificiranju zgrada (NN 81/12,29 /13,78 /13) </w:t>
            </w:r>
            <w:r w:rsidRPr="009B2E82">
              <w:rPr>
                <w:rFonts w:ascii="Times New Roman" w:hAnsi="Times New Roman" w:cs="Times New Roman"/>
                <w:color w:val="000000"/>
                <w:spacing w:val="8"/>
                <w:lang w:eastAsia="hr-HR"/>
              </w:rPr>
              <w:br/>
              <w:t xml:space="preserve">http://narodne-novine.nn.hr/clanci/sluzbeni/201 2_07_81_1906.html: http://narodne-novine.nn.hr/clanci/sluzbeni/201 3_03_29_518.html; </w:t>
            </w:r>
            <w:hyperlink r:id="rId22" w:history="1">
              <w:r w:rsidRPr="009B2E82">
                <w:rPr>
                  <w:rFonts w:ascii="Times New Roman" w:hAnsi="Times New Roman" w:cs="Times New Roman"/>
                  <w:color w:val="000000"/>
                  <w:spacing w:val="8"/>
                  <w:lang w:eastAsia="hr-HR"/>
                </w:rPr>
                <w:t>http://narodne-novine.nn.hr/clanci/sluzbeni/201 3_06_78_1616.html</w:t>
              </w:r>
            </w:hyperlink>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i/>
                <w:iCs/>
                <w:color w:val="000000"/>
                <w:spacing w:val="6"/>
                <w:lang w:eastAsia="hr-HR"/>
              </w:rPr>
              <w:t xml:space="preserve">Zakon o gradnji (Narodne novine, </w:t>
            </w:r>
            <w:r w:rsidRPr="009B2E82">
              <w:rPr>
                <w:rFonts w:ascii="Times New Roman" w:hAnsi="Times New Roman" w:cs="Times New Roman"/>
                <w:i/>
                <w:iCs/>
                <w:color w:val="000000"/>
                <w:spacing w:val="-2"/>
                <w:lang w:eastAsia="hr-HR"/>
              </w:rPr>
              <w:t xml:space="preserve">153/13)  </w:t>
            </w:r>
            <w:r w:rsidRPr="009B2E82">
              <w:rPr>
                <w:rFonts w:ascii="Times New Roman" w:hAnsi="Times New Roman" w:cs="Times New Roman"/>
                <w:color w:val="000000"/>
                <w:spacing w:val="-2"/>
                <w:lang w:eastAsia="hr-HR"/>
              </w:rPr>
              <w:t>http://narodne-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3"/>
                <w:lang w:eastAsia="hr-HR"/>
              </w:rPr>
            </w:pPr>
            <w:r w:rsidRPr="009B2E82">
              <w:rPr>
                <w:rFonts w:ascii="Times New Roman" w:hAnsi="Times New Roman" w:cs="Times New Roman"/>
                <w:iCs/>
                <w:color w:val="000000"/>
                <w:spacing w:val="3"/>
                <w:lang w:eastAsia="hr-HR"/>
              </w:rPr>
              <w:t>Pravilnik o energetskim pregledima</w:t>
            </w:r>
            <w:r w:rsidRPr="009B2E82">
              <w:rPr>
                <w:rFonts w:ascii="Times New Roman" w:hAnsi="Times New Roman" w:cs="Times New Roman"/>
                <w:i/>
                <w:iCs/>
                <w:color w:val="000000"/>
                <w:spacing w:val="3"/>
                <w:lang w:eastAsia="hr-HR"/>
              </w:rPr>
              <w:t xml:space="preserve"> </w:t>
            </w:r>
            <w:r w:rsidRPr="009B2E82">
              <w:rPr>
                <w:rFonts w:ascii="Times New Roman" w:hAnsi="Times New Roman" w:cs="Times New Roman"/>
                <w:iCs/>
                <w:color w:val="000000"/>
                <w:spacing w:val="3"/>
                <w:lang w:eastAsia="hr-HR"/>
              </w:rPr>
              <w:t>građevina</w:t>
            </w:r>
            <w:r w:rsidRPr="009B2E82">
              <w:rPr>
                <w:rFonts w:ascii="Times New Roman" w:hAnsi="Times New Roman" w:cs="Times New Roman"/>
                <w:color w:val="000000"/>
                <w:spacing w:val="3"/>
                <w:lang w:eastAsia="hr-HR"/>
              </w:rPr>
              <w:t xml:space="preserve"> i energetskom certificiranju zgrada propisuje da potrebni izračuni budu u skladu s metodologijom za izračun energetske učinkovitosti zgrada. Metodologija je definirana kao skup postupaka za provođenje energetskih revizija zgrade, i može sadržavati i Algoritam za izračun energetskih svojstava zgrada. Definicija energetske učinkovitosti zgrade prenesena je u članku 3. (1) Zakona o gradnji. Pokazatelj energetske učinkovitosti i numerički pokazatelj primarne potrošnje energije izračunavaju se za obiteljske kuće, dok će za druge vrste zgrada biti propisana u novom tehničkom propisu do 3. kvartala 2014. Troškovno optimalna razina minimalne energetske učinkovitosti </w:t>
            </w:r>
          </w:p>
          <w:p w:rsidR="009B2E82" w:rsidRPr="009B2E82" w:rsidRDefault="009B2E82" w:rsidP="009B2E82">
            <w:pPr>
              <w:shd w:val="clear" w:color="auto" w:fill="FFFFFF"/>
              <w:spacing w:line="226" w:lineRule="exact"/>
              <w:jc w:val="center"/>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217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lang w:eastAsia="hr-HR"/>
              </w:rPr>
              <w:t xml:space="preserve">novine.nn.hr/clanci/sluzbeni/201 </w:t>
            </w:r>
            <w:r w:rsidRPr="009B2E82">
              <w:rPr>
                <w:rFonts w:ascii="Times New Roman" w:hAnsi="Times New Roman" w:cs="Times New Roman"/>
                <w:color w:val="000000"/>
                <w:spacing w:val="-1"/>
                <w:lang w:eastAsia="hr-HR"/>
              </w:rPr>
              <w:t>3_12_153_3221.html</w:t>
            </w:r>
          </w:p>
          <w:p w:rsidR="009B2E82" w:rsidRPr="009B2E82" w:rsidRDefault="009B2E82" w:rsidP="009B2E82">
            <w:pPr>
              <w:shd w:val="clear" w:color="auto" w:fill="FFFFFF"/>
              <w:spacing w:line="226" w:lineRule="exact"/>
              <w:ind w:right="10"/>
              <w:jc w:val="both"/>
              <w:rPr>
                <w:rFonts w:ascii="Times New Roman" w:hAnsi="Times New Roman" w:cs="Times New Roman"/>
                <w:color w:val="000000"/>
                <w:lang w:eastAsia="hr-HR"/>
              </w:rPr>
            </w:pPr>
            <w:r w:rsidRPr="009B2E82">
              <w:rPr>
                <w:rFonts w:ascii="Times New Roman" w:hAnsi="Times New Roman" w:cs="Times New Roman"/>
                <w:color w:val="000000"/>
                <w:lang w:eastAsia="hr-HR"/>
              </w:rPr>
              <w:t>Dodatne reference dostupne su u dijelu Dokumenti.</w:t>
            </w:r>
          </w:p>
          <w:p w:rsidR="009B2E82" w:rsidRPr="009B2E82" w:rsidRDefault="009B2E82" w:rsidP="009B2E82">
            <w:pPr>
              <w:shd w:val="clear" w:color="auto" w:fill="FFFFFF"/>
              <w:spacing w:line="274" w:lineRule="exact"/>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lang w:eastAsia="hr-HR"/>
              </w:rPr>
            </w:pPr>
            <w:r w:rsidRPr="009B2E82">
              <w:rPr>
                <w:rFonts w:ascii="Times New Roman" w:hAnsi="Times New Roman" w:cs="Times New Roman"/>
                <w:color w:val="000000"/>
                <w:lang w:eastAsia="hr-HR"/>
              </w:rPr>
              <w:t>izračunata je za obiteljske kuće, a kategorija drugih objekata bit će pokrivena do kraja 2014. Dodatne informacije i objašnjenje dostupni su u dijelu Dokumenti.</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552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hAnsi="Times New Roman" w:cs="Times New Roman"/>
                <w:lang w:eastAsia="hr-HR"/>
              </w:rPr>
            </w:pPr>
            <w:r w:rsidRPr="009B2E82">
              <w:rPr>
                <w:rFonts w:ascii="Times New Roman" w:hAnsi="Times New Roman" w:cs="Times New Roman"/>
                <w:color w:val="000000"/>
                <w:lang w:eastAsia="hr-HR"/>
              </w:rPr>
              <w:t xml:space="preserve">T.04.1 - </w:t>
            </w:r>
            <w:r w:rsidRPr="009B2E82">
              <w:rPr>
                <w:rFonts w:ascii="Times New Roman" w:hAnsi="Times New Roman" w:cs="Times New Roman"/>
                <w:lang w:eastAsia="hr-HR"/>
              </w:rPr>
              <w:t>Provedene su aktivnosti promicanja isplativih poboljšanja za učinkovitost krajnje potrošnje energije i isplativih ulaganja u energetsku učinkovitost prilikom izgradnje ili obnove zgrada</w:t>
            </w:r>
          </w:p>
          <w:p w:rsidR="009B2E82" w:rsidRPr="009B2E82" w:rsidRDefault="009B2E82" w:rsidP="009B2E82">
            <w:pPr>
              <w:shd w:val="clear" w:color="auto" w:fill="FFFFFF"/>
              <w:spacing w:line="226" w:lineRule="exact"/>
              <w:ind w:right="5"/>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86"/>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2 – Radnje su:</w:t>
            </w:r>
            <w:r w:rsidRPr="009B2E82">
              <w:rPr>
                <w:rFonts w:ascii="Times New Roman" w:eastAsia="Times New Roman" w:hAnsi="Times New Roman" w:cs="Times New Roman"/>
                <w:snapToGrid w:val="0"/>
                <w:lang w:eastAsia="en-GB"/>
              </w:rPr>
              <w:t xml:space="preserve"> </w:t>
            </w:r>
            <w:r w:rsidRPr="009B2E82">
              <w:rPr>
                <w:rFonts w:ascii="Times New Roman" w:hAnsi="Times New Roman" w:cs="Times New Roman"/>
                <w:color w:val="000000"/>
                <w:spacing w:val="-1"/>
                <w:lang w:eastAsia="hr-HR"/>
              </w:rPr>
              <w:t xml:space="preserve">Mjere nužne za uspostavu sustava ovjere energetske učinkovitosti zgrada u skladu s člankom 11. Direktive 2010/31/EU; </w:t>
            </w:r>
          </w:p>
          <w:p w:rsidR="009B2E82" w:rsidRPr="009B2E82" w:rsidRDefault="009B2E82" w:rsidP="009B2E82">
            <w:pPr>
              <w:shd w:val="clear" w:color="auto" w:fill="FFFFFF"/>
              <w:spacing w:line="230" w:lineRule="exact"/>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rPr>
                <w:rFonts w:ascii="Times New Roman" w:hAnsi="Times New Roman" w:cs="Times New Roman"/>
                <w:lang w:eastAsia="hr-HR"/>
              </w:rPr>
            </w:pPr>
          </w:p>
          <w:p w:rsidR="009B2E82" w:rsidRPr="009B2E82" w:rsidRDefault="009B2E82" w:rsidP="009B2E82">
            <w:pPr>
              <w:shd w:val="clear" w:color="auto" w:fill="FFFFFF"/>
              <w:spacing w:line="230" w:lineRule="exact"/>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i/>
                <w:iCs/>
                <w:color w:val="000000"/>
                <w:spacing w:val="6"/>
                <w:lang w:eastAsia="hr-HR"/>
              </w:rPr>
              <w:t xml:space="preserve">Zakon o gradnji (Narodne novine, </w:t>
            </w:r>
            <w:r w:rsidRPr="009B2E82">
              <w:rPr>
                <w:rFonts w:ascii="Times New Roman" w:hAnsi="Times New Roman" w:cs="Times New Roman"/>
                <w:i/>
                <w:iCs/>
                <w:color w:val="000000"/>
                <w:spacing w:val="-2"/>
                <w:lang w:eastAsia="hr-HR"/>
              </w:rPr>
              <w:t xml:space="preserve">153/13)  </w:t>
            </w:r>
            <w:r w:rsidRPr="009B2E82">
              <w:rPr>
                <w:rFonts w:ascii="Times New Roman" w:hAnsi="Times New Roman" w:cs="Times New Roman"/>
                <w:color w:val="000000"/>
                <w:spacing w:val="-2"/>
                <w:lang w:eastAsia="hr-HR"/>
              </w:rPr>
              <w:t>http://narodne-novine.nn.hr/clanci/sluzbeni/2013_12_153_3221.html</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8"/>
                <w:lang w:eastAsia="hr-HR"/>
              </w:rPr>
              <w:t xml:space="preserve">Pravilnik o energetskom pregledu zgrade i energetskom certificiranju </w:t>
            </w:r>
            <w:r w:rsidRPr="009B2E82">
              <w:rPr>
                <w:rFonts w:ascii="Times New Roman" w:hAnsi="Times New Roman" w:cs="Times New Roman"/>
                <w:color w:val="000000"/>
                <w:spacing w:val="2"/>
                <w:lang w:eastAsia="hr-HR"/>
              </w:rPr>
              <w:t xml:space="preserve">(NN </w:t>
            </w:r>
            <w:r w:rsidRPr="009B2E82">
              <w:rPr>
                <w:rFonts w:ascii="Times New Roman" w:hAnsi="Times New Roman" w:cs="Times New Roman"/>
                <w:color w:val="000000"/>
                <w:spacing w:val="5"/>
                <w:lang w:eastAsia="hr-HR"/>
              </w:rPr>
              <w:t>81/12,29/13,78/13)</w:t>
            </w:r>
          </w:p>
          <w:p w:rsidR="009B2E82" w:rsidRPr="009B2E82" w:rsidRDefault="009B2E82" w:rsidP="009B2E82">
            <w:pPr>
              <w:shd w:val="clear" w:color="auto" w:fill="FFFFFF"/>
              <w:spacing w:line="274" w:lineRule="exact"/>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http://narodne-novine.nn.hr/clanci/sluzbeni/2012_07_81_1906.html</w:t>
            </w:r>
          </w:p>
          <w:p w:rsidR="009B2E82" w:rsidRPr="009B2E82" w:rsidRDefault="009B2E82" w:rsidP="009B2E82">
            <w:pPr>
              <w:shd w:val="clear" w:color="auto" w:fill="FFFFFF"/>
              <w:spacing w:line="274" w:lineRule="exact"/>
              <w:rPr>
                <w:rFonts w:ascii="Times New Roman" w:hAnsi="Times New Roman" w:cs="Times New Roman"/>
                <w:color w:val="000000"/>
                <w:spacing w:val="-1"/>
                <w:lang w:eastAsia="hr-HR"/>
              </w:rPr>
            </w:pPr>
            <w:r w:rsidRPr="009B2E82">
              <w:rPr>
                <w:rFonts w:ascii="Times New Roman" w:hAnsi="Times New Roman" w:cs="Times New Roman"/>
                <w:color w:val="000000"/>
                <w:spacing w:val="-2"/>
                <w:lang w:eastAsia="hr-HR"/>
              </w:rPr>
              <w:t xml:space="preserve"> </w:t>
            </w:r>
            <w:r w:rsidRPr="009B2E82">
              <w:rPr>
                <w:rFonts w:ascii="Times New Roman" w:hAnsi="Times New Roman" w:cs="Times New Roman"/>
                <w:color w:val="000000"/>
                <w:spacing w:val="-1"/>
                <w:lang w:eastAsia="hr-HR"/>
              </w:rPr>
              <w:t>http://narodne-novine.nn.hr/clanci/sluzbeni/2013_03_29_518.html;</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lang w:eastAsia="hr-HR"/>
              </w:rPr>
              <w:t xml:space="preserve"> </w:t>
            </w:r>
            <w:r w:rsidRPr="009B2E82">
              <w:rPr>
                <w:rFonts w:ascii="Times New Roman" w:hAnsi="Times New Roman" w:cs="Times New Roman"/>
                <w:color w:val="000000"/>
                <w:spacing w:val="-1"/>
                <w:lang w:eastAsia="hr-HR"/>
              </w:rPr>
              <w:t>http://narodne-novine.nn.hr/clanci/sluzbeni/2013_06_78_1616.html</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Članak 22. Zakona o gradnji sadrži propise o certifikatima energetske učinkovitosti. Zakon i „</w:t>
            </w:r>
            <w:r w:rsidRPr="009B2E82">
              <w:rPr>
                <w:rFonts w:ascii="Times New Roman" w:hAnsi="Times New Roman" w:cs="Times New Roman"/>
                <w:iCs/>
                <w:lang w:eastAsia="hr-HR"/>
              </w:rPr>
              <w:t>Pravilnik o energetskim pregledima građevina</w:t>
            </w:r>
            <w:r w:rsidRPr="009B2E82">
              <w:rPr>
                <w:rFonts w:ascii="Times New Roman" w:hAnsi="Times New Roman" w:cs="Times New Roman"/>
                <w:lang w:eastAsia="hr-HR"/>
              </w:rPr>
              <w:t xml:space="preserve"> i energetskom certificiranju zgrada" sadrže uvjete za certifikate energetske učinkovitosti prema kojima oni moraju sadržavati najmanje sljedeće podatke: energetska svojstva zgrade, referentne vrijednosti, te preporuke za isplativo poboljšanje energetske učinkovitosti. Obveza da certifikati (zgrada) sadrže i naznaku mjesta gdje vlasnik ili zakupac može dobiti detaljnije informacije o energetskoj učinkovitosti referentnih vrijednosti zgrade bit će propisana revizijom </w:t>
            </w:r>
            <w:r w:rsidRPr="009B2E82">
              <w:rPr>
                <w:rFonts w:ascii="Times New Roman" w:hAnsi="Times New Roman" w:cs="Times New Roman"/>
                <w:iCs/>
                <w:lang w:eastAsia="hr-HR"/>
              </w:rPr>
              <w:t>Pravilnika o energetskim pregledima građevina</w:t>
            </w:r>
            <w:r w:rsidRPr="009B2E82">
              <w:rPr>
                <w:rFonts w:ascii="Times New Roman" w:hAnsi="Times New Roman" w:cs="Times New Roman"/>
                <w:lang w:eastAsia="hr-HR"/>
              </w:rPr>
              <w:t xml:space="preserve"> i energetskom certificiranju zgrada. Naime, taj revidirani Pravilnik, će do roka krajem 2014. propisati novu verziju energetskih certifikata zgrada (tj</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191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sadržaj i izgled certifikata) i sadržavat će informacije o referentnim vrijednostima. Dodatne informacije nalaze se u zasebnim datotekama u odjeljku Dokumenti</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278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
              <w:rPr>
                <w:rFonts w:ascii="Times New Roman" w:hAnsi="Times New Roman" w:cs="Times New Roman"/>
                <w:lang w:eastAsia="hr-HR"/>
              </w:rPr>
            </w:pPr>
            <w:r w:rsidRPr="009B2E82">
              <w:rPr>
                <w:rFonts w:ascii="Times New Roman" w:hAnsi="Times New Roman" w:cs="Times New Roman"/>
                <w:color w:val="000000"/>
                <w:lang w:eastAsia="hr-HR"/>
              </w:rPr>
              <w:t xml:space="preserve">T.04.1 - - </w:t>
            </w:r>
            <w:r w:rsidRPr="009B2E82">
              <w:rPr>
                <w:rFonts w:ascii="Times New Roman" w:hAnsi="Times New Roman" w:cs="Times New Roman"/>
                <w:lang w:eastAsia="hr-HR"/>
              </w:rPr>
              <w:t>Provedene su aktivnosti promicanja isplativih poboljšanja za učinkovitost krajnje potrošnje energije i isplativih ulaganja u energetsku učinkovitost prilikom izgradnje ili obnove zgrada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9"/>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3 – Radnje su: mjere potrebne za strateško planiranje energetske učinkovitosti  u skladu s člankom 3. Direktive 2010/31/EU Europskog parlamenta i Vijeća</w:t>
            </w:r>
          </w:p>
          <w:p w:rsidR="009B2E82" w:rsidRPr="009B2E82" w:rsidRDefault="009B2E82" w:rsidP="009B2E82">
            <w:pPr>
              <w:shd w:val="clear" w:color="auto" w:fill="FFFFFF"/>
              <w:spacing w:line="230" w:lineRule="exact"/>
              <w:ind w:right="19"/>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 </w:t>
            </w:r>
          </w:p>
          <w:p w:rsidR="009B2E82" w:rsidRPr="009B2E82" w:rsidRDefault="009B2E82" w:rsidP="009B2E82">
            <w:pPr>
              <w:shd w:val="clear" w:color="auto" w:fill="FFFFFF"/>
              <w:spacing w:line="230" w:lineRule="exact"/>
              <w:ind w:right="19"/>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pacing w:val="3"/>
                <w:lang w:eastAsia="hr-HR"/>
              </w:rPr>
            </w:pPr>
            <w:r w:rsidRPr="009B2E82">
              <w:rPr>
                <w:rFonts w:ascii="Times New Roman" w:hAnsi="Times New Roman" w:cs="Times New Roman"/>
                <w:color w:val="000000"/>
                <w:spacing w:val="3"/>
                <w:lang w:eastAsia="hr-HR"/>
              </w:rPr>
              <w:t xml:space="preserve">Godišnje izvješće RH o nacionalnom indikativnom cilju energetske učinkovitosti za 2020. </w:t>
            </w:r>
            <w:r w:rsidRPr="009B2E82">
              <w:rPr>
                <w:rFonts w:ascii="Times New Roman" w:hAnsi="Times New Roman" w:cs="Times New Roman"/>
                <w:color w:val="000000"/>
                <w:spacing w:val="3"/>
                <w:lang w:eastAsia="hr-HR"/>
              </w:rPr>
              <w:br/>
            </w:r>
            <w:r w:rsidRPr="009B2E82">
              <w:rPr>
                <w:rFonts w:ascii="Times New Roman" w:eastAsia="Times New Roman" w:hAnsi="Times New Roman" w:cs="Times New Roman"/>
                <w:color w:val="000000"/>
                <w:spacing w:val="-2"/>
                <w:lang w:eastAsia="hr-HR"/>
              </w:rPr>
              <w:t>(http://ec.europa.eu/energy/efficiency/eed/doc/reporting/2013/hr_report2013_hr.pdf</w:t>
            </w:r>
          </w:p>
          <w:p w:rsidR="009B2E82" w:rsidRPr="009B2E82" w:rsidRDefault="009B2E82" w:rsidP="009B2E82">
            <w:pPr>
              <w:shd w:val="clear" w:color="auto" w:fill="FFFFFF"/>
              <w:spacing w:line="274" w:lineRule="exact"/>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 xml:space="preserve">Podaci o nacionalnom indikativnom cilju energetske učinkovitosti uzeti su iz Godišnjeg izvješća o nacionalnom indikativnom cilju energetske učinkovitosti za 2020. iz 2013. i dostavljeni su EK-u. </w:t>
            </w:r>
            <w:r w:rsidRPr="009B2E82">
              <w:rPr>
                <w:rFonts w:ascii="Times New Roman" w:hAnsi="Times New Roman" w:cs="Times New Roman"/>
                <w:lang w:eastAsia="hr-HR"/>
              </w:rPr>
              <w:br/>
              <w:t xml:space="preserve">Vidi stranicu 23. izvješća, dvije tablice „Krajnja potrošnja energije u 2020." i „Potrošnja primarne energije u 2020." </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color w:val="000000"/>
                <w:spacing w:val="-1"/>
                <w:lang w:eastAsia="hr-HR"/>
              </w:rPr>
              <w:t>2020"</w:t>
            </w:r>
          </w:p>
        </w:tc>
      </w:tr>
      <w:tr w:rsidR="009B2E82" w:rsidRPr="009B2E82" w:rsidTr="009B2E82">
        <w:trPr>
          <w:trHeight w:hRule="exact" w:val="327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
              <w:rPr>
                <w:rFonts w:ascii="Times New Roman" w:hAnsi="Times New Roman" w:cs="Times New Roman"/>
                <w:lang w:eastAsia="hr-HR"/>
              </w:rPr>
            </w:pPr>
            <w:r w:rsidRPr="009B2E82">
              <w:rPr>
                <w:rFonts w:ascii="Times New Roman" w:hAnsi="Times New Roman" w:cs="Times New Roman"/>
                <w:color w:val="000000"/>
                <w:lang w:eastAsia="hr-HR"/>
              </w:rPr>
              <w:t xml:space="preserve">T.04.1 - </w:t>
            </w:r>
            <w:r w:rsidRPr="009B2E82">
              <w:rPr>
                <w:rFonts w:ascii="Times New Roman" w:hAnsi="Times New Roman" w:cs="Times New Roman"/>
                <w:lang w:eastAsia="hr-HR"/>
              </w:rPr>
              <w:t>Provedene su aktivnosti promicanja isplativih poboljšanja za učinkovitost krajnje potrošnje energije i isplativih ulaganja u energetsku učinkovitost prilikom izgradnje ili obnove zgrada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4 – Aktivnosti su: mjere u skladu s člankom 13. Direktive 2006/32/EZ o energetskoj učinkovitosti i energetskim uslugama kako bi se osiguralo da krajnji korisnici dobiju pojedinačna brojila u mjeri u kojoj je to tehnički izvedivo, financijski razumno i razmjerno u odnosu na potencijalnu uštedu energije. </w:t>
            </w:r>
          </w:p>
          <w:p w:rsidR="009B2E82" w:rsidRPr="009B2E82" w:rsidRDefault="009B2E82" w:rsidP="009B2E82">
            <w:pPr>
              <w:shd w:val="clear" w:color="auto" w:fill="FFFFFF"/>
              <w:spacing w:line="226" w:lineRule="exact"/>
              <w:ind w:right="5"/>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b/>
                <w:i/>
                <w:iCs/>
                <w:color w:val="000000"/>
                <w:spacing w:val="7"/>
                <w:lang w:eastAsia="hr-HR"/>
              </w:rPr>
              <w:t>Zakon o učinkovitom korištenju energije u neposrednoj potrošnji</w:t>
            </w:r>
            <w:r w:rsidRPr="009B2E82">
              <w:rPr>
                <w:rFonts w:ascii="Times New Roman" w:hAnsi="Times New Roman" w:cs="Times New Roman"/>
                <w:i/>
                <w:iCs/>
                <w:color w:val="000000"/>
                <w:spacing w:val="7"/>
                <w:lang w:eastAsia="hr-HR"/>
              </w:rPr>
              <w:t xml:space="preserve"> </w:t>
            </w:r>
            <w:r w:rsidRPr="009B2E82">
              <w:rPr>
                <w:rFonts w:ascii="Times New Roman" w:hAnsi="Times New Roman" w:cs="Times New Roman"/>
                <w:color w:val="000000"/>
                <w:spacing w:val="3"/>
                <w:lang w:eastAsia="hr-HR"/>
              </w:rPr>
              <w:t xml:space="preserve">(NN 152/08, 55/12, </w:t>
            </w:r>
            <w:r w:rsidRPr="009B2E82">
              <w:rPr>
                <w:rFonts w:ascii="Times New Roman" w:hAnsi="Times New Roman" w:cs="Times New Roman"/>
                <w:color w:val="000000"/>
                <w:spacing w:val="-3"/>
                <w:lang w:eastAsia="hr-HR"/>
              </w:rPr>
              <w:t>101/13, 14/14)</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http://narodne-novine.nn.hr/clanci/sluzbeni/2008_12_152_4159.html</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http://narodne-novine.nn.hr/clanci/sluzbeni/2012_05_55_1358.html</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Regulatorni okvir za osiguranje preciznih pojedinačnih mjerila i pojedinačne naplate na temelju stvarne potrošnje, postavljen je prije svega Zakonom o učinkovitom korištenju energije koji člankom 28. određuje pravila za mjerila i informiranje o naplati. Dodatne odredbe nalaze se u posebnom propisu vezanom za energetske izvore (struja, grijanje / hlađenje). Odredbe za pametne mreže postavljene su u Članku 38. Zakona o energiji. Obvezni sadržaj</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b/>
                <w:bCs/>
                <w:color w:val="000000"/>
                <w:spacing w:val="-1"/>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550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http://narodne-novine.nn.hr/clanci/sluzbeni/2013_08_101_2275.html</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http://narodne-novine.nn.hr/clanci/sluzbeni/2014_02_14_298.html</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lang w:eastAsia="hr-HR"/>
              </w:rPr>
              <w:t xml:space="preserve">Zakon o energiji (NN 120/12) </w:t>
            </w:r>
            <w:r w:rsidRPr="009B2E82">
              <w:rPr>
                <w:rFonts w:ascii="Times New Roman" w:hAnsi="Times New Roman" w:cs="Times New Roman"/>
                <w:color w:val="000000"/>
                <w:spacing w:val="-1"/>
                <w:lang w:eastAsia="hr-HR"/>
              </w:rPr>
              <w:t>http://narodne-novine.nn.hr/clanci/sluzbeni/2014_02_14_298.html</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lang w:eastAsia="hr-HR"/>
              </w:rPr>
              <w:t>Dodatne reference  nalaze se u dostupni su u dijelu Dokumenti</w:t>
            </w:r>
            <w:r w:rsidRPr="009B2E82">
              <w:rPr>
                <w:rFonts w:ascii="Times New Roman" w:hAnsi="Times New Roman" w:cs="Times New Roman"/>
                <w:color w:val="000000"/>
                <w:spacing w:val="-1"/>
                <w:lang w:eastAsia="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color w:val="000000"/>
                <w:spacing w:val="1"/>
                <w:lang w:eastAsia="hr-HR"/>
              </w:rPr>
              <w:t>računa za korištenje energije koji sadrži sve relevantne podatke propisan je posebnim propisom vezanom za energetske izvore. Dodatne informacije i objašnjenje dostupni su u dijelu Dokumenti.</w:t>
            </w:r>
          </w:p>
        </w:tc>
      </w:tr>
      <w:tr w:rsidR="009B2E82" w:rsidRPr="009B2E82" w:rsidTr="009B2E82">
        <w:trPr>
          <w:trHeight w:hRule="exact" w:val="233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
              <w:rPr>
                <w:rFonts w:ascii="Times New Roman" w:hAnsi="Times New Roman" w:cs="Times New Roman"/>
                <w:lang w:eastAsia="hr-HR"/>
              </w:rPr>
            </w:pPr>
            <w:r w:rsidRPr="009B2E82">
              <w:rPr>
                <w:rFonts w:ascii="Times New Roman" w:hAnsi="Times New Roman" w:cs="Times New Roman"/>
                <w:color w:val="000000"/>
                <w:lang w:eastAsia="hr-HR"/>
              </w:rPr>
              <w:t>T.04.2 -</w:t>
            </w:r>
            <w:r w:rsidRPr="009B2E82">
              <w:rPr>
                <w:rFonts w:ascii="Times New Roman" w:hAnsi="Times New Roman" w:cs="Times New Roman"/>
                <w:lang w:eastAsia="hr-HR"/>
              </w:rPr>
              <w:t xml:space="preserve"> </w:t>
            </w:r>
            <w:r w:rsidRPr="009B2E82">
              <w:rPr>
                <w:rFonts w:ascii="Times New Roman" w:hAnsi="Times New Roman" w:cs="Times New Roman"/>
                <w:color w:val="000000"/>
                <w:lang w:eastAsia="hr-HR"/>
              </w:rPr>
              <w:t>Provedene su aktivnosti za promicanje visokoučinkovite kogeneracije toplinske i električne energije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92"/>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1 - Potpora za kogeneraciju temelji se na potražnji korisne topline i uštedama primarne energije u skladu s člankom 7. stavkom 1. i člankom 9. stavkom 1. (a) i (b) Direktive 2004/8/EZ);</w:t>
            </w:r>
          </w:p>
          <w:p w:rsidR="009B2E82" w:rsidRPr="009B2E82" w:rsidRDefault="009B2E82" w:rsidP="009B2E82">
            <w:pPr>
              <w:shd w:val="clear" w:color="auto" w:fill="FFFFFF"/>
              <w:spacing w:line="230" w:lineRule="exact"/>
              <w:ind w:right="192"/>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"Nacionalni potencijal kogeneracije u RH</w:t>
            </w:r>
            <w:r w:rsidRPr="009B2E82">
              <w:rPr>
                <w:rFonts w:ascii="Times New Roman" w:hAnsi="Times New Roman" w:cs="Times New Roman"/>
                <w:color w:val="000000"/>
                <w:spacing w:val="2"/>
                <w:lang w:eastAsia="hr-HR"/>
              </w:rPr>
              <w:t xml:space="preserve">; </w:t>
            </w:r>
            <w:r w:rsidRPr="009B2E82">
              <w:rPr>
                <w:rFonts w:ascii="Times New Roman" w:hAnsi="Times New Roman" w:cs="Times New Roman"/>
                <w:color w:val="000000"/>
                <w:spacing w:val="-3"/>
                <w:lang w:eastAsia="hr-HR"/>
              </w:rPr>
              <w:t>http://www.mingo.hr/userdocsimages/energetika/Nacionalni%20potencijal%20kogeneracije%20u%20Republici%20Hrvatskoj.pdf</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pacing w:after="0" w:line="240" w:lineRule="auto"/>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„Nacionalni potencijal kogeneracije u RH" (2009.) sadrži procjenu potencijala za proizvodnju toplinske energije iz visoko učinkovite kogeneracije, imajući u vidu dostupne izvore energije i tehnologije koje se mogu koristiti u kogeneracijskim postrojenjima i moguće prepreke za realizaciju visoko učinkovitog </w:t>
            </w:r>
            <w:r w:rsidRPr="009B2E82">
              <w:rPr>
                <w:rFonts w:ascii="Times New Roman" w:hAnsi="Times New Roman" w:cs="Times New Roman"/>
                <w:color w:val="000000"/>
                <w:spacing w:val="-1"/>
                <w:lang w:eastAsia="hr-HR"/>
              </w:rPr>
              <w:br/>
            </w:r>
            <w:r w:rsidRPr="009B2E82">
              <w:rPr>
                <w:rFonts w:ascii="Times New Roman" w:hAnsi="Times New Roman" w:cs="Times New Roman"/>
                <w:color w:val="000000"/>
                <w:spacing w:val="-1"/>
                <w:lang w:eastAsia="hr-HR"/>
              </w:rPr>
              <w:br/>
            </w:r>
          </w:p>
          <w:p w:rsidR="009B2E82" w:rsidRPr="009B2E82" w:rsidRDefault="009B2E82" w:rsidP="009B2E82">
            <w:pPr>
              <w:shd w:val="clear" w:color="auto" w:fill="FFFFFF"/>
              <w:spacing w:line="226" w:lineRule="exact"/>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450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Zakon o tržištu toplinske energije </w:t>
            </w:r>
            <w:r w:rsidRPr="009B2E82">
              <w:rPr>
                <w:rFonts w:ascii="Times New Roman" w:hAnsi="Times New Roman" w:cs="Times New Roman"/>
                <w:color w:val="000000"/>
                <w:lang w:eastAsia="hr-HR"/>
              </w:rPr>
              <w:t xml:space="preserve">(Narodne novine 80/13) </w:t>
            </w:r>
            <w:r w:rsidRPr="009B2E82">
              <w:rPr>
                <w:rFonts w:ascii="Times New Roman" w:hAnsi="Times New Roman" w:cs="Times New Roman"/>
                <w:color w:val="000000"/>
                <w:spacing w:val="-1"/>
                <w:lang w:eastAsia="hr-HR"/>
              </w:rPr>
              <w:t>http://narodne-novine.nn.hr/clanci/sluzbeni/2013_06_80_1655.html</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color w:val="000000"/>
                <w:spacing w:val="-1"/>
                <w:lang w:eastAsia="hr-HR"/>
              </w:rPr>
              <w:t>potencijala kogeneracije. Za 2015. očekivano je ažuriranje verzije dokumenta iz 2009. prateći novu Direktivu 2012/27. Uz procjenu trenutne situacije, „Nacionalni potencijal kogeneracije u RH" također sadrži procjenu kogeneracijskog potencijala, uključujući i razvoj metodologije, tehnički potencijal, modeliranje ekonomske izvedivosti i prateće ekonomske potencijale, kao i učinak u pogledu emisije. Obnovljena procjena kogeneracijskog potencijala i odgovarajuće smanjenje emisije također će biti pripremljeni 2015. Dodatne informacije i objašnjenje dostupni su u dijelu Dokumenti</w:t>
            </w:r>
          </w:p>
        </w:tc>
      </w:tr>
      <w:tr w:rsidR="009B2E82" w:rsidRPr="009B2E82" w:rsidTr="009B2E82">
        <w:trPr>
          <w:trHeight w:hRule="exact" w:val="362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
              <w:rPr>
                <w:rFonts w:ascii="Times New Roman" w:hAnsi="Times New Roman" w:cs="Times New Roman"/>
                <w:lang w:eastAsia="hr-HR"/>
              </w:rPr>
            </w:pPr>
            <w:r w:rsidRPr="009B2E82">
              <w:rPr>
                <w:rFonts w:ascii="Times New Roman" w:hAnsi="Times New Roman" w:cs="Times New Roman"/>
                <w:color w:val="000000"/>
                <w:lang w:eastAsia="hr-HR"/>
              </w:rPr>
              <w:t>T.04.2 - Provedene su aktivnosti za promicanje kogeneracije visoke učinkovitosti toplinske i električne energije.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6"/>
              <w:rPr>
                <w:rFonts w:ascii="Times New Roman" w:hAnsi="Times New Roman" w:cs="Times New Roman"/>
                <w:color w:val="000000"/>
                <w:lang w:eastAsia="hr-HR"/>
              </w:rPr>
            </w:pPr>
            <w:r w:rsidRPr="009B2E82">
              <w:rPr>
                <w:rFonts w:ascii="Times New Roman" w:hAnsi="Times New Roman" w:cs="Times New Roman"/>
                <w:color w:val="000000"/>
                <w:lang w:eastAsia="hr-HR"/>
              </w:rPr>
              <w:t>2 - Države članice ili njihova nadležna tijela ocijenili su postojeći zakonodavni i regulatorni okvir vezano uz postupke odobrenja ili druge postupke s ciljem: (a) poticanja projektiranja kogeneracijskih jedinica da zadovoljavaju ekonomski opravdanu potražnju za proizvodnjom korisne energije i izbjegavaju proizvodnju više topline od korisne topline; i (b)smanjenja regulatornih i neregulatornih prepreka povećanju kogeneracije.</w:t>
            </w:r>
          </w:p>
          <w:p w:rsidR="009B2E82" w:rsidRPr="009B2E82" w:rsidRDefault="009B2E82" w:rsidP="009B2E82">
            <w:pPr>
              <w:shd w:val="clear" w:color="auto" w:fill="FFFFFF"/>
              <w:spacing w:line="226" w:lineRule="exact"/>
              <w:ind w:right="106"/>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Nacionalna energetska strategija http://narodne-novine.nn.hr/clanci/sluzbeni/2009_10_130_3192.html</w:t>
            </w:r>
          </w:p>
          <w:p w:rsidR="009B2E82" w:rsidRPr="009B2E82" w:rsidRDefault="009B2E82" w:rsidP="009B2E82">
            <w:pPr>
              <w:shd w:val="clear" w:color="auto" w:fill="FFFFFF"/>
              <w:spacing w:line="274" w:lineRule="exact"/>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Zakon o električnoj energiji (NN 22/2013) </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http://narodne-novine.nn.hr/clanci/sluzbeni/2013_02_22_358.html</w:t>
            </w:r>
          </w:p>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2"/>
                <w:lang w:eastAsia="hr-HR"/>
              </w:rPr>
              <w:t>Propis o tarifnom sustavu</w:t>
            </w:r>
            <w:r w:rsidRPr="009B2E82">
              <w:rPr>
                <w:rFonts w:ascii="Times New Roman" w:hAnsi="Times New Roman" w:cs="Times New Roman"/>
                <w:color w:val="000000"/>
                <w:spacing w:val="2"/>
                <w:sz w:val="24"/>
                <w:szCs w:val="24"/>
                <w:lang w:eastAsia="hr-HR"/>
              </w:rPr>
              <w:t xml:space="preserv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Zakon o električnoj energiji navodi smjernice određivanjem da će se stimulirati kogeneracija toplinske i električne energije, ako se pokaže ekonomski izvedivim. Zakon o električnoj energiji navodi kako postrojenje koje stvara električnu energiju na visokoučinkovit način  stječe status povlaštenog proizvođača električne energije, na temelju rješenja koje izdaje Hrvatska regulatorna agencija. Prihvatljivi proizvođači mogu steći pravo na poticajnu cijenu koja je određena tarifnim sustavom za</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411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za proizvodnju električne energije iz OIE-a i kogeneraciju </w:t>
            </w:r>
            <w:r w:rsidRPr="009B2E82">
              <w:rPr>
                <w:rFonts w:ascii="Times New Roman" w:hAnsi="Times New Roman" w:cs="Times New Roman"/>
                <w:color w:val="000000"/>
                <w:spacing w:val="-2"/>
                <w:lang w:eastAsia="hr-HR"/>
              </w:rPr>
              <w:t xml:space="preserve">(NN </w:t>
            </w:r>
            <w:r w:rsidRPr="009B2E82">
              <w:rPr>
                <w:rFonts w:ascii="Times New Roman" w:hAnsi="Times New Roman" w:cs="Times New Roman"/>
                <w:color w:val="000000"/>
                <w:lang w:eastAsia="hr-HR"/>
              </w:rPr>
              <w:t>133/13, 151/13, 20/14) http://www.hrote.hr/default.aspx?id=126</w:t>
            </w:r>
          </w:p>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3"/>
                <w:lang w:eastAsia="hr-HR"/>
              </w:rPr>
              <w:t>Dodatne reference dostupne su u dijelu Dokumenti.</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proizvodnju struje iz obnovljivih izvora energije (OIE) i kogeneraciju. Osim toga operator na tržištu električne energije imat će prednost pri kupnji električne energije iz obnovljivih izvora energije i kogeneracije od povlaštenog proizvođača koji je u sustavu poticaja. Vrednovanje postojećeg zakonskog i regulatornog okvira bit će dio Programa za korištenje potencijala učinkovitosti u grijanju i hlađenju 2016. - 2030. (rok do 1. srpnja 2015.). Dodatne informacije i objašnjenje dostupni su u dijelu Dokumenti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485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5"/>
              <w:rPr>
                <w:rFonts w:ascii="Times New Roman" w:hAnsi="Times New Roman" w:cs="Times New Roman"/>
                <w:lang w:eastAsia="hr-HR"/>
              </w:rPr>
            </w:pPr>
            <w:r w:rsidRPr="009B2E82">
              <w:rPr>
                <w:rFonts w:ascii="Times New Roman" w:hAnsi="Times New Roman" w:cs="Times New Roman"/>
                <w:color w:val="000000"/>
                <w:lang w:eastAsia="hr-HR"/>
              </w:rPr>
              <w:lastRenderedPageBreak/>
              <w:t>T.04.3 - Provedene su aktivnosti za promicanje proizvodnje i distribucije obnovljivih izvora energije.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1 - Postoje transparentne sheme potpora, prioriteti u pristupu mreži ili zajamčeni pristup i prioritet u otpremi kao i objavljena standardna pravila vezana uz snošenje i podjelu troškova tehničkih prilagodbi u skladu s člankom 14. stavkom 1., člankom 16. stavkom 2. i člankom 16. stavkom 3. Direktive 2009/28/EZ Europskog parlamenta i Vijeća.</w:t>
            </w:r>
          </w:p>
          <w:p w:rsidR="009B2E82" w:rsidRPr="009B2E82" w:rsidRDefault="009B2E82" w:rsidP="009B2E82">
            <w:pPr>
              <w:shd w:val="clear" w:color="auto" w:fill="FFFFFF"/>
              <w:spacing w:line="226" w:lineRule="exact"/>
              <w:ind w:right="10"/>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pacing w:after="0" w:line="240" w:lineRule="auto"/>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Mjerodavno energetsko zakonodavstvo za sheme potpora: Nacionalna strategija energetskog razvoja, Zakon o tržištu električne energije, Zakon o tržištu toplinske energije, Zakon o tržištu plina,  Zakon o energiji, </w:t>
            </w:r>
            <w:r w:rsidRPr="009B2E82">
              <w:rPr>
                <w:rFonts w:ascii="Times New Roman" w:hAnsi="Times New Roman" w:cs="Times New Roman"/>
                <w:iCs/>
                <w:color w:val="000000"/>
                <w:spacing w:val="-1"/>
                <w:lang w:eastAsia="hr-HR"/>
              </w:rPr>
              <w:t>Zakon o Fondu</w:t>
            </w:r>
            <w:r w:rsidRPr="009B2E82">
              <w:rPr>
                <w:rFonts w:ascii="Times New Roman" w:hAnsi="Times New Roman" w:cs="Times New Roman"/>
                <w:color w:val="000000"/>
                <w:spacing w:val="-1"/>
                <w:lang w:eastAsia="hr-HR"/>
              </w:rPr>
              <w:t xml:space="preserve"> za </w:t>
            </w:r>
            <w:r w:rsidRPr="009B2E82">
              <w:rPr>
                <w:rFonts w:ascii="Times New Roman" w:hAnsi="Times New Roman" w:cs="Times New Roman"/>
                <w:iCs/>
                <w:color w:val="000000"/>
                <w:spacing w:val="-1"/>
                <w:lang w:eastAsia="hr-HR"/>
              </w:rPr>
              <w:t>zaštitu okoliša</w:t>
            </w:r>
            <w:r w:rsidRPr="009B2E82">
              <w:rPr>
                <w:rFonts w:ascii="Times New Roman" w:hAnsi="Times New Roman" w:cs="Times New Roman"/>
                <w:color w:val="000000"/>
                <w:spacing w:val="-1"/>
                <w:lang w:eastAsia="hr-HR"/>
              </w:rPr>
              <w:t xml:space="preserve"> i energetsku učinkovitost, Zakon o prostornom uređenju i gradnji, Nacionalni akcijski plan za energetsku učinkovitost i OIE. </w:t>
            </w:r>
            <w:r w:rsidRPr="009B2E82">
              <w:rPr>
                <w:rFonts w:ascii="Times New Roman" w:hAnsi="Times New Roman" w:cs="Times New Roman"/>
                <w:color w:val="000000"/>
                <w:spacing w:val="-1"/>
                <w:lang w:eastAsia="hr-HR"/>
              </w:rPr>
              <w:br/>
            </w:r>
          </w:p>
          <w:p w:rsidR="009B2E82" w:rsidRPr="009B2E82" w:rsidRDefault="009B2E82" w:rsidP="009B2E82">
            <w:pPr>
              <w:shd w:val="clear" w:color="auto" w:fill="FFFFFF"/>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Odredbe za sheme potpora za OIE prenesene su i regulirane različitim zakonodavstvom o energiji (vidi Referenca) i informacije o tim programima dostupne su na internetskim stranicama Ministarstva gospodarstva, Hrvatskog operatora tržišta energijom (HROTE), Hrvatske elektroprivrede (HEP), Hrvatskog operatora prijenosnog sustava za električnu energiju (HOPS), Ministarstva graditeljstva i prostornog uređenja te Fonda za energetsku učinkovitost. Prioritet i zajamčeni pristup mrežnom sustavu i prioritet u otpremi električne energije iz obnovljivih izvora sadržani su u članku 5. Zakona o tržištu električne energije.</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384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Informacije o</w:t>
            </w:r>
            <w:r w:rsidRPr="009B2E82">
              <w:rPr>
                <w:rFonts w:ascii="Times New Roman" w:hAnsi="Times New Roman" w:cs="Times New Roman"/>
                <w:color w:val="000000"/>
                <w:spacing w:val="-5"/>
                <w:lang w:eastAsia="hr-HR"/>
              </w:rPr>
              <w:t xml:space="preserve"> shemama potpora: </w:t>
            </w:r>
            <w:r w:rsidRPr="009B2E82">
              <w:rPr>
                <w:rFonts w:ascii="Times New Roman" w:hAnsi="Times New Roman" w:cs="Times New Roman"/>
                <w:color w:val="000000"/>
                <w:spacing w:val="-1"/>
                <w:lang w:eastAsia="hr-HR"/>
              </w:rPr>
              <w:t xml:space="preserve">http://www.mingo.hr/default.aspx?id=3196; </w:t>
            </w:r>
          </w:p>
          <w:p w:rsidR="009B2E82" w:rsidRPr="009B2E82" w:rsidRDefault="009B2E82" w:rsidP="009B2E82">
            <w:pPr>
              <w:shd w:val="clear" w:color="auto" w:fill="FFFFFF"/>
              <w:spacing w:line="274" w:lineRule="exact"/>
              <w:rPr>
                <w:rFonts w:ascii="Times New Roman" w:hAnsi="Times New Roman" w:cs="Times New Roman"/>
                <w:color w:val="000000"/>
                <w:lang w:eastAsia="hr-HR"/>
              </w:rPr>
            </w:pPr>
            <w:r w:rsidRPr="009B2E82">
              <w:rPr>
                <w:rFonts w:ascii="Times New Roman" w:hAnsi="Times New Roman" w:cs="Times New Roman"/>
                <w:color w:val="000000"/>
                <w:spacing w:val="-1"/>
                <w:lang w:eastAsia="hr-HR"/>
              </w:rPr>
              <w:t>http://www.hrote.hr/default.aspx?id=131;</w:t>
            </w:r>
            <w:r w:rsidRPr="009B2E82">
              <w:rPr>
                <w:rFonts w:ascii="Times New Roman" w:hAnsi="Times New Roman" w:cs="Times New Roman"/>
                <w:color w:val="000000"/>
                <w:lang w:eastAsia="hr-HR"/>
              </w:rPr>
              <w:t xml:space="preserve"> itd. </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lang w:eastAsia="hr-HR"/>
              </w:rPr>
              <w:t>Dodatne reference dostupne su u dijelu Dokumenti.</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color w:val="000000"/>
                <w:spacing w:val="7"/>
                <w:lang w:eastAsia="hr-HR"/>
              </w:rPr>
              <w:t>Standardna pravila koja se odnose na snošenje i podjelu troškova tehničke prilagodbe dostupna su na internetskoj stranici HOPS-a / operatora prijenosnog sustava) i ODS-a (Distribucijski operator). Dodatne informacije i objašnjenje dostupni su u dijelu Dokumenti</w:t>
            </w:r>
          </w:p>
        </w:tc>
      </w:tr>
      <w:tr w:rsidR="009B2E82" w:rsidRPr="009B2E82" w:rsidTr="009B2E82">
        <w:trPr>
          <w:trHeight w:hRule="exact" w:val="49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
              <w:rPr>
                <w:rFonts w:ascii="Times New Roman" w:hAnsi="Times New Roman" w:cs="Times New Roman"/>
                <w:color w:val="000000"/>
                <w:spacing w:val="-3"/>
                <w:lang w:eastAsia="hr-HR"/>
              </w:rPr>
            </w:pPr>
            <w:r w:rsidRPr="009B2E82">
              <w:rPr>
                <w:rFonts w:ascii="Times New Roman" w:hAnsi="Times New Roman" w:cs="Times New Roman"/>
                <w:color w:val="000000"/>
                <w:lang w:eastAsia="hr-HR"/>
              </w:rPr>
              <w:t>T.04.3 - Provedene su aktivnosti za promicanje proizvodnje i distribucije obnovljivih izvora energije.</w:t>
            </w:r>
          </w:p>
          <w:p w:rsidR="009B2E82" w:rsidRPr="009B2E82" w:rsidRDefault="009B2E82" w:rsidP="009B2E82">
            <w:pPr>
              <w:shd w:val="clear" w:color="auto" w:fill="FFFFFF"/>
              <w:spacing w:line="226" w:lineRule="exact"/>
              <w:ind w:right="5"/>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92"/>
              <w:rPr>
                <w:rFonts w:ascii="Times New Roman" w:hAnsi="Times New Roman" w:cs="Times New Roman"/>
                <w:color w:val="000000"/>
                <w:lang w:eastAsia="hr-HR"/>
              </w:rPr>
            </w:pPr>
            <w:r w:rsidRPr="009B2E82">
              <w:rPr>
                <w:rFonts w:ascii="Times New Roman" w:hAnsi="Times New Roman" w:cs="Times New Roman"/>
                <w:color w:val="000000"/>
                <w:lang w:eastAsia="hr-HR"/>
              </w:rPr>
              <w:t>2 – Država članica usvojila je nacionalni akcijski plan za obnovljive izvore energije u skladu s člankom 4. Direktive 2009/28/EZ.</w:t>
            </w:r>
          </w:p>
          <w:p w:rsidR="009B2E82" w:rsidRPr="009B2E82" w:rsidRDefault="009B2E82" w:rsidP="009B2E82">
            <w:pPr>
              <w:shd w:val="clear" w:color="auto" w:fill="FFFFFF"/>
              <w:spacing w:line="226" w:lineRule="exact"/>
              <w:ind w:right="192"/>
              <w:rPr>
                <w:rFonts w:ascii="Times New Roman" w:hAnsi="Times New Roman" w:cs="Times New Roman"/>
                <w:color w:val="000000"/>
                <w:lang w:eastAsia="hr-HR"/>
              </w:rPr>
            </w:pPr>
          </w:p>
          <w:p w:rsidR="009B2E82" w:rsidRPr="009B2E82" w:rsidRDefault="009B2E82" w:rsidP="009B2E82">
            <w:pPr>
              <w:shd w:val="clear" w:color="auto" w:fill="FFFFFF"/>
              <w:spacing w:line="226" w:lineRule="exact"/>
              <w:ind w:right="192"/>
              <w:rPr>
                <w:rFonts w:ascii="Times New Roman" w:hAnsi="Times New Roman" w:cs="Times New Roman"/>
                <w:color w:val="000000"/>
                <w:spacing w:val="-2"/>
                <w:lang w:eastAsia="hr-HR"/>
              </w:rPr>
            </w:pPr>
          </w:p>
          <w:p w:rsidR="009B2E82" w:rsidRPr="009B2E82" w:rsidRDefault="009B2E82" w:rsidP="009B2E82">
            <w:pPr>
              <w:shd w:val="clear" w:color="auto" w:fill="FFFFFF"/>
              <w:spacing w:line="226" w:lineRule="exact"/>
              <w:ind w:right="192"/>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ind w:right="5"/>
              <w:rPr>
                <w:rFonts w:ascii="Times New Roman" w:hAnsi="Times New Roman" w:cs="Times New Roman"/>
                <w:lang w:eastAsia="hr-HR"/>
              </w:rPr>
            </w:pPr>
            <w:r w:rsidRPr="009B2E82">
              <w:rPr>
                <w:rFonts w:ascii="Times New Roman" w:hAnsi="Times New Roman" w:cs="Times New Roman"/>
                <w:color w:val="000000"/>
                <w:spacing w:val="-1"/>
                <w:lang w:eastAsia="hr-HR"/>
              </w:rPr>
              <w:t>Nacionalni akcijski plan za obnovljive izvore energije http://www.vlada.hr/hr/naslovnica/sjednice_i_odluke_vlade_rh/2013/120_sjednica_vlade_republike_hrvatske/120_2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both"/>
              <w:rPr>
                <w:rFonts w:ascii="Times New Roman" w:hAnsi="Times New Roman" w:cs="Times New Roman"/>
                <w:lang w:eastAsia="hr-HR"/>
              </w:rPr>
            </w:pPr>
            <w:r w:rsidRPr="009B2E82">
              <w:rPr>
                <w:rFonts w:ascii="Times New Roman" w:hAnsi="Times New Roman" w:cs="Times New Roman"/>
                <w:lang w:eastAsia="hr-HR"/>
              </w:rPr>
              <w:t xml:space="preserve">Nacionalni akcijski plan za obnovljive izvore energiju usvojen je 2013. Nacionalni ciljevi za 2020. za električnu energiju, prijevoz i grijanje i hlađenje postavljeni su u poglavlju 3.2. NAPOIE-a. </w:t>
            </w:r>
            <w:r w:rsidRPr="009B2E82">
              <w:rPr>
                <w:rFonts w:ascii="Times New Roman" w:hAnsi="Times New Roman" w:cs="Times New Roman"/>
                <w:lang w:eastAsia="hr-HR"/>
              </w:rPr>
              <w:br/>
              <w:t xml:space="preserve">Popis mjera (dostupan u poglavlju 4.1. NAPOIE-a) određuje odgovornosti i ciljane skupine za svaku pojedinu mjeru; Popratni opis mjera donosi više detalja o načinu suradnje. </w:t>
            </w:r>
            <w:r w:rsidRPr="009B2E82">
              <w:rPr>
                <w:rFonts w:ascii="Times New Roman" w:hAnsi="Times New Roman" w:cs="Times New Roman"/>
                <w:lang w:eastAsia="hr-HR"/>
              </w:rPr>
              <w:br/>
              <w:t>Mjere za razvoj postojećih / pokretanje novih resursa biomase postavljene su u poglavlju 4.6. NAPOIE-a.</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186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Mjere za ispunjavanje zahtjeva iz članaka 13. - 19. Direktive 2009/28 /EZ postavljene su u poglavlju 4. NAPOIE-a.</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color w:val="000000"/>
                <w:spacing w:val="-1"/>
                <w:lang w:eastAsia="hr-HR"/>
              </w:rPr>
              <w:t>NAPOIE je usklađen s predloškom koji je dala Europska komisija.</w:t>
            </w:r>
          </w:p>
        </w:tc>
      </w:tr>
      <w:tr w:rsidR="009B2E82" w:rsidRPr="009B2E82" w:rsidTr="009B2E82">
        <w:trPr>
          <w:trHeight w:hRule="exact" w:val="589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58"/>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T.05.1 - Sprečavanje rizika i upravljanje rizikom: postojanje </w:t>
            </w:r>
            <w:r w:rsidRPr="009B2E82">
              <w:rPr>
                <w:rFonts w:ascii="Times New Roman" w:hAnsi="Times New Roman" w:cs="Times New Roman"/>
                <w:iCs/>
                <w:color w:val="000000"/>
                <w:spacing w:val="1"/>
                <w:lang w:eastAsia="hr-HR"/>
              </w:rPr>
              <w:t>nacionalnih ili regionalnih procjena rizika</w:t>
            </w:r>
            <w:r w:rsidRPr="009B2E82">
              <w:rPr>
                <w:rFonts w:ascii="Times New Roman" w:hAnsi="Times New Roman" w:cs="Times New Roman"/>
                <w:color w:val="000000"/>
                <w:spacing w:val="1"/>
                <w:lang w:eastAsia="hr-HR"/>
              </w:rPr>
              <w:t xml:space="preserve"> za upravljanje katastrofama uzimajući u obzir prilagodbu na klimatske promjene. </w:t>
            </w:r>
          </w:p>
          <w:p w:rsidR="009B2E82" w:rsidRPr="009B2E82" w:rsidRDefault="009B2E82" w:rsidP="009B2E82">
            <w:pPr>
              <w:shd w:val="clear" w:color="auto" w:fill="FFFFFF"/>
              <w:spacing w:line="230" w:lineRule="exact"/>
              <w:ind w:right="58"/>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ind w:right="58"/>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1 – Uspostavit će se nacionalna ili regionalna procjena rizika sa sljedećim elementima: </w:t>
            </w:r>
          </w:p>
          <w:p w:rsidR="009B2E82" w:rsidRPr="009B2E82" w:rsidRDefault="009B2E82" w:rsidP="009B2E82">
            <w:pPr>
              <w:shd w:val="clear" w:color="auto" w:fill="FFFFFF"/>
              <w:spacing w:line="230" w:lineRule="exact"/>
              <w:ind w:right="67"/>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ind w:right="67"/>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sz w:val="20"/>
                <w:lang w:eastAsia="hr-HR"/>
              </w:rPr>
            </w:pPr>
            <w:r w:rsidRPr="009B2E82">
              <w:rPr>
                <w:rFonts w:ascii="Times New Roman" w:hAnsi="Times New Roman" w:cs="Times New Roman"/>
                <w:color w:val="000000"/>
                <w:szCs w:val="24"/>
                <w:lang w:eastAsia="hr-HR"/>
              </w:rPr>
              <w:t xml:space="preserve">Zakon o zaštiti i spašavanju </w:t>
            </w:r>
          </w:p>
          <w:p w:rsidR="009B2E82" w:rsidRPr="009B2E82" w:rsidRDefault="009B2E82" w:rsidP="009B2E82">
            <w:pPr>
              <w:shd w:val="clear" w:color="auto" w:fill="FFFFFF"/>
              <w:spacing w:line="274" w:lineRule="exact"/>
              <w:ind w:right="5"/>
              <w:rPr>
                <w:rFonts w:ascii="Times New Roman" w:hAnsi="Times New Roman" w:cs="Times New Roman"/>
                <w:sz w:val="20"/>
                <w:lang w:eastAsia="hr-HR"/>
              </w:rPr>
            </w:pPr>
            <w:r w:rsidRPr="009B2E82">
              <w:rPr>
                <w:rFonts w:ascii="Times New Roman" w:hAnsi="Times New Roman" w:cs="Times New Roman"/>
                <w:color w:val="000000"/>
                <w:spacing w:val="-1"/>
                <w:szCs w:val="24"/>
                <w:lang w:eastAsia="hr-HR"/>
              </w:rPr>
              <w:t>•    http://narodne-novine.nn.hr/clanci/sluzbeni/2004_12_174_3011.html;</w:t>
            </w:r>
          </w:p>
          <w:p w:rsidR="009B2E82" w:rsidRPr="009B2E82" w:rsidRDefault="009B2E82" w:rsidP="009B2E82">
            <w:pPr>
              <w:shd w:val="clear" w:color="auto" w:fill="FFFFFF"/>
              <w:spacing w:line="274" w:lineRule="exact"/>
              <w:ind w:right="5"/>
              <w:rPr>
                <w:rFonts w:ascii="Times New Roman" w:hAnsi="Times New Roman" w:cs="Times New Roman"/>
                <w:sz w:val="20"/>
                <w:lang w:eastAsia="hr-HR"/>
              </w:rPr>
            </w:pPr>
            <w:r w:rsidRPr="009B2E82">
              <w:rPr>
                <w:rFonts w:ascii="Times New Roman" w:hAnsi="Times New Roman" w:cs="Times New Roman"/>
                <w:color w:val="000000"/>
                <w:spacing w:val="-1"/>
                <w:szCs w:val="24"/>
                <w:lang w:eastAsia="hr-HR"/>
              </w:rPr>
              <w:t>•    http://narodne-novine.nn.hr/clanci/sluzbeni/2007_07_79_2494.html;</w:t>
            </w:r>
          </w:p>
          <w:p w:rsidR="009B2E82" w:rsidRPr="009B2E82" w:rsidRDefault="009B2E82" w:rsidP="009B2E82">
            <w:pPr>
              <w:shd w:val="clear" w:color="auto" w:fill="FFFFFF"/>
              <w:spacing w:line="274" w:lineRule="exact"/>
              <w:ind w:right="5"/>
              <w:rPr>
                <w:rFonts w:ascii="Times New Roman" w:hAnsi="Times New Roman" w:cs="Times New Roman"/>
                <w:sz w:val="20"/>
                <w:lang w:eastAsia="hr-HR"/>
              </w:rPr>
            </w:pPr>
            <w:r w:rsidRPr="009B2E82">
              <w:rPr>
                <w:rFonts w:ascii="Times New Roman" w:hAnsi="Times New Roman" w:cs="Times New Roman"/>
                <w:color w:val="000000"/>
                <w:spacing w:val="-1"/>
                <w:szCs w:val="24"/>
                <w:lang w:eastAsia="hr-HR"/>
              </w:rPr>
              <w:t>•    http://narodne-novine.nn.hr/clanci/sluzbeni/2009_03_38_846.html;</w:t>
            </w:r>
          </w:p>
          <w:p w:rsidR="009B2E82" w:rsidRPr="009B2E82" w:rsidRDefault="009B2E82" w:rsidP="009B2E82">
            <w:pPr>
              <w:shd w:val="clear" w:color="auto" w:fill="FFFFFF"/>
              <w:spacing w:line="274" w:lineRule="exact"/>
              <w:ind w:right="5"/>
              <w:rPr>
                <w:rFonts w:ascii="Times New Roman" w:hAnsi="Times New Roman" w:cs="Times New Roman"/>
                <w:lang w:eastAsia="hr-HR"/>
              </w:rPr>
            </w:pPr>
            <w:r w:rsidRPr="009B2E82">
              <w:rPr>
                <w:rFonts w:ascii="Times New Roman" w:hAnsi="Times New Roman" w:cs="Times New Roman"/>
                <w:color w:val="000000"/>
                <w:spacing w:val="-1"/>
                <w:szCs w:val="24"/>
                <w:lang w:eastAsia="hr-HR"/>
              </w:rPr>
              <w:t>•    http://narodne-novine.nn.hr/clanci/sluzbeni/2010_11_127_3294.html</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 xml:space="preserve">Važeći propis odnosno Zakon o zaštiti i spašavanju (NN 174/04, 79/07, 38/09, 127/10) i Zakon o zaštiti od elementarnih nepogoda samo navode nadležno tijelo koje se bavi katastrofama. U RH trenutno postoji procjena opasnosti koja je donesena na državnim i na lokalnim razinama, te je bila dovoljna za potrebe zaštite i spašavanja u RH i za izradu planova zaštite i spašavanja na svim razinama. Da bi se ispunila uvjetovanost (postojanje nacionalne ili regionalne procjene rizika, opis postupka, metodologija, metode i neosjetljivi podaci, opis mogućeg ishoda jednog rizika i više rizika; te uvjeta da su uzete u obzir strategije  nacionalne prilagodbe klimatskim promjenama) i da bi postojala procjena oporavka nakon katastrofe usvojeni su dodatni pravni dokumenti kao što su odluke Vlade i tijela nadležnih za izračun određenih rizika i izrada ishoda, </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439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ind w:right="10"/>
              <w:rPr>
                <w:rFonts w:ascii="Times New Roman" w:hAnsi="Times New Roman" w:cs="Times New Roman"/>
                <w:color w:val="000000"/>
                <w:spacing w:val="1"/>
                <w:szCs w:val="24"/>
                <w:lang w:eastAsia="hr-HR"/>
              </w:rPr>
            </w:pPr>
            <w:r w:rsidRPr="009B2E82">
              <w:rPr>
                <w:rFonts w:ascii="Times New Roman" w:hAnsi="Times New Roman" w:cs="Times New Roman"/>
                <w:color w:val="000000"/>
                <w:spacing w:val="1"/>
                <w:szCs w:val="24"/>
                <w:lang w:eastAsia="hr-HR"/>
              </w:rPr>
              <w:t>Zakon o zaštiti od elementarnih nepogoda (NN 73/97)</w:t>
            </w:r>
          </w:p>
          <w:p w:rsidR="009B2E82" w:rsidRPr="009B2E82" w:rsidRDefault="009B2E82" w:rsidP="009B2E82">
            <w:pPr>
              <w:shd w:val="clear" w:color="auto" w:fill="FFFFFF"/>
              <w:spacing w:line="274" w:lineRule="exact"/>
              <w:ind w:right="10"/>
              <w:rPr>
                <w:rFonts w:ascii="Times New Roman" w:hAnsi="Times New Roman" w:cs="Times New Roman"/>
                <w:sz w:val="20"/>
                <w:lang w:eastAsia="hr-HR"/>
              </w:rPr>
            </w:pPr>
            <w:r w:rsidRPr="009B2E82">
              <w:rPr>
                <w:rFonts w:ascii="Times New Roman" w:hAnsi="Times New Roman" w:cs="Times New Roman"/>
                <w:color w:val="000000"/>
                <w:spacing w:val="-1"/>
                <w:szCs w:val="24"/>
                <w:lang w:eastAsia="hr-HR"/>
              </w:rPr>
              <w:t>•   http://narodne-novine.nn.hr/clanci/sluzbeni/1997_07_73_1259.html</w:t>
            </w:r>
          </w:p>
          <w:p w:rsidR="009B2E82" w:rsidRPr="009B2E82" w:rsidRDefault="009B2E82" w:rsidP="009B2E82">
            <w:pPr>
              <w:shd w:val="clear" w:color="auto" w:fill="FFFFFF"/>
              <w:rPr>
                <w:rFonts w:ascii="Times New Roman" w:hAnsi="Times New Roman" w:cs="Times New Roman"/>
                <w:color w:val="000000"/>
                <w:szCs w:val="24"/>
                <w:lang w:eastAsia="hr-HR"/>
              </w:rPr>
            </w:pPr>
            <w:r w:rsidRPr="009B2E82">
              <w:rPr>
                <w:rFonts w:ascii="Times New Roman" w:hAnsi="Times New Roman" w:cs="Times New Roman"/>
                <w:color w:val="000000"/>
                <w:szCs w:val="24"/>
                <w:lang w:eastAsia="hr-HR"/>
              </w:rPr>
              <w:t xml:space="preserve">Procjena opasnosti </w:t>
            </w:r>
          </w:p>
          <w:p w:rsidR="009B2E82" w:rsidRPr="009B2E82" w:rsidRDefault="009B2E82" w:rsidP="009B2E82">
            <w:pPr>
              <w:shd w:val="clear" w:color="auto" w:fill="FFFFFF"/>
              <w:spacing w:line="278" w:lineRule="exact"/>
              <w:ind w:right="10"/>
              <w:rPr>
                <w:rFonts w:ascii="Times New Roman" w:hAnsi="Times New Roman" w:cs="Times New Roman"/>
                <w:lang w:eastAsia="hr-HR"/>
              </w:rPr>
            </w:pPr>
            <w:r w:rsidRPr="009B2E82">
              <w:rPr>
                <w:rFonts w:ascii="Times New Roman" w:hAnsi="Times New Roman" w:cs="Times New Roman"/>
                <w:color w:val="000000"/>
                <w:szCs w:val="24"/>
                <w:lang w:eastAsia="hr-HR"/>
              </w:rPr>
              <w:t>•   http://www.duzs.hr/download.aspx?f=dokumenti/Clanci/PROCJENA_web_20.03.2013..pdf</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4"/>
              <w:jc w:val="both"/>
              <w:rPr>
                <w:rFonts w:ascii="Times New Roman" w:hAnsi="Times New Roman" w:cs="Times New Roman"/>
                <w:color w:val="000000"/>
                <w:spacing w:val="3"/>
                <w:lang w:eastAsia="hr-HR"/>
              </w:rPr>
            </w:pPr>
            <w:r w:rsidRPr="009B2E82">
              <w:rPr>
                <w:rFonts w:ascii="Times New Roman" w:hAnsi="Times New Roman" w:cs="Times New Roman"/>
                <w:color w:val="000000"/>
                <w:spacing w:val="3"/>
                <w:lang w:eastAsia="hr-HR"/>
              </w:rPr>
              <w:t xml:space="preserve">metodologija, itd. </w:t>
            </w:r>
          </w:p>
          <w:p w:rsidR="009B2E82" w:rsidRPr="009B2E82" w:rsidRDefault="009B2E82" w:rsidP="009B2E82">
            <w:pPr>
              <w:shd w:val="clear" w:color="auto" w:fill="FFFFFF"/>
              <w:spacing w:line="226" w:lineRule="exact"/>
              <w:ind w:right="14"/>
              <w:jc w:val="both"/>
              <w:rPr>
                <w:rFonts w:ascii="Times New Roman" w:hAnsi="Times New Roman" w:cs="Times New Roman"/>
                <w:color w:val="000000"/>
                <w:spacing w:val="3"/>
                <w:lang w:eastAsia="hr-HR"/>
              </w:rPr>
            </w:pPr>
            <w:r w:rsidRPr="009B2E82">
              <w:rPr>
                <w:rFonts w:ascii="Times New Roman" w:hAnsi="Times New Roman" w:cs="Times New Roman"/>
                <w:color w:val="000000"/>
                <w:spacing w:val="3"/>
                <w:lang w:eastAsia="hr-HR"/>
              </w:rPr>
              <w:t xml:space="preserve">Dodatne informacije i objašnjenje dostupni su u dijelu Dokumenti  </w:t>
            </w:r>
          </w:p>
          <w:p w:rsidR="009B2E82" w:rsidRPr="009B2E82" w:rsidRDefault="009B2E82" w:rsidP="009B2E82">
            <w:pPr>
              <w:shd w:val="clear" w:color="auto" w:fill="FFFFFF"/>
              <w:spacing w:line="226" w:lineRule="exact"/>
              <w:ind w:right="14"/>
              <w:jc w:val="both"/>
              <w:rPr>
                <w:rFonts w:ascii="Times New Roman" w:hAnsi="Times New Roman" w:cs="Times New Roman"/>
                <w:lang w:eastAsia="hr-HR"/>
              </w:rPr>
            </w:pPr>
          </w:p>
        </w:tc>
      </w:tr>
      <w:tr w:rsidR="009B2E82" w:rsidRPr="009B2E82" w:rsidTr="009B2E82">
        <w:trPr>
          <w:trHeight w:hRule="exact" w:val="146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58"/>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T.05.1 - Sprečavanje rizika i upravljanje rizikom: postojanje nacionalnih ili regionalnih procjena rizika za upravljanje katastrofama uzimajući u obzir prilagodbu na klimatske promjene.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68"/>
              <w:rPr>
                <w:rFonts w:ascii="Times New Roman" w:hAnsi="Times New Roman" w:cs="Times New Roman"/>
                <w:color w:val="000000"/>
                <w:lang w:eastAsia="hr-HR"/>
              </w:rPr>
            </w:pPr>
            <w:r w:rsidRPr="009B2E82">
              <w:rPr>
                <w:rFonts w:ascii="Times New Roman" w:hAnsi="Times New Roman" w:cs="Times New Roman"/>
                <w:color w:val="000000"/>
                <w:spacing w:val="-1"/>
                <w:lang w:eastAsia="hr-HR"/>
              </w:rPr>
              <w:t>2 -  Opis procesa, metodologija, metoda i ne-osjetljivih podatka koji se koriste za procjenu rizika te kriterija utemeljenih na riziku za određivanje prioriteta ulaganja</w:t>
            </w:r>
            <w:r w:rsidRPr="009B2E82">
              <w:rPr>
                <w:rFonts w:ascii="Times New Roman" w:hAnsi="Times New Roman" w:cs="Times New Roman"/>
                <w:color w:val="000000"/>
                <w:lang w:eastAsia="hr-HR"/>
              </w:rPr>
              <w:t xml:space="preserve"> </w:t>
            </w:r>
          </w:p>
          <w:p w:rsidR="009B2E82" w:rsidRPr="009B2E82" w:rsidRDefault="009B2E82" w:rsidP="009B2E82">
            <w:pPr>
              <w:shd w:val="clear" w:color="auto" w:fill="FFFFFF"/>
              <w:spacing w:line="226" w:lineRule="exact"/>
              <w:ind w:right="168"/>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ind w:right="5"/>
              <w:rPr>
                <w:rFonts w:ascii="Times New Roman" w:hAnsi="Times New Roman" w:cs="Times New Roman"/>
                <w:lang w:eastAsia="hr-HR"/>
              </w:rPr>
            </w:pPr>
            <w:r w:rsidRPr="009B2E82">
              <w:rPr>
                <w:rFonts w:ascii="Times New Roman" w:hAnsi="Times New Roman" w:cs="Times New Roman"/>
                <w:color w:val="000000"/>
                <w:szCs w:val="24"/>
                <w:lang w:eastAsia="hr-HR"/>
              </w:rPr>
              <w:t>Vidi Referenca pod Kriterijem 1. ex-ante uvjetovanost T.05.1.</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jc w:val="both"/>
              <w:rPr>
                <w:rFonts w:ascii="Times New Roman" w:hAnsi="Times New Roman" w:cs="Times New Roman"/>
                <w:lang w:eastAsia="hr-HR"/>
              </w:rPr>
            </w:pPr>
            <w:r w:rsidRPr="009B2E82">
              <w:rPr>
                <w:rFonts w:ascii="Times New Roman" w:hAnsi="Times New Roman" w:cs="Times New Roman"/>
                <w:color w:val="000000"/>
                <w:spacing w:val="4"/>
                <w:lang w:eastAsia="hr-HR"/>
              </w:rPr>
              <w:t>Vidi objašnjenje 1 pod Kriterijem 1 ex-ante uvjetovanosti T.05.1</w:t>
            </w:r>
            <w:r w:rsidRPr="009B2E82">
              <w:rPr>
                <w:rFonts w:ascii="Times New Roman" w:hAnsi="Times New Roman" w:cs="Times New Roman"/>
                <w:color w:val="000000"/>
                <w:lang w:eastAsia="hr-HR"/>
              </w:rPr>
              <w:t>.</w:t>
            </w:r>
          </w:p>
        </w:tc>
      </w:tr>
      <w:tr w:rsidR="009B2E82" w:rsidRPr="009B2E82" w:rsidTr="009B2E82">
        <w:trPr>
          <w:trHeight w:hRule="exact" w:val="147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58"/>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T.05.1 - Sprečavanje rizika i upravljanje rizikom: postojanje nacionalnih ili regionalnih procjena rizika za upravljanje katastrofama uzimajući u obzir prilagodbu na klimatske promjene.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ind w:right="494"/>
              <w:rPr>
                <w:rFonts w:ascii="Times New Roman" w:hAnsi="Times New Roman" w:cs="Times New Roman"/>
                <w:lang w:eastAsia="hr-HR"/>
              </w:rPr>
            </w:pPr>
            <w:r w:rsidRPr="009B2E82">
              <w:rPr>
                <w:rFonts w:ascii="Times New Roman" w:hAnsi="Times New Roman" w:cs="Times New Roman"/>
                <w:color w:val="000000"/>
                <w:spacing w:val="-1"/>
                <w:lang w:eastAsia="hr-HR"/>
              </w:rPr>
              <w:t>3 - Opis mogućih razvoja događaja s jednim ili više rizika;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ind w:right="5"/>
              <w:rPr>
                <w:rFonts w:ascii="Times New Roman" w:hAnsi="Times New Roman" w:cs="Times New Roman"/>
                <w:lang w:eastAsia="hr-HR"/>
              </w:rPr>
            </w:pPr>
            <w:r w:rsidRPr="009B2E82">
              <w:rPr>
                <w:rFonts w:ascii="Times New Roman" w:hAnsi="Times New Roman" w:cs="Times New Roman"/>
                <w:color w:val="000000"/>
                <w:szCs w:val="24"/>
                <w:lang w:eastAsia="hr-HR"/>
              </w:rPr>
              <w:t xml:space="preserve">Vidi Referenca pod Kriterijem 1. ex-ante uvjetovanost T.05.1.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jc w:val="both"/>
              <w:rPr>
                <w:rFonts w:ascii="Times New Roman" w:hAnsi="Times New Roman" w:cs="Times New Roman"/>
                <w:lang w:eastAsia="hr-HR"/>
              </w:rPr>
            </w:pPr>
            <w:r w:rsidRPr="009B2E82">
              <w:rPr>
                <w:rFonts w:ascii="Times New Roman" w:hAnsi="Times New Roman" w:cs="Times New Roman"/>
                <w:color w:val="000000"/>
                <w:spacing w:val="4"/>
                <w:lang w:eastAsia="hr-HR"/>
              </w:rPr>
              <w:t xml:space="preserve">Vidi objašnjenje 1 pod Kriterijem 1 ex-ante uvjetovanost T.05.1. </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146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58"/>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T.05.1 - Sprečavanje rizika i upravljanje rizikom: postojanje nacionalnih ili regionalnih procjena rizika za upravljanje katastrofama uzimajući u obzir prilagodbu na klimatske promjene.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36"/>
              <w:rPr>
                <w:rFonts w:ascii="Times New Roman" w:hAnsi="Times New Roman" w:cs="Times New Roman"/>
                <w:lang w:eastAsia="hr-HR"/>
              </w:rPr>
            </w:pPr>
            <w:r w:rsidRPr="009B2E82">
              <w:rPr>
                <w:rFonts w:ascii="Times New Roman" w:hAnsi="Times New Roman" w:cs="Times New Roman"/>
                <w:color w:val="000000"/>
                <w:lang w:eastAsia="hr-HR"/>
              </w:rPr>
              <w:t>4 – Uzimanje u obzir nacionalne strategije za prilagodbu na klimatske promjene, po potrebi</w:t>
            </w:r>
            <w:r w:rsidRPr="009B2E82">
              <w:rPr>
                <w:rFonts w:ascii="Times New Roman" w:hAnsi="Times New Roman" w:cs="Times New Roman"/>
                <w:color w:val="000000"/>
                <w:spacing w:val="-1"/>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ind w:right="5"/>
              <w:rPr>
                <w:rFonts w:ascii="Times New Roman" w:hAnsi="Times New Roman" w:cs="Times New Roman"/>
                <w:lang w:eastAsia="hr-HR"/>
              </w:rPr>
            </w:pPr>
            <w:r w:rsidRPr="009B2E82">
              <w:rPr>
                <w:rFonts w:ascii="Times New Roman" w:hAnsi="Times New Roman" w:cs="Times New Roman"/>
                <w:color w:val="000000"/>
                <w:szCs w:val="24"/>
                <w:lang w:eastAsia="hr-HR"/>
              </w:rPr>
              <w:t>Vidi Referenca pod Kriterijem 1. ex-ante uvjetovanost T.05.1.</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jc w:val="both"/>
              <w:rPr>
                <w:rFonts w:ascii="Times New Roman" w:hAnsi="Times New Roman" w:cs="Times New Roman"/>
                <w:lang w:eastAsia="hr-HR"/>
              </w:rPr>
            </w:pPr>
            <w:r w:rsidRPr="009B2E82">
              <w:rPr>
                <w:rFonts w:ascii="Times New Roman" w:hAnsi="Times New Roman" w:cs="Times New Roman"/>
                <w:color w:val="000000"/>
                <w:spacing w:val="4"/>
                <w:lang w:eastAsia="hr-HR"/>
              </w:rPr>
              <w:t>Vidi objašnjenje 1 pod Kriterijem 1 ex-ante uvjetovanosti T.05.1.</w:t>
            </w:r>
          </w:p>
        </w:tc>
      </w:tr>
      <w:tr w:rsidR="009B2E82" w:rsidRPr="009B2E82" w:rsidTr="009B2E82">
        <w:trPr>
          <w:trHeight w:hRule="exact" w:val="637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8"/>
              <w:rPr>
                <w:rFonts w:ascii="Times New Roman" w:hAnsi="Times New Roman" w:cs="Times New Roman"/>
                <w:i/>
                <w:color w:val="000000"/>
                <w:spacing w:val="1"/>
                <w:lang w:eastAsia="hr-HR"/>
              </w:rPr>
            </w:pPr>
            <w:r w:rsidRPr="009B2E82">
              <w:rPr>
                <w:rFonts w:ascii="Times New Roman" w:hAnsi="Times New Roman" w:cs="Times New Roman"/>
                <w:color w:val="000000"/>
                <w:spacing w:val="1"/>
                <w:lang w:eastAsia="hr-HR"/>
              </w:rPr>
              <w:t>T.06.1. - Vodni sektor: Postojanje a) politike određivanja cijene vode koja daje prikladne poticaje korisnicima da učinkovito koriste vodne resurse i b) prikladnog doprinosa različitih načina korištenja voda povratu troškova vodnih usluga po stopi koja je utvrđena u odobrenom planu upravljanja vodenim slivom za ulaganja podržana u okviru programa</w:t>
            </w:r>
          </w:p>
          <w:p w:rsidR="009B2E82" w:rsidRPr="009B2E82" w:rsidRDefault="009B2E82" w:rsidP="009B2E82">
            <w:pPr>
              <w:shd w:val="clear" w:color="auto" w:fill="FFFFFF"/>
              <w:spacing w:line="230" w:lineRule="exact"/>
              <w:ind w:right="38"/>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rPr>
                <w:rFonts w:ascii="Times New Roman" w:hAnsi="Times New Roman" w:cs="Times New Roman"/>
                <w:lang w:eastAsia="hr-HR"/>
              </w:rPr>
            </w:pPr>
            <w:r w:rsidRPr="009B2E82">
              <w:rPr>
                <w:rFonts w:ascii="Times New Roman" w:hAnsi="Times New Roman" w:cs="Times New Roman"/>
                <w:color w:val="000000"/>
                <w:spacing w:val="-1"/>
                <w:lang w:eastAsia="hr-HR"/>
              </w:rPr>
              <w:t>1 - U sektorima koje podržava EFRR, Kohezijski fond i EPFRR, država članica osigurala je doprinos različitih načina korištenja voda povratu troškova vodnih usluga sektoru u skladu s člankom 9. stavkom 1. prvom alinejom Direktive 2000/60/EZ uzimajući u obzir, ako je potrebno, društvene, ekološke i ekonomske učinke povrata kao i zemljopisne i klimatske uvjete u predmetnoj regiji ili regijama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rPr>
                <w:rFonts w:ascii="Times New Roman" w:hAnsi="Times New Roman" w:cs="Times New Roman"/>
                <w:color w:val="000000"/>
                <w:spacing w:val="1"/>
                <w:szCs w:val="24"/>
                <w:lang w:eastAsia="hr-HR"/>
              </w:rPr>
            </w:pPr>
            <w:r w:rsidRPr="009B2E82">
              <w:rPr>
                <w:rFonts w:ascii="Times New Roman" w:hAnsi="Times New Roman" w:cs="Times New Roman"/>
                <w:color w:val="000000"/>
                <w:spacing w:val="1"/>
                <w:szCs w:val="24"/>
                <w:lang w:eastAsia="hr-HR"/>
              </w:rPr>
              <w:t xml:space="preserve">• Strategija upravljanja vodama (NN 91/08) </w:t>
            </w:r>
            <w:r w:rsidRPr="009B2E82">
              <w:rPr>
                <w:rFonts w:ascii="Times New Roman" w:hAnsi="Times New Roman" w:cs="Times New Roman"/>
                <w:color w:val="000000"/>
                <w:spacing w:val="1"/>
                <w:szCs w:val="24"/>
                <w:lang w:eastAsia="hr-HR"/>
              </w:rPr>
              <w:br/>
              <w:t xml:space="preserve">• Zakon o vodama (NN 153/09, 130/11, 56/13, 14/14) - članci 5., 197. i 199.; </w:t>
            </w:r>
            <w:r w:rsidRPr="009B2E82">
              <w:rPr>
                <w:rFonts w:ascii="Times New Roman" w:hAnsi="Times New Roman" w:cs="Times New Roman"/>
                <w:color w:val="000000"/>
                <w:spacing w:val="1"/>
                <w:szCs w:val="24"/>
                <w:lang w:eastAsia="hr-HR"/>
              </w:rPr>
              <w:br/>
              <w:t xml:space="preserve">• Zakon o financiranju vodnog gospodarstva (NN 153/09, 56/13) članak 3.; </w:t>
            </w:r>
            <w:r w:rsidRPr="009B2E82">
              <w:rPr>
                <w:rFonts w:ascii="Times New Roman" w:hAnsi="Times New Roman" w:cs="Times New Roman"/>
                <w:color w:val="000000"/>
                <w:spacing w:val="1"/>
                <w:szCs w:val="24"/>
                <w:lang w:eastAsia="hr-HR"/>
              </w:rPr>
              <w:br/>
              <w:t xml:space="preserve">• Uredba Ministarstva poljoprivrede o sadržaju Plana upravljanja slivom (NN 3/11) </w:t>
            </w:r>
            <w:r w:rsidRPr="009B2E82">
              <w:rPr>
                <w:rFonts w:ascii="Times New Roman" w:hAnsi="Times New Roman" w:cs="Times New Roman"/>
                <w:color w:val="000000"/>
                <w:spacing w:val="1"/>
                <w:szCs w:val="24"/>
                <w:lang w:eastAsia="hr-HR"/>
              </w:rPr>
              <w:br/>
              <w:t xml:space="preserve">• Plan upravljanja riječnim slivom (NN 82/13) </w:t>
            </w:r>
            <w:r w:rsidRPr="009B2E82">
              <w:rPr>
                <w:rFonts w:ascii="Times New Roman" w:hAnsi="Times New Roman" w:cs="Times New Roman"/>
                <w:color w:val="000000"/>
                <w:spacing w:val="1"/>
                <w:szCs w:val="24"/>
                <w:lang w:eastAsia="hr-HR"/>
              </w:rPr>
              <w:br/>
              <w:t xml:space="preserve">• Pravilnik o referentnim vrijednostima učinkovitosti za isporučitelje vodnih usluga (NN 112/10) </w:t>
            </w:r>
            <w:r w:rsidRPr="009B2E82">
              <w:rPr>
                <w:rFonts w:ascii="Times New Roman" w:hAnsi="Times New Roman" w:cs="Times New Roman"/>
                <w:color w:val="000000"/>
                <w:spacing w:val="1"/>
                <w:szCs w:val="24"/>
                <w:lang w:eastAsia="hr-HR"/>
              </w:rPr>
              <w:br/>
              <w:t xml:space="preserve">• Uredba o najnižoj osnovnoj cijeni vodnih </w:t>
            </w:r>
          </w:p>
          <w:p w:rsidR="009B2E82" w:rsidRPr="009B2E82" w:rsidRDefault="009B2E82" w:rsidP="009B2E82">
            <w:pPr>
              <w:shd w:val="clear" w:color="auto" w:fill="FFFFFF"/>
              <w:spacing w:line="278" w:lineRule="exact"/>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Politika cijene vode odražava načelo povrata troškova vodnih usluga i načela „plaća onečišćivač"/„plaća korisnik" (prema članku 9. Okvirne direktive o vodama (ODV-a) integriran je zakonodavni okvir upravljanja vodama (vidi Referenca ). Načelo potpunog povrata troškova za sva korištenja vode ide paralelno s socijalnom pristupačnosti vodnih usluga i naglašava njegovu važnost. Provodi se određivanje poticajnih cijena za ostale kategorije osim za vodne usluge, a pojedinačni izvori i difuzno zagađenje se promatraju u sklopu okolišnog i resursnog troška. S obzirom na način prikupljanja i trošenja naknade za vodne usluge, može se zaključiti da se naknade za vodne usluge može tumačiti u kontekstu naknada vezanih uz okolišne i resursne troškove. Do neke mjere ima prostora za poboljšanja, pogotovo vezano uz metodu određivanja visine naknade tako da odražava načela ovog koncepta na precizniji način. Dodatne informacije i objašnjenja</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301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pacing w:val="-2"/>
                <w:szCs w:val="24"/>
                <w:lang w:eastAsia="hr-HR"/>
              </w:rPr>
            </w:pPr>
            <w:r w:rsidRPr="009B2E82">
              <w:rPr>
                <w:rFonts w:ascii="Times New Roman" w:hAnsi="Times New Roman" w:cs="Times New Roman"/>
                <w:color w:val="000000"/>
                <w:spacing w:val="3"/>
                <w:szCs w:val="24"/>
                <w:lang w:eastAsia="hr-HR"/>
              </w:rPr>
              <w:t xml:space="preserve">usluga i vrsti troškova koje cijena vodnih usluga pokriva </w:t>
            </w:r>
            <w:r w:rsidRPr="009B2E82">
              <w:rPr>
                <w:rFonts w:ascii="Times New Roman" w:hAnsi="Times New Roman" w:cs="Times New Roman"/>
                <w:color w:val="000000"/>
                <w:spacing w:val="-2"/>
                <w:szCs w:val="24"/>
                <w:lang w:eastAsia="hr-HR"/>
              </w:rPr>
              <w:t>(NN 112/1)</w:t>
            </w:r>
          </w:p>
          <w:p w:rsidR="009B2E82" w:rsidRPr="009B2E82" w:rsidRDefault="009B2E82" w:rsidP="009B2E82">
            <w:pPr>
              <w:shd w:val="clear" w:color="auto" w:fill="FFFFFF"/>
              <w:spacing w:line="274" w:lineRule="exact"/>
              <w:rPr>
                <w:rFonts w:ascii="Times New Roman" w:hAnsi="Times New Roman" w:cs="Times New Roman"/>
                <w:lang w:eastAsia="hr-HR"/>
              </w:rPr>
            </w:pPr>
          </w:p>
          <w:p w:rsidR="009B2E82" w:rsidRPr="009B2E82" w:rsidRDefault="009B2E82" w:rsidP="009B2E82">
            <w:pPr>
              <w:shd w:val="clear" w:color="auto" w:fill="FFFFFF"/>
              <w:spacing w:line="269" w:lineRule="exact"/>
              <w:rPr>
                <w:rFonts w:ascii="Times New Roman" w:hAnsi="Times New Roman" w:cs="Times New Roman"/>
                <w:lang w:eastAsia="hr-HR"/>
              </w:rPr>
            </w:pPr>
            <w:r w:rsidRPr="009B2E82">
              <w:rPr>
                <w:rFonts w:ascii="Times New Roman" w:hAnsi="Times New Roman" w:cs="Times New Roman"/>
                <w:color w:val="000000"/>
                <w:spacing w:val="-1"/>
                <w:szCs w:val="24"/>
                <w:lang w:eastAsia="hr-HR"/>
              </w:rPr>
              <w:t xml:space="preserve">Svi linkovi dostupni su na: </w:t>
            </w:r>
            <w:r w:rsidRPr="009B2E82">
              <w:rPr>
                <w:rFonts w:ascii="Times New Roman" w:hAnsi="Times New Roman" w:cs="Times New Roman"/>
                <w:color w:val="000000"/>
                <w:spacing w:val="-7"/>
                <w:szCs w:val="24"/>
                <w:lang w:eastAsia="hr-HR"/>
              </w:rPr>
              <w:t>http://www.voda.hr/001-945</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9"/>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i objašnjenje dostupni su u dijelu Dokumenti. </w:t>
            </w:r>
          </w:p>
          <w:p w:rsidR="009B2E82" w:rsidRPr="009B2E82" w:rsidRDefault="009B2E82" w:rsidP="009B2E82">
            <w:pPr>
              <w:shd w:val="clear" w:color="auto" w:fill="FFFFFF"/>
              <w:spacing w:line="230" w:lineRule="exact"/>
              <w:ind w:right="19"/>
              <w:jc w:val="both"/>
              <w:rPr>
                <w:rFonts w:ascii="Times New Roman" w:hAnsi="Times New Roman" w:cs="Times New Roman"/>
                <w:lang w:eastAsia="hr-HR"/>
              </w:rPr>
            </w:pPr>
          </w:p>
        </w:tc>
      </w:tr>
      <w:tr w:rsidR="009B2E82" w:rsidRPr="009B2E82" w:rsidTr="009B2E82">
        <w:trPr>
          <w:trHeight w:hRule="exact" w:val="474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8"/>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T.06.1 - Vodni sektor: Postojanje a) politike određivanja cijene vode koja daje prikladne poticaje korisnicima da učinkovito koriste vodne resurse i b) prikladnog doprinosa različitih načina korištenja voda povratu troškova vodnih usluga po stopi koja je utvrđena u odobrenom planu upravljanja vodenim slivom za ulaganja podržana u okviru programa</w:t>
            </w:r>
          </w:p>
          <w:p w:rsidR="009B2E82" w:rsidRPr="009B2E82" w:rsidRDefault="009B2E82" w:rsidP="009B2E82">
            <w:pPr>
              <w:shd w:val="clear" w:color="auto" w:fill="FFFFFF"/>
              <w:spacing w:line="230" w:lineRule="exact"/>
              <w:ind w:right="38"/>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41"/>
              <w:rPr>
                <w:rFonts w:ascii="Times New Roman" w:hAnsi="Times New Roman" w:cs="Times New Roman"/>
                <w:color w:val="000000"/>
                <w:lang w:eastAsia="hr-HR"/>
              </w:rPr>
            </w:pPr>
            <w:r w:rsidRPr="009B2E82">
              <w:rPr>
                <w:rFonts w:ascii="Times New Roman" w:hAnsi="Times New Roman" w:cs="Times New Roman"/>
                <w:color w:val="000000"/>
                <w:lang w:eastAsia="hr-HR"/>
              </w:rPr>
              <w:t>2 - Usvajanje plana upravljanja riječnim slivovima za područja riječnih slivova u skladu s člankom 13. Direktive 2000/60 EZ.</w:t>
            </w:r>
          </w:p>
          <w:p w:rsidR="009B2E82" w:rsidRPr="009B2E82" w:rsidRDefault="009B2E82" w:rsidP="009B2E82">
            <w:pPr>
              <w:shd w:val="clear" w:color="auto" w:fill="FFFFFF"/>
              <w:spacing w:line="230" w:lineRule="exact"/>
              <w:ind w:right="341"/>
              <w:rPr>
                <w:rFonts w:ascii="Times New Roman" w:hAnsi="Times New Roman" w:cs="Times New Roman"/>
                <w:color w:val="000000"/>
                <w:lang w:eastAsia="hr-HR"/>
              </w:rPr>
            </w:pPr>
          </w:p>
          <w:p w:rsidR="009B2E82" w:rsidRPr="009B2E82" w:rsidRDefault="009B2E82" w:rsidP="009B2E82">
            <w:pPr>
              <w:shd w:val="clear" w:color="auto" w:fill="FFFFFF"/>
              <w:spacing w:line="230" w:lineRule="exact"/>
              <w:ind w:right="341"/>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zCs w:val="24"/>
                <w:lang w:eastAsia="hr-HR"/>
              </w:rPr>
            </w:pPr>
            <w:r w:rsidRPr="009B2E82">
              <w:rPr>
                <w:rFonts w:ascii="Times New Roman" w:hAnsi="Times New Roman" w:cs="Times New Roman"/>
                <w:b/>
                <w:color w:val="000000"/>
                <w:szCs w:val="24"/>
                <w:lang w:eastAsia="hr-HR"/>
              </w:rPr>
              <w:t>Plan upravljanja riječnim slivovima</w:t>
            </w:r>
            <w:r w:rsidRPr="009B2E82">
              <w:rPr>
                <w:rFonts w:ascii="Times New Roman" w:hAnsi="Times New Roman" w:cs="Times New Roman"/>
                <w:color w:val="000000"/>
                <w:szCs w:val="24"/>
                <w:lang w:eastAsia="hr-HR"/>
              </w:rPr>
              <w:t xml:space="preserve"> (NN 82/13) http://narodne-novine.nn.hr/clanci/sluzbeni/2013_06_82_1737.html </w:t>
            </w:r>
            <w:r w:rsidRPr="009B2E82">
              <w:rPr>
                <w:rFonts w:ascii="Times New Roman" w:hAnsi="Times New Roman" w:cs="Times New Roman"/>
                <w:color w:val="000000"/>
                <w:szCs w:val="24"/>
                <w:lang w:eastAsia="hr-HR"/>
              </w:rPr>
              <w:br/>
            </w:r>
            <w:r w:rsidRPr="009B2E82">
              <w:rPr>
                <w:rFonts w:ascii="Times New Roman" w:hAnsi="Times New Roman" w:cs="Times New Roman"/>
                <w:b/>
                <w:color w:val="000000"/>
                <w:szCs w:val="24"/>
                <w:lang w:eastAsia="hr-HR"/>
              </w:rPr>
              <w:t>Zakon o vodama</w:t>
            </w:r>
            <w:r w:rsidRPr="009B2E82">
              <w:rPr>
                <w:rFonts w:ascii="Times New Roman" w:hAnsi="Times New Roman" w:cs="Times New Roman"/>
                <w:color w:val="000000"/>
                <w:szCs w:val="24"/>
                <w:lang w:eastAsia="hr-HR"/>
              </w:rPr>
              <w:t xml:space="preserve"> (NN 153/09, 130/11, 56/13, 14/14) - Članak 5., 197. i 199.; </w:t>
            </w:r>
            <w:r w:rsidRPr="009B2E82">
              <w:rPr>
                <w:rFonts w:ascii="Times New Roman" w:hAnsi="Times New Roman" w:cs="Times New Roman"/>
                <w:color w:val="000000"/>
                <w:szCs w:val="24"/>
                <w:lang w:eastAsia="hr-HR"/>
              </w:rPr>
              <w:br/>
              <w:t xml:space="preserve">Pravilnik o standardima kakvoće voda (NN 73/13) </w:t>
            </w:r>
            <w:r w:rsidRPr="009B2E82">
              <w:rPr>
                <w:rFonts w:ascii="Times New Roman" w:hAnsi="Times New Roman" w:cs="Times New Roman"/>
                <w:color w:val="000000"/>
                <w:szCs w:val="24"/>
                <w:lang w:eastAsia="hr-HR"/>
              </w:rPr>
              <w:br/>
              <w:t>Pravilnik o posebnim uvjetima za obavljanje djelatnosti uzimanja uzoraka i ispitivanja voda (NN 74/13).</w:t>
            </w:r>
          </w:p>
          <w:p w:rsidR="009B2E82" w:rsidRPr="009B2E82" w:rsidRDefault="009B2E82" w:rsidP="009B2E82">
            <w:pPr>
              <w:shd w:val="clear" w:color="auto" w:fill="FFFFFF"/>
              <w:spacing w:line="274" w:lineRule="exact"/>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PURS je usvojen je u lipnju 2013. Pravne osnove, područje rada, vrsta i način ispitivanja stanja voda regulirani su Zakonom o vodama i pratećim podzakonima (vidi referencu). Hrvatske vode nadležne su za provedbu i praćenje stanja voda a njihov Glavni vodoopskrbni laboratorij (GVL) službeni je laboratorij za uzimanje uzoraka i analizu. Osim GVL-a, ovlašteni laboratoriji za suradnju također izvršavaju uzimanje uzoraka i ispitivanja voda za određene pokazatelje ili grupe parametara. Nadzorna je mreža postavljena s nadzornim točkama navedenima i skiciranima u PURS-u, ali ne pokriva sve točke i parametre; kompletni i sustavni klasifikacijski sustav bit će uspostavljen do 2015.</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196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69" w:lineRule="exact"/>
              <w:ind w:right="19"/>
              <w:jc w:val="both"/>
              <w:rPr>
                <w:rFonts w:ascii="Times New Roman" w:hAnsi="Times New Roman" w:cs="Times New Roman"/>
                <w:lang w:eastAsia="hr-HR"/>
              </w:rPr>
            </w:pPr>
            <w:r w:rsidRPr="009B2E82">
              <w:rPr>
                <w:rFonts w:ascii="Times New Roman" w:hAnsi="Times New Roman" w:cs="Times New Roman"/>
                <w:color w:val="000000"/>
                <w:spacing w:val="29"/>
                <w:szCs w:val="24"/>
                <w:lang w:eastAsia="hr-HR"/>
              </w:rPr>
              <w:t xml:space="preserve">Dokumenti dostupni na: </w:t>
            </w:r>
            <w:r w:rsidRPr="009B2E82">
              <w:rPr>
                <w:rFonts w:ascii="Times New Roman" w:hAnsi="Times New Roman" w:cs="Times New Roman"/>
                <w:color w:val="000000"/>
                <w:spacing w:val="-7"/>
                <w:szCs w:val="24"/>
                <w:lang w:eastAsia="hr-HR"/>
              </w:rPr>
              <w:t>http://www.voda.hr/001-945</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Popis ciljeva zaštite okoliša za tijela vodnog gospodarstva dio su PURS-a usvojenog u lipnju 2013., kao i popis kandidata za izuzeće od standardnog cilja: „postizanje dobrog stanja do kraja 2015. Dodatne informacije i objašnjenje dostupni su u dijelu Dokumenti.</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500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45"/>
              <w:rPr>
                <w:rFonts w:ascii="Times New Roman" w:hAnsi="Times New Roman" w:cs="Times New Roman"/>
                <w:color w:val="000000"/>
                <w:spacing w:val="-2"/>
                <w:lang w:eastAsia="hr-HR"/>
              </w:rPr>
            </w:pPr>
            <w:r w:rsidRPr="009B2E82">
              <w:rPr>
                <w:rFonts w:ascii="Times New Roman" w:hAnsi="Times New Roman" w:cs="Times New Roman"/>
                <w:color w:val="000000"/>
                <w:spacing w:val="1"/>
                <w:lang w:eastAsia="hr-HR"/>
              </w:rPr>
              <w:t>T.06.2 - Sektor otpada: Promicanje gospodarski i ekološki održivih ulaganja u sektor otpada posebno razvojem planova gospodarenja otpadom u skladu s Direktivom 2008/98/EZ o otpadu i s hijerarhijom otpada</w:t>
            </w:r>
            <w:r w:rsidRPr="009B2E82">
              <w:rPr>
                <w:rFonts w:ascii="Times New Roman" w:hAnsi="Times New Roman" w:cs="Times New Roman"/>
                <w:i/>
                <w:color w:val="000000"/>
                <w:spacing w:val="1"/>
                <w:lang w:eastAsia="hr-HR"/>
              </w:rPr>
              <w:t>.</w:t>
            </w:r>
            <w:r w:rsidRPr="009B2E82">
              <w:rPr>
                <w:rFonts w:ascii="Times New Roman" w:hAnsi="Times New Roman" w:cs="Times New Roman"/>
                <w:color w:val="000000"/>
                <w:spacing w:val="-2"/>
                <w:lang w:eastAsia="hr-HR"/>
              </w:rPr>
              <w:t xml:space="preserve"> </w:t>
            </w:r>
          </w:p>
          <w:p w:rsidR="009B2E82" w:rsidRPr="009B2E82" w:rsidRDefault="009B2E82" w:rsidP="009B2E82">
            <w:pPr>
              <w:shd w:val="clear" w:color="auto" w:fill="FFFFFF"/>
              <w:spacing w:line="230" w:lineRule="exact"/>
              <w:ind w:right="245"/>
              <w:rPr>
                <w:rFonts w:ascii="Times New Roman" w:hAnsi="Times New Roman" w:cs="Times New Roman"/>
                <w:color w:val="000000"/>
                <w:spacing w:val="-2"/>
                <w:lang w:eastAsia="hr-HR"/>
              </w:rPr>
            </w:pPr>
          </w:p>
          <w:p w:rsidR="009B2E82" w:rsidRPr="009B2E82" w:rsidRDefault="009B2E82" w:rsidP="009B2E82">
            <w:pPr>
              <w:shd w:val="clear" w:color="auto" w:fill="FFFFFF"/>
              <w:spacing w:line="230" w:lineRule="exact"/>
              <w:ind w:right="245"/>
              <w:rPr>
                <w:rFonts w:ascii="Times New Roman" w:hAnsi="Times New Roman" w:cs="Times New Roman"/>
                <w:color w:val="000000"/>
                <w:spacing w:val="-2"/>
                <w:lang w:eastAsia="hr-HR"/>
              </w:rPr>
            </w:pPr>
          </w:p>
          <w:p w:rsidR="009B2E82" w:rsidRPr="009B2E82" w:rsidRDefault="009B2E82" w:rsidP="009B2E82">
            <w:pPr>
              <w:shd w:val="clear" w:color="auto" w:fill="FFFFFF"/>
              <w:spacing w:line="230" w:lineRule="exact"/>
              <w:ind w:right="245"/>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1"/>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1 - Komisiji je predano izvješće o provedbi u skladu s člankom 11. stavkom 5. Direktive 2008/98/EZ vezan uz napredak prema ispunjavanju ciljeva iz članka 11. Direktive 2008/98/EZ </w:t>
            </w:r>
          </w:p>
          <w:p w:rsidR="009B2E82" w:rsidRPr="009B2E82" w:rsidRDefault="009B2E82" w:rsidP="009B2E82">
            <w:pPr>
              <w:shd w:val="clear" w:color="auto" w:fill="FFFFFF"/>
              <w:spacing w:line="230" w:lineRule="exact"/>
              <w:ind w:right="101"/>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zCs w:val="24"/>
                <w:lang w:eastAsia="hr-HR"/>
              </w:rPr>
            </w:pPr>
            <w:r w:rsidRPr="009B2E82">
              <w:rPr>
                <w:rFonts w:ascii="Times New Roman" w:hAnsi="Times New Roman" w:cs="Times New Roman"/>
                <w:color w:val="000000"/>
                <w:szCs w:val="24"/>
                <w:lang w:eastAsia="hr-HR"/>
              </w:rPr>
              <w:t xml:space="preserve">Članak 13. Zakona o održivom gospodarenju otpadom </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szCs w:val="24"/>
                <w:lang w:eastAsia="hr-HR"/>
              </w:rPr>
              <w:t xml:space="preserve"> </w:t>
            </w:r>
            <w:r w:rsidRPr="009B2E82">
              <w:rPr>
                <w:rFonts w:ascii="Times New Roman" w:hAnsi="Times New Roman" w:cs="Times New Roman"/>
                <w:color w:val="000000"/>
                <w:szCs w:val="24"/>
                <w:lang w:eastAsia="hr-HR"/>
              </w:rPr>
              <w:t xml:space="preserve">(NN br.  94/13) </w:t>
            </w:r>
            <w:r w:rsidRPr="009B2E82">
              <w:rPr>
                <w:rFonts w:ascii="Times New Roman" w:hAnsi="Times New Roman" w:cs="Times New Roman"/>
                <w:color w:val="000000"/>
                <w:spacing w:val="-3"/>
                <w:szCs w:val="24"/>
                <w:lang w:eastAsia="hr-HR"/>
              </w:rPr>
              <w:t>(http://www.mzoip.hr/doc/Propisi/Act_sustainable_waste_management.pdf</w:t>
            </w:r>
            <w:r w:rsidRPr="009B2E82">
              <w:rPr>
                <w:rFonts w:ascii="Times New Roman" w:hAnsi="Times New Roman" w:cs="Times New Roman"/>
                <w:color w:val="000000"/>
                <w:spacing w:val="-2"/>
                <w:szCs w:val="24"/>
                <w:lang w:eastAsia="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Člankom 13. Zakona o održivom gospodarenju otpadom (NN br. 94/13) imenuje se hrvatska Agencija za zaštitu okoliša nadležnim tijelom za koordinaciju izvještavanja i izvještavanje o provedbi Direktive 2008/98 /EZ. </w:t>
            </w:r>
          </w:p>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br/>
              <w:t xml:space="preserve">Slijedeći taj zahtjev, Hrvatska agencija za zaštitu okoliša podnijela je Izvješće o provedbi Komisiji (Eurostat) putem internetskog portala eDAMIS 22. listopada 2013. Potvrda podnošenja zaseban je dokument koji je priložen ovoj tablici. </w:t>
            </w:r>
          </w:p>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color w:val="000000"/>
                <w:spacing w:val="1"/>
                <w:lang w:eastAsia="hr-HR"/>
              </w:rPr>
              <w:br/>
              <w:t>Izvješće sadrži podatke o napretku u skladu s zahtjevima članka 11.</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Kriteriji </w:t>
            </w:r>
            <w:r w:rsidRPr="009B2E82">
              <w:rPr>
                <w:rFonts w:ascii="Times New Roman" w:hAnsi="Times New Roman" w:cs="Times New Roman"/>
                <w:b/>
                <w:bCs/>
                <w:color w:val="000000"/>
                <w:spacing w:val="-1"/>
                <w:lang w:eastAsia="hr-HR"/>
              </w:rPr>
              <w:t>ispunjeni</w:t>
            </w:r>
            <w:r w:rsidRPr="009B2E82">
              <w:rPr>
                <w:rFonts w:ascii="Times New Roman" w:hAnsi="Times New Roman" w:cs="Times New Roman"/>
                <w:b/>
                <w:bCs/>
                <w:color w:val="000000"/>
                <w:spacing w:val="-1"/>
                <w:lang w:eastAsia="hr-HR"/>
              </w:rPr>
              <w:br/>
            </w: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Objašnjenja</w:t>
            </w:r>
          </w:p>
        </w:tc>
      </w:tr>
      <w:tr w:rsidR="009B2E82" w:rsidRPr="009B2E82" w:rsidTr="009B2E82">
        <w:trPr>
          <w:trHeight w:hRule="exact" w:val="776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245"/>
              <w:rPr>
                <w:rFonts w:ascii="Times New Roman" w:hAnsi="Times New Roman" w:cs="Times New Roman"/>
                <w:lang w:eastAsia="hr-HR"/>
              </w:rPr>
            </w:pPr>
            <w:r w:rsidRPr="009B2E82">
              <w:rPr>
                <w:rFonts w:ascii="Times New Roman" w:hAnsi="Times New Roman" w:cs="Times New Roman"/>
                <w:color w:val="000000"/>
                <w:spacing w:val="1"/>
                <w:lang w:eastAsia="hr-HR"/>
              </w:rPr>
              <w:t>T.06.2 - Sektor otpada: Promicanje gospodarski i ekološki održivih ulaganja u sektor otpada posebno razvojem planova gospodarenja otpadom u skladu s Direktivom 2008/98/EZ o otpadu i s hijerarhijom otpada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39"/>
              <w:rPr>
                <w:rFonts w:ascii="Times New Roman" w:hAnsi="Times New Roman" w:cs="Times New Roman"/>
                <w:lang w:eastAsia="hr-HR"/>
              </w:rPr>
            </w:pPr>
            <w:r w:rsidRPr="009B2E82">
              <w:rPr>
                <w:rFonts w:ascii="Times New Roman" w:hAnsi="Times New Roman" w:cs="Times New Roman"/>
                <w:color w:val="000000"/>
                <w:spacing w:val="-1"/>
                <w:lang w:eastAsia="hr-HR"/>
              </w:rPr>
              <w:t>2 – Postojanje jednog ili više planova gospodarenja otpadom u skladu s člankom 28. Direktive 2008/98/EZ;</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pacing w:val="-1"/>
                <w:lang w:eastAsia="hr-HR"/>
              </w:rPr>
            </w:pPr>
            <w:r w:rsidRPr="009B2E82">
              <w:rPr>
                <w:rFonts w:ascii="Times New Roman" w:hAnsi="Times New Roman" w:cs="Times New Roman"/>
                <w:color w:val="000000"/>
                <w:spacing w:val="5"/>
                <w:lang w:eastAsia="hr-HR"/>
              </w:rPr>
              <w:t xml:space="preserve">Strategije gospodarenja otpadom </w:t>
            </w:r>
            <w:r w:rsidRPr="009B2E82">
              <w:rPr>
                <w:rFonts w:ascii="Times New Roman" w:hAnsi="Times New Roman" w:cs="Times New Roman"/>
                <w:color w:val="000000"/>
                <w:spacing w:val="-1"/>
                <w:lang w:eastAsia="hr-HR"/>
              </w:rPr>
              <w:t>RH (NN 130/05) - http://narodne-novine.nn.hr/clanci/sluzbeni/289920.html)</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lang w:eastAsia="hr-HR"/>
              </w:rPr>
              <w:t>Zakon o otpadu (NN 178/04)  -</w:t>
            </w:r>
            <w:r w:rsidRPr="009B2E82">
              <w:rPr>
                <w:rFonts w:ascii="Times New Roman" w:hAnsi="Times New Roman" w:cs="Times New Roman"/>
                <w:color w:val="000000"/>
                <w:spacing w:val="-1"/>
                <w:lang w:eastAsia="hr-HR"/>
              </w:rPr>
              <w:t>http://narodne-novine.nn.hr/clanci/sluzbeni/313723.html</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lang w:eastAsia="hr-HR"/>
              </w:rPr>
              <w:t>Informacije o planovima GO-a razvijenih do sada na svim razinama dostupni su na http://www.azo.hr/PlanoviGospodarenjaOtpadom01</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lang w:eastAsia="hr-HR"/>
              </w:rPr>
              <w:t xml:space="preserve">Zakon o održivom gospodarenju otpadom </w:t>
            </w:r>
            <w:r w:rsidRPr="009B2E82">
              <w:rPr>
                <w:rFonts w:ascii="Times New Roman" w:hAnsi="Times New Roman" w:cs="Times New Roman"/>
                <w:color w:val="000000"/>
                <w:lang w:eastAsia="hr-HR"/>
              </w:rPr>
              <w:t xml:space="preserve">(NN 94/13) </w:t>
            </w:r>
            <w:r w:rsidRPr="009B2E82">
              <w:rPr>
                <w:rFonts w:ascii="Times New Roman" w:hAnsi="Times New Roman" w:cs="Times New Roman"/>
                <w:color w:val="000000"/>
                <w:spacing w:val="-3"/>
                <w:lang w:eastAsia="hr-HR"/>
              </w:rPr>
              <w:t>http://www.mzoip.hr/doc/Propisi/Act_sustainable_waste_management.pdf)</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Na snazi su Plan gospodarenja otpadom (PGO) za područje Republike Hrvatske 2007.-2015. i odgovarajući Planovi gospodarenja otpadom za svaku županiju​​. Svi planovi u skladu su sa Strategijom gospodarenja otpadom RH i Zakona o otpadu. Članci 9., 10. i 11. Zakona o otpadu propisuju sadržaj nacionalnih, županijskih i lokalnih PGO-a navedenim redoslijedom. Svi ovi planovi sadrže podatke određene Direktivom. </w:t>
            </w:r>
          </w:p>
          <w:p w:rsidR="009B2E82" w:rsidRPr="009B2E82" w:rsidRDefault="009B2E82" w:rsidP="009B2E82">
            <w:pPr>
              <w:shd w:val="clear" w:color="auto" w:fill="FFFFFF"/>
              <w:spacing w:line="226"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br/>
              <w:t xml:space="preserve">PGO planovi ostat će na snazi ​​do kraja 2015., budući da je razdoblje planiranja bilo od 2007. do 2015. </w:t>
            </w:r>
          </w:p>
          <w:p w:rsidR="009B2E82" w:rsidRPr="009B2E82" w:rsidRDefault="009B2E82" w:rsidP="009B2E82">
            <w:pPr>
              <w:shd w:val="clear" w:color="auto" w:fill="FFFFFF"/>
              <w:spacing w:line="226"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br/>
              <w:t xml:space="preserve">Započele su pripremne aktivnosti za izradu novog PGO-a za sljedeće plansko razdoblje (šest godina). Sadržaj novih planova propisan je u Člancima 17., 21., i 22. postojećeg Zakona o održivom gospodarenju otpadom (NN 94/13). Propisani sadržaj obuhvaća sve relevantne i obavezne elemente kao što stoji u Članku 28. Direktive 2008/98/EZ. </w:t>
            </w:r>
            <w:r w:rsidRPr="009B2E82">
              <w:rPr>
                <w:rFonts w:ascii="Times New Roman" w:hAnsi="Times New Roman" w:cs="Times New Roman"/>
                <w:color w:val="000000"/>
                <w:lang w:eastAsia="hr-HR"/>
              </w:rPr>
              <w:br/>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color w:val="000000"/>
                <w:lang w:eastAsia="hr-HR"/>
              </w:rPr>
              <w:t>Dodatne informacije i objašnjenje dostupni su u dijelu Dokumenti.</w:t>
            </w:r>
          </w:p>
        </w:tc>
      </w:tr>
    </w:tbl>
    <w:p w:rsidR="009B2E82" w:rsidRPr="009B2E82" w:rsidRDefault="009B2E82" w:rsidP="009B2E82">
      <w:pPr>
        <w:widowControl w:val="0"/>
        <w:shd w:val="clear" w:color="auto" w:fill="FFFFFF"/>
        <w:autoSpaceDE w:val="0"/>
        <w:autoSpaceDN w:val="0"/>
        <w:adjustRightInd w:val="0"/>
        <w:spacing w:after="0" w:line="274" w:lineRule="exact"/>
        <w:ind w:left="826" w:right="2208"/>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uvjetovanost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344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245"/>
              <w:rPr>
                <w:rFonts w:ascii="Times New Roman" w:hAnsi="Times New Roman" w:cs="Times New Roman"/>
                <w:lang w:eastAsia="hr-HR"/>
              </w:rPr>
            </w:pPr>
            <w:r w:rsidRPr="009B2E82">
              <w:rPr>
                <w:rFonts w:ascii="Times New Roman" w:hAnsi="Times New Roman" w:cs="Times New Roman"/>
                <w:color w:val="000000"/>
                <w:spacing w:val="1"/>
                <w:lang w:eastAsia="hr-HR"/>
              </w:rPr>
              <w:t>T.06.2 - Sektor otpada: promicanje ekonomičnog i ekološki održivog ulaganja u sektoru gospodarenja otpadom, posebice kroz razvoj planova gospodarenja otpadom u skladu s Direktivom 2008/98/EZ i hijerarhijom otpada</w:t>
            </w:r>
            <w:r w:rsidRPr="009B2E82">
              <w:rPr>
                <w:rFonts w:ascii="Times New Roman" w:hAnsi="Times New Roman" w:cs="Times New Roman"/>
                <w:color w:val="000000"/>
                <w:spacing w:val="-2"/>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54"/>
              <w:rPr>
                <w:rFonts w:ascii="Times New Roman" w:hAnsi="Times New Roman" w:cs="Times New Roman"/>
                <w:color w:val="000000"/>
                <w:spacing w:val="-1"/>
                <w:lang w:eastAsia="hr-HR"/>
              </w:rPr>
            </w:pPr>
            <w:r w:rsidRPr="009B2E82">
              <w:rPr>
                <w:rFonts w:ascii="Times New Roman" w:hAnsi="Times New Roman" w:cs="Times New Roman"/>
                <w:color w:val="000000"/>
                <w:lang w:eastAsia="hr-HR"/>
              </w:rPr>
              <w:t xml:space="preserve">3 - Postojanje programa gospodarenja otpadom, u skladu sa zahtjevima članka 29. Direktive </w:t>
            </w:r>
            <w:r w:rsidRPr="009B2E82">
              <w:rPr>
                <w:rFonts w:ascii="Times New Roman" w:hAnsi="Times New Roman" w:cs="Times New Roman"/>
                <w:color w:val="000000"/>
                <w:spacing w:val="-1"/>
                <w:lang w:eastAsia="hr-HR"/>
              </w:rPr>
              <w:t xml:space="preserve">2008/98/EZ; </w:t>
            </w:r>
          </w:p>
          <w:p w:rsidR="009B2E82" w:rsidRPr="009B2E82" w:rsidRDefault="009B2E82" w:rsidP="009B2E82">
            <w:pPr>
              <w:shd w:val="clear" w:color="auto" w:fill="FFFFFF"/>
              <w:spacing w:line="230" w:lineRule="exact"/>
              <w:ind w:right="154"/>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ind w:right="154"/>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ind w:right="154"/>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Program za smanjivanje i sprečavanje nastanka otpada na državnoj razini bit će pripremljen zajedno s novim Nacionalnom planom gospodarenja otpadom za razdoblje 2015. - 2021., kao sastavni dio novog Plana. Sadržaj Programa za smanjivanje i sprečavanje nastanka otpada propisan je člancima 17. i 18. Zakona o održivom upravljanju otpadom (NN 94/13), a mora sadržavati ciljeve sprečavanja otpada i mjere potrebne za postizanje ciljeva minimaliziranja otpada i sprečavanja nastanka otpada.</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508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245"/>
              <w:rPr>
                <w:rFonts w:ascii="Times New Roman" w:hAnsi="Times New Roman" w:cs="Times New Roman"/>
                <w:lang w:eastAsia="hr-HR"/>
              </w:rPr>
            </w:pPr>
            <w:r w:rsidRPr="009B2E82">
              <w:rPr>
                <w:rFonts w:ascii="Times New Roman" w:hAnsi="Times New Roman" w:cs="Times New Roman"/>
                <w:color w:val="000000"/>
                <w:spacing w:val="1"/>
                <w:lang w:eastAsia="hr-HR"/>
              </w:rPr>
              <w:t>T.06.2 - Sektor otpada: promicanje ekonomičnog i ekološki održivog ulaganja u sektoru gospodarenja otpadom, posebice kroz razvoj planova gospodarenja otpadom u skladu s Direktivom 2008/98/EZ i hijerarhijom otpada</w:t>
            </w:r>
            <w:r w:rsidRPr="009B2E82">
              <w:rPr>
                <w:rFonts w:ascii="Times New Roman" w:hAnsi="Times New Roman" w:cs="Times New Roman"/>
                <w:color w:val="000000"/>
                <w:spacing w:val="-2"/>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78"/>
              <w:rPr>
                <w:rFonts w:ascii="Times New Roman" w:hAnsi="Times New Roman" w:cs="Times New Roman"/>
                <w:lang w:eastAsia="hr-HR"/>
              </w:rPr>
            </w:pPr>
            <w:r w:rsidRPr="009B2E82">
              <w:rPr>
                <w:rFonts w:ascii="Times New Roman" w:hAnsi="Times New Roman" w:cs="Times New Roman"/>
                <w:color w:val="000000"/>
                <w:spacing w:val="-1"/>
                <w:lang w:eastAsia="hr-HR"/>
              </w:rPr>
              <w:t>4 - Donesene su nužne mjere za ispunjenje ciljeva vezanih uz pripremu za ponovnu uporabu i recikliranje do 2020. u skladu sa stavkom 2. člankom 11. Direktive 2008/98/EZ.</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Zakon o održivom gospodarenju otpadom (</w:t>
            </w:r>
            <w:r w:rsidRPr="009B2E82">
              <w:rPr>
                <w:rFonts w:ascii="Times New Roman" w:hAnsi="Times New Roman" w:cs="Times New Roman"/>
                <w:color w:val="000000"/>
                <w:spacing w:val="8"/>
                <w:sz w:val="24"/>
                <w:szCs w:val="24"/>
                <w:lang w:eastAsia="hr-HR"/>
              </w:rPr>
              <w:t>NN br. 94/13) -</w:t>
            </w:r>
            <w:r w:rsidRPr="009B2E82">
              <w:rPr>
                <w:rFonts w:ascii="Times New Roman" w:hAnsi="Times New Roman" w:cs="Times New Roman"/>
                <w:color w:val="000000"/>
                <w:spacing w:val="-1"/>
                <w:sz w:val="24"/>
                <w:szCs w:val="24"/>
                <w:lang w:eastAsia="hr-HR"/>
              </w:rPr>
              <w:t>http://www.mzoip.hr/doc/Propis i/Act_sustainable_waste_manag</w:t>
            </w:r>
            <w:r w:rsidRPr="009B2E82">
              <w:rPr>
                <w:rFonts w:ascii="Times New Roman" w:hAnsi="Times New Roman" w:cs="Times New Roman"/>
                <w:color w:val="000000"/>
                <w:spacing w:val="-2"/>
                <w:sz w:val="24"/>
                <w:szCs w:val="24"/>
                <w:lang w:eastAsia="hr-HR"/>
              </w:rPr>
              <w:t>ement.pdf</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 xml:space="preserve">Članci 27. i 29. Zakona o održivom gospodarenju otpadom propisuju naknadu za odlaganje otpada u obliku novog poreza za odlagališta otpada  koja će se primjenjivati </w:t>
            </w:r>
            <w:r w:rsidRPr="009B2E82">
              <w:rPr>
                <w:rFonts w:ascii="Cambria Math" w:hAnsi="Cambria Math" w:cs="Cambria Math"/>
                <w:lang w:eastAsia="hr-HR"/>
              </w:rPr>
              <w:t>​​</w:t>
            </w:r>
            <w:r w:rsidRPr="009B2E82">
              <w:rPr>
                <w:rFonts w:ascii="Times New Roman" w:hAnsi="Times New Roman" w:cs="Times New Roman"/>
                <w:lang w:eastAsia="hr-HR"/>
              </w:rPr>
              <w:t xml:space="preserve">u slučajevima kada količina odloženog otpada prijeđe dopuštenu količinu odloženog otpada. Zakon također propisuje dodatni porez za poticanje jedinica lokalne samouprave na  smanjivanje količine proizvedenog otpada. Razvijaju se propisi o korištenju otpada za dobivanje energije i spaljivanju, uključujući razmatranja uvođenja tarifne politike spaljivanja. Što se tiče sheme plaćanja u skladu s čl. 33. Zakona, pružatelj usluga će teretiti korisnika javne usluge naknadom koja je proporcionalna količini otpada dostavljenog tijekom obračunskog razdoblja. </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val="212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color w:val="000000"/>
                <w:spacing w:val="2"/>
                <w:lang w:eastAsia="hr-HR"/>
              </w:rPr>
              <w:t>Sustav odlaganja za određene vrste otpada određen je u skladu s procedurama i ciljevima u skladu s  člankom 53. Zakona. Članak 35. Zakona donosi sve potrebne mjere za postizanje cilja ponovne uporabe i recikliranja za 2020. Dodatne informacije i objašnjenje dostupni su u dijelu Dokumenti</w:t>
            </w:r>
            <w:r w:rsidRPr="009B2E82">
              <w:rPr>
                <w:rFonts w:ascii="Times New Roman" w:hAnsi="Times New Roman" w:cs="Times New Roman"/>
                <w:lang w:eastAsia="hr-HR"/>
              </w:rPr>
              <w:t>.</w:t>
            </w:r>
          </w:p>
        </w:tc>
      </w:tr>
      <w:tr w:rsidR="009B2E82" w:rsidRPr="009B2E82" w:rsidTr="009B2E82">
        <w:trPr>
          <w:trHeight w:hRule="exact" w:val="568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48"/>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T.07.1 - Promet:  Postojanje sveobuhvatnih planova ili okvira za ulaganja u promet u skladu s institucionalnim ustrojstvom države članice (uključujući javni prijevoz na regionalnoj i lokalnoj razini) koji podupiru razvoj infrastrukture i poboljšavaju povezanost sa sveobuhvatnim i osnovnim mrežama TEN-T. </w:t>
            </w:r>
          </w:p>
          <w:p w:rsidR="009B2E82" w:rsidRPr="009B2E82" w:rsidRDefault="009B2E82" w:rsidP="009B2E82">
            <w:pPr>
              <w:shd w:val="clear" w:color="auto" w:fill="FFFFFF"/>
              <w:spacing w:line="226" w:lineRule="exact"/>
              <w:ind w:right="48"/>
              <w:rPr>
                <w:rFonts w:ascii="Times New Roman" w:hAnsi="Times New Roman" w:cs="Times New Roman"/>
                <w:color w:val="000000"/>
                <w:spacing w:val="-1"/>
                <w:lang w:eastAsia="hr-HR"/>
              </w:rPr>
            </w:pPr>
          </w:p>
          <w:p w:rsidR="009B2E82" w:rsidRPr="009B2E82" w:rsidRDefault="009B2E82" w:rsidP="009B2E82">
            <w:pPr>
              <w:shd w:val="clear" w:color="auto" w:fill="FFFFFF"/>
              <w:spacing w:line="226" w:lineRule="exact"/>
              <w:ind w:right="48"/>
              <w:rPr>
                <w:rFonts w:ascii="Times New Roman" w:hAnsi="Times New Roman" w:cs="Times New Roman"/>
                <w:color w:val="000000"/>
                <w:spacing w:val="-1"/>
                <w:lang w:eastAsia="hr-HR"/>
              </w:rPr>
            </w:pPr>
          </w:p>
          <w:p w:rsidR="009B2E82" w:rsidRPr="009B2E82" w:rsidRDefault="009B2E82" w:rsidP="009B2E82">
            <w:pPr>
              <w:shd w:val="clear" w:color="auto" w:fill="FFFFFF"/>
              <w:spacing w:line="226" w:lineRule="exact"/>
              <w:ind w:right="48"/>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48"/>
              <w:rPr>
                <w:rFonts w:ascii="Times New Roman" w:hAnsi="Times New Roman" w:cs="Times New Roman"/>
                <w:lang w:eastAsia="hr-HR"/>
              </w:rPr>
            </w:pPr>
            <w:r w:rsidRPr="009B2E82">
              <w:rPr>
                <w:rFonts w:ascii="Times New Roman" w:hAnsi="Times New Roman" w:cs="Times New Roman"/>
                <w:color w:val="000000"/>
                <w:spacing w:val="-1"/>
                <w:lang w:eastAsia="hr-HR"/>
              </w:rPr>
              <w:t>1 - Postojanje sveobuhvatnih planova ili okvira za ulaganje u prometni sektor koji ispunjava pravne zahtjeve za strateškom procjenom utjecaja na okoliš i utvrđuje sljedeće: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rPr>
                <w:rFonts w:ascii="Times New Roman" w:hAnsi="Times New Roman" w:cs="Times New Roman"/>
                <w:lang w:eastAsia="hr-HR"/>
              </w:rPr>
            </w:pPr>
            <w:r w:rsidRPr="009B2E82">
              <w:rPr>
                <w:rFonts w:ascii="Times New Roman" w:hAnsi="Times New Roman" w:cs="Times New Roman"/>
                <w:lang w:eastAsia="hr-HR"/>
              </w:rPr>
              <w:t xml:space="preserve">Republika Hrvatska u procesu je izrade nove Nacionalne strategije prometnog razvoja (u daljnjem tekstu: “SPR”). </w:t>
            </w:r>
            <w:r w:rsidRPr="009B2E82">
              <w:rPr>
                <w:rFonts w:ascii="Times New Roman" w:hAnsi="Times New Roman" w:cs="Times New Roman"/>
                <w:lang w:eastAsia="hr-HR"/>
              </w:rPr>
              <w:br/>
            </w:r>
          </w:p>
          <w:p w:rsidR="009B2E82" w:rsidRPr="009B2E82" w:rsidRDefault="009B2E82" w:rsidP="009B2E82">
            <w:pPr>
              <w:shd w:val="clear" w:color="auto" w:fill="FFFFFF"/>
              <w:spacing w:line="226" w:lineRule="exact"/>
              <w:ind w:right="10"/>
              <w:rPr>
                <w:rFonts w:ascii="Times New Roman" w:hAnsi="Times New Roman" w:cs="Times New Roman"/>
                <w:lang w:eastAsia="hr-HR"/>
              </w:rPr>
            </w:pPr>
            <w:r w:rsidRPr="009B2E82">
              <w:rPr>
                <w:rFonts w:ascii="Times New Roman" w:hAnsi="Times New Roman" w:cs="Times New Roman"/>
                <w:lang w:eastAsia="hr-HR"/>
              </w:rPr>
              <w:t xml:space="preserve">Ovaj proces, završno s usvajanjem SPR-a Vlade Republike Hrvatske u ovom pripremnom segmentu, bit će dovršen do kraja rujna 2014. </w:t>
            </w:r>
          </w:p>
          <w:p w:rsidR="009B2E82" w:rsidRPr="009B2E82" w:rsidRDefault="009B2E82" w:rsidP="009B2E82">
            <w:pPr>
              <w:shd w:val="clear" w:color="auto" w:fill="FFFFFF"/>
              <w:spacing w:line="226" w:lineRule="exact"/>
              <w:ind w:right="10"/>
              <w:rPr>
                <w:rFonts w:ascii="Times New Roman" w:hAnsi="Times New Roman" w:cs="Times New Roman"/>
                <w:lang w:eastAsia="hr-HR"/>
              </w:rPr>
            </w:pPr>
            <w:r w:rsidRPr="009B2E82">
              <w:rPr>
                <w:rFonts w:ascii="Times New Roman" w:hAnsi="Times New Roman" w:cs="Times New Roman"/>
                <w:lang w:eastAsia="hr-HR"/>
              </w:rPr>
              <w:t xml:space="preserve">Istovremeno s pripremom SPR-a, Republika Hrvatska pokrenut će proces izrade Nacionalnog prometnog modela. To je dogovoreno u ožujku 2014., a bit će dovršeno u ožujku 2016. </w:t>
            </w:r>
            <w:r w:rsidRPr="009B2E82">
              <w:rPr>
                <w:rFonts w:ascii="Times New Roman" w:hAnsi="Times New Roman" w:cs="Times New Roman"/>
                <w:lang w:eastAsia="hr-HR"/>
              </w:rPr>
              <w:br/>
            </w:r>
          </w:p>
          <w:p w:rsidR="009B2E82" w:rsidRPr="009B2E82" w:rsidRDefault="009B2E82" w:rsidP="009B2E82">
            <w:pPr>
              <w:shd w:val="clear" w:color="auto" w:fill="FFFFFF"/>
              <w:spacing w:line="226" w:lineRule="exact"/>
              <w:ind w:right="10"/>
              <w:rPr>
                <w:rFonts w:ascii="Times New Roman" w:hAnsi="Times New Roman" w:cs="Times New Roman"/>
                <w:lang w:eastAsia="hr-HR"/>
              </w:rPr>
            </w:pPr>
            <w:r w:rsidRPr="009B2E82">
              <w:rPr>
                <w:rFonts w:ascii="Times New Roman" w:hAnsi="Times New Roman" w:cs="Times New Roman"/>
                <w:lang w:eastAsia="hr-HR"/>
              </w:rPr>
              <w:t>Do kraja 2015. Republika Hrvatska će započeti proces izmjena i dopuna SPR-a temeljem Nacionalnog prometnog modela. Ovaj proces i usvajanje konačne verzije SPR-a u Hrvatskom saboru</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74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4"/>
                <w:lang w:eastAsia="hr-HR"/>
              </w:rPr>
            </w:pPr>
            <w:r w:rsidRPr="009B2E82">
              <w:rPr>
                <w:rFonts w:ascii="Times New Roman" w:hAnsi="Times New Roman" w:cs="Times New Roman"/>
                <w:color w:val="000000"/>
                <w:spacing w:val="4"/>
                <w:lang w:eastAsia="hr-HR"/>
              </w:rPr>
              <w:t>bit će dovršen do prosinca 2016.</w:t>
            </w:r>
          </w:p>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4"/>
                <w:lang w:eastAsia="hr-HR"/>
              </w:rPr>
            </w:pPr>
            <w:r w:rsidRPr="009B2E82">
              <w:rPr>
                <w:rFonts w:ascii="Times New Roman" w:hAnsi="Times New Roman" w:cs="Times New Roman"/>
                <w:color w:val="000000"/>
                <w:spacing w:val="4"/>
                <w:lang w:eastAsia="hr-HR"/>
              </w:rPr>
              <w:t>Molimo konzultirajte detaljni Akcijski plan za daljnji razvoj SPR-a i zrelu bazu projekata u Tablici Akcijski plan.</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603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48"/>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T.07.1 - Promet:  Postojanje sveobuhvatnih planova ili okvira za ulaganja u promet u skladu s institucionalnim ustrojstvom države članice (uključujući javni prijevoz na regionalnoj i lokalnoj razini) koji podupiru razvoj infrastrukture i poboljšavaju povezanost sa sveobuhvatnim i osnovnim mrežama TEN-T. </w:t>
            </w:r>
          </w:p>
          <w:p w:rsidR="009B2E82" w:rsidRPr="009B2E82" w:rsidRDefault="009B2E82" w:rsidP="009B2E82">
            <w:pPr>
              <w:shd w:val="clear" w:color="auto" w:fill="FFFFFF"/>
              <w:spacing w:line="230" w:lineRule="exact"/>
              <w:ind w:right="48"/>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keepNext/>
              <w:keepLines/>
              <w:shd w:val="clear" w:color="auto" w:fill="FFFFFF"/>
              <w:spacing w:before="200" w:line="230" w:lineRule="exact"/>
              <w:outlineLvl w:val="2"/>
              <w:rPr>
                <w:rFonts w:ascii="Times New Roman" w:hAnsi="Times New Roman" w:cs="Times New Roman"/>
                <w:color w:val="000000"/>
                <w:spacing w:val="-1"/>
                <w:lang w:eastAsia="hr-HR"/>
              </w:rPr>
            </w:pPr>
            <w:r w:rsidRPr="009B2E82">
              <w:rPr>
                <w:rFonts w:ascii="Times New Roman" w:hAnsi="Times New Roman" w:cs="Times New Roman"/>
                <w:color w:val="000000"/>
                <w:lang w:eastAsia="hr-HR"/>
              </w:rPr>
              <w:t xml:space="preserve">2 - </w:t>
            </w:r>
            <w:r w:rsidRPr="009B2E82">
              <w:rPr>
                <w:rFonts w:ascii="Times New Roman" w:hAnsi="Times New Roman" w:cs="Times New Roman"/>
                <w:color w:val="000000"/>
                <w:spacing w:val="-1"/>
                <w:lang w:eastAsia="hr-HR"/>
              </w:rPr>
              <w:t>Doprinos jedinstvenom Europskom prometnom području u skladu s člankom 10. Uredbe br. …/ 2013 Europskog parlamenta i Vijeća, uključujući i prioritete za ulaganja u sljedeće:</w:t>
            </w:r>
          </w:p>
          <w:p w:rsidR="009B2E82" w:rsidRPr="009B2E82" w:rsidRDefault="009B2E82" w:rsidP="009B2E82">
            <w:pPr>
              <w:shd w:val="clear" w:color="auto" w:fill="FFFFFF"/>
              <w:spacing w:line="230" w:lineRule="exact"/>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 xml:space="preserve">Republika Hrvatska u procesu je izrade nove Nacionalne strategije prometnog razvoja (u daljnjem tekstu: “SPR”). </w:t>
            </w:r>
            <w:r w:rsidRPr="009B2E82">
              <w:rPr>
                <w:rFonts w:ascii="Times New Roman" w:hAnsi="Times New Roman" w:cs="Times New Roman"/>
                <w:color w:val="000000"/>
                <w:spacing w:val="2"/>
                <w:lang w:eastAsia="hr-HR"/>
              </w:rPr>
              <w:br/>
            </w:r>
          </w:p>
          <w:p w:rsidR="009B2E82" w:rsidRPr="009B2E82" w:rsidRDefault="009B2E82" w:rsidP="009B2E82">
            <w:pPr>
              <w:shd w:val="clear" w:color="auto" w:fill="FFFFFF"/>
              <w:spacing w:line="226" w:lineRule="exact"/>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 xml:space="preserve">Ovaj proces, završno s usvajanjem SPR-a Vlade Republike Hrvatske u ovom pripremnom segmentu, bit će dovršen do kraja rujna 2014. </w:t>
            </w:r>
          </w:p>
          <w:p w:rsidR="009B2E82" w:rsidRPr="009B2E82" w:rsidRDefault="009B2E82" w:rsidP="009B2E82">
            <w:pPr>
              <w:shd w:val="clear" w:color="auto" w:fill="FFFFFF"/>
              <w:spacing w:line="226" w:lineRule="exact"/>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 xml:space="preserve">Istovremeno s pripremom SPR-a, Republika Hrvatska pokrenut će proces izrade Nacionalnog prometnog modela. To je dogovoreno u ožujku 2014., a bit će dovršeno u ožujku 2016. </w:t>
            </w:r>
            <w:r w:rsidRPr="009B2E82">
              <w:rPr>
                <w:rFonts w:ascii="Times New Roman" w:hAnsi="Times New Roman" w:cs="Times New Roman"/>
                <w:color w:val="000000"/>
                <w:spacing w:val="2"/>
                <w:lang w:eastAsia="hr-HR"/>
              </w:rPr>
              <w:br/>
            </w:r>
          </w:p>
          <w:p w:rsidR="009B2E82" w:rsidRPr="009B2E82" w:rsidRDefault="009B2E82" w:rsidP="009B2E82">
            <w:pPr>
              <w:shd w:val="clear" w:color="auto" w:fill="FFFFFF"/>
              <w:spacing w:line="226" w:lineRule="exact"/>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Do kraja 2015. Republika Hrvatska će započeti proces izmjena i dopuna SPR-a temeljem Nacionalnog prometnog modela. Ovaj proces i usvajanje konačne verzije SPR-a u Vladi Republike Hrvatske bit će dovršen do prosinca 2016.</w:t>
            </w:r>
          </w:p>
          <w:p w:rsidR="009B2E82" w:rsidRPr="009B2E82" w:rsidRDefault="009B2E82" w:rsidP="009B2E82">
            <w:pPr>
              <w:shd w:val="clear" w:color="auto" w:fill="FFFFFF"/>
              <w:spacing w:line="226" w:lineRule="exact"/>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 xml:space="preserve">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40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r w:rsidRPr="009B2E82">
              <w:rPr>
                <w:rFonts w:ascii="Times New Roman" w:hAnsi="Times New Roman" w:cs="Times New Roman"/>
                <w:color w:val="000000"/>
                <w:spacing w:val="4"/>
                <w:lang w:eastAsia="hr-HR"/>
              </w:rPr>
              <w:t>Molimo konzultirajte detaljni Akcijski plan za daljnji razvoj SPR-a i zrelu bazu projekata u Tablici Akcijski plan.</w:t>
            </w:r>
          </w:p>
        </w:tc>
      </w:tr>
      <w:tr w:rsidR="009B2E82" w:rsidRPr="009B2E82" w:rsidTr="009B2E82">
        <w:trPr>
          <w:trHeight w:hRule="exact" w:val="713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48"/>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T.07.1 - Promet:  Postojanje sveobuhvatnih planova ili okvira za ulaganja u promet u skladu s institucionalnim ustrojstvom države članice (uključujući javni prijevoz na regionalnoj i lokalnoj razini) koji podupiru razvoj infrastrukture i poboljšavaju povezanost sa sveobuhvatnim i osnovnim mrežama TEN-T. </w:t>
            </w:r>
          </w:p>
          <w:p w:rsidR="009B2E82" w:rsidRPr="009B2E82" w:rsidRDefault="009B2E82" w:rsidP="009B2E82">
            <w:pPr>
              <w:shd w:val="clear" w:color="auto" w:fill="FFFFFF"/>
              <w:spacing w:line="230" w:lineRule="exact"/>
              <w:ind w:right="48"/>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74"/>
              <w:rPr>
                <w:rFonts w:ascii="Times New Roman" w:hAnsi="Times New Roman" w:cs="Times New Roman"/>
                <w:color w:val="000000"/>
                <w:lang w:eastAsia="hr-HR"/>
              </w:rPr>
            </w:pPr>
            <w:r w:rsidRPr="009B2E82">
              <w:rPr>
                <w:rFonts w:ascii="Times New Roman" w:hAnsi="Times New Roman" w:cs="Times New Roman"/>
                <w:color w:val="000000"/>
                <w:spacing w:val="-1"/>
                <w:lang w:eastAsia="hr-HR"/>
              </w:rPr>
              <w:t xml:space="preserve">3 - </w:t>
            </w:r>
            <w:r w:rsidRPr="009B2E82">
              <w:rPr>
                <w:rFonts w:ascii="Times New Roman" w:eastAsia="Times New Roman" w:hAnsi="Times New Roman" w:cs="Times New Roman"/>
                <w:b/>
                <w:i/>
                <w:snapToGrid w:val="0"/>
                <w:sz w:val="24"/>
                <w:szCs w:val="20"/>
                <w:lang w:eastAsia="en-GB"/>
              </w:rPr>
              <w:t xml:space="preserve"> </w:t>
            </w:r>
            <w:r w:rsidRPr="009B2E82">
              <w:rPr>
                <w:rFonts w:ascii="Times New Roman" w:hAnsi="Times New Roman" w:cs="Times New Roman"/>
                <w:color w:val="000000"/>
                <w:spacing w:val="-1"/>
                <w:lang w:eastAsia="hr-HR"/>
              </w:rPr>
              <w:t>osnovnu mrežu TEN-T i sveobuhvatnu mrežu kada su predviđena ulaganja iz EFRR-a i KF-a; i</w:t>
            </w:r>
          </w:p>
          <w:p w:rsidR="009B2E82" w:rsidRPr="009B2E82" w:rsidRDefault="009B2E82" w:rsidP="009B2E82">
            <w:pPr>
              <w:shd w:val="clear" w:color="auto" w:fill="FFFFFF"/>
              <w:spacing w:line="230" w:lineRule="exact"/>
              <w:ind w:right="374"/>
              <w:rPr>
                <w:rFonts w:ascii="Times New Roman" w:hAnsi="Times New Roman" w:cs="Times New Roman"/>
                <w:color w:val="000000"/>
                <w:lang w:eastAsia="hr-HR"/>
              </w:rPr>
            </w:pPr>
          </w:p>
          <w:p w:rsidR="009B2E82" w:rsidRPr="009B2E82" w:rsidRDefault="009B2E82" w:rsidP="009B2E82">
            <w:pPr>
              <w:shd w:val="clear" w:color="auto" w:fill="FFFFFF"/>
              <w:spacing w:line="230" w:lineRule="exact"/>
              <w:ind w:right="374"/>
              <w:rPr>
                <w:rFonts w:ascii="Times New Roman" w:hAnsi="Times New Roman" w:cs="Times New Roman"/>
                <w:color w:val="000000"/>
                <w:lang w:eastAsia="hr-HR"/>
              </w:rPr>
            </w:pPr>
          </w:p>
          <w:p w:rsidR="009B2E82" w:rsidRPr="009B2E82" w:rsidRDefault="009B2E82" w:rsidP="009B2E82">
            <w:pPr>
              <w:shd w:val="clear" w:color="auto" w:fill="FFFFFF"/>
              <w:spacing w:line="230" w:lineRule="exact"/>
              <w:ind w:right="374"/>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pacing w:after="0" w:line="240" w:lineRule="auto"/>
              <w:jc w:val="both"/>
              <w:rPr>
                <w:rFonts w:ascii="Times New Roman" w:hAnsi="Times New Roman" w:cs="Times New Roman"/>
                <w:lang w:eastAsia="hr-HR"/>
              </w:rPr>
            </w:pPr>
            <w:r w:rsidRPr="009B2E82">
              <w:rPr>
                <w:rFonts w:ascii="Times New Roman" w:hAnsi="Times New Roman" w:cs="Times New Roman"/>
                <w:lang w:eastAsia="hr-HR"/>
              </w:rPr>
              <w:t>Republika Hrvatska u procesu je izrade nove Nacionalne strategije prometnog razvoja (u daljnjem tekstu: “SPR”).</w:t>
            </w:r>
          </w:p>
          <w:p w:rsidR="009B2E82" w:rsidRPr="009B2E82" w:rsidRDefault="009B2E82" w:rsidP="009B2E82">
            <w:pPr>
              <w:spacing w:after="0" w:line="240" w:lineRule="auto"/>
              <w:jc w:val="both"/>
              <w:rPr>
                <w:rFonts w:ascii="Times New Roman" w:hAnsi="Times New Roman" w:cs="Times New Roman"/>
                <w:lang w:eastAsia="hr-HR"/>
              </w:rPr>
            </w:pPr>
            <w:r w:rsidRPr="009B2E82">
              <w:rPr>
                <w:rFonts w:ascii="Times New Roman" w:hAnsi="Times New Roman" w:cs="Times New Roman"/>
                <w:lang w:eastAsia="hr-HR"/>
              </w:rPr>
              <w:t xml:space="preserve"> </w:t>
            </w:r>
            <w:r w:rsidRPr="009B2E82">
              <w:rPr>
                <w:rFonts w:ascii="Times New Roman" w:hAnsi="Times New Roman" w:cs="Times New Roman"/>
                <w:lang w:eastAsia="hr-HR"/>
              </w:rPr>
              <w:br/>
              <w:t xml:space="preserve">Ovaj proces, završno s usvajanjem SPR-a Vlade Republike Hrvatske u ovom pripremnom segmentu, bit će dovršen do kraja rujna 2014. </w:t>
            </w:r>
          </w:p>
          <w:p w:rsidR="009B2E82" w:rsidRPr="009B2E82" w:rsidRDefault="009B2E82" w:rsidP="009B2E82">
            <w:pPr>
              <w:spacing w:after="0" w:line="240" w:lineRule="auto"/>
              <w:jc w:val="both"/>
              <w:rPr>
                <w:rFonts w:ascii="Times New Roman" w:hAnsi="Times New Roman" w:cs="Times New Roman"/>
                <w:lang w:eastAsia="hr-HR"/>
              </w:rPr>
            </w:pPr>
          </w:p>
          <w:p w:rsidR="009B2E82" w:rsidRPr="009B2E82" w:rsidRDefault="009B2E82" w:rsidP="009B2E82">
            <w:pPr>
              <w:spacing w:after="0" w:line="240" w:lineRule="auto"/>
              <w:jc w:val="both"/>
              <w:rPr>
                <w:rFonts w:ascii="Times New Roman" w:hAnsi="Times New Roman" w:cs="Times New Roman"/>
                <w:lang w:eastAsia="hr-HR"/>
              </w:rPr>
            </w:pPr>
            <w:r w:rsidRPr="009B2E82">
              <w:rPr>
                <w:rFonts w:ascii="Times New Roman" w:hAnsi="Times New Roman" w:cs="Times New Roman"/>
                <w:lang w:eastAsia="hr-HR"/>
              </w:rPr>
              <w:t xml:space="preserve">Istovremeno s pripremom SPR-a, Republika Hrvatska pokrenut će proces izrade Nacionalnog prometnog modela. To je dogovoreno u ožujku 2014., a bit će dovršeno u ožujku 2016. </w:t>
            </w:r>
            <w:r w:rsidRPr="009B2E82">
              <w:rPr>
                <w:rFonts w:ascii="Times New Roman" w:hAnsi="Times New Roman" w:cs="Times New Roman"/>
                <w:lang w:eastAsia="hr-HR"/>
              </w:rPr>
              <w:br/>
            </w:r>
          </w:p>
          <w:p w:rsidR="009B2E82" w:rsidRPr="009B2E82" w:rsidRDefault="009B2E82" w:rsidP="009B2E82">
            <w:pPr>
              <w:spacing w:after="0" w:line="240" w:lineRule="auto"/>
              <w:jc w:val="both"/>
              <w:rPr>
                <w:rFonts w:ascii="Times New Roman" w:hAnsi="Times New Roman" w:cs="Times New Roman"/>
                <w:lang w:eastAsia="hr-HR"/>
              </w:rPr>
            </w:pPr>
            <w:r w:rsidRPr="009B2E82">
              <w:rPr>
                <w:rFonts w:ascii="Times New Roman" w:hAnsi="Times New Roman" w:cs="Times New Roman"/>
                <w:lang w:eastAsia="hr-HR"/>
              </w:rPr>
              <w:t xml:space="preserve">Do kraja 2015. Republika Hrvatska će započeti proces izmjena i dopuna SPR-a temeljem Nacionalnog prometnog modela. Ovaj proces i usvajanje konačne verzije SPR-a u Vladi Republike Hrvatske bit će dovršen do prosinca 2016. </w:t>
            </w:r>
          </w:p>
          <w:p w:rsidR="009B2E82" w:rsidRPr="009B2E82" w:rsidRDefault="009B2E82" w:rsidP="009B2E82">
            <w:pPr>
              <w:spacing w:after="0" w:line="240" w:lineRule="auto"/>
              <w:jc w:val="both"/>
              <w:rPr>
                <w:rFonts w:ascii="Times New Roman" w:hAnsi="Times New Roman" w:cs="Times New Roman"/>
                <w:lang w:eastAsia="hr-HR"/>
              </w:rPr>
            </w:pPr>
          </w:p>
          <w:p w:rsidR="009B2E82" w:rsidRPr="009B2E82" w:rsidRDefault="009B2E82" w:rsidP="009B2E82">
            <w:pPr>
              <w:spacing w:after="0" w:line="240" w:lineRule="auto"/>
              <w:jc w:val="both"/>
              <w:rPr>
                <w:lang w:eastAsia="hr-HR"/>
              </w:rPr>
            </w:pPr>
            <w:r w:rsidRPr="009B2E82">
              <w:rPr>
                <w:rFonts w:ascii="Times New Roman" w:hAnsi="Times New Roman" w:cs="Times New Roman"/>
                <w:lang w:eastAsia="hr-HR"/>
              </w:rPr>
              <w:t>Molimo konzultirajte detaljni Akcijski plan za</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17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r w:rsidRPr="009B2E82">
              <w:rPr>
                <w:rFonts w:ascii="Times New Roman" w:hAnsi="Times New Roman" w:cs="Times New Roman"/>
                <w:color w:val="000000"/>
                <w:spacing w:val="-1"/>
                <w:lang w:eastAsia="hr-HR"/>
              </w:rPr>
              <w:t>daljnji razvoj SPR-a i zrelu bazu projekata u Tablici Akcijski plan.</w:t>
            </w:r>
          </w:p>
        </w:tc>
      </w:tr>
      <w:tr w:rsidR="009B2E82" w:rsidRPr="009B2E82" w:rsidTr="009B2E82">
        <w:trPr>
          <w:trHeight w:hRule="exact" w:val="6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48"/>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T.07.1 - Promet:  Postojanje sveobuhvatnih planova ili okvira za ulaganja u promet u skladu s institucionalnim ustrojstvom države članice (uključujući javni prijevoz na regionalnoj i lokalnoj razini) koji podupiru razvoj infrastrukture i poboljšavaju povezanost sa sveobuhvatnim i osnovnim mrežama TEN-T. </w:t>
            </w:r>
          </w:p>
          <w:p w:rsidR="009B2E82" w:rsidRPr="009B2E82" w:rsidRDefault="009B2E82" w:rsidP="009B2E82">
            <w:pPr>
              <w:shd w:val="clear" w:color="auto" w:fill="FFFFFF"/>
              <w:spacing w:line="226" w:lineRule="exact"/>
              <w:ind w:right="48"/>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2"/>
                <w:lang w:eastAsia="hr-HR"/>
              </w:rPr>
              <w:t>4 – sekundarnu povezanost;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Republika Hrvatska u procesu je izrade nove Nacionalne strategije prometnog razvoja (u daljnjem tekstu: “SPR”). </w:t>
            </w:r>
            <w:r w:rsidRPr="009B2E82">
              <w:rPr>
                <w:rFonts w:ascii="Times New Roman" w:hAnsi="Times New Roman" w:cs="Times New Roman"/>
                <w:lang w:eastAsia="hr-HR"/>
              </w:rPr>
              <w:br/>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Ovaj proces, završno s usvajanjem SPR-a Vlade Republike Hrvatske u ovom pripremnom segmentu, bit će dovršen do kraja rujna 2014. </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Istovremeno s pripremom SPR-a, Republika Hrvatska pokrenut će proces izrade Nacionalnog prometnog modela. To je dogovoreno u ožujku 2014., a bit će dovršeno u ožujku 2016. </w:t>
            </w:r>
            <w:r w:rsidRPr="009B2E82">
              <w:rPr>
                <w:rFonts w:ascii="Times New Roman" w:hAnsi="Times New Roman" w:cs="Times New Roman"/>
                <w:lang w:eastAsia="hr-HR"/>
              </w:rPr>
              <w:br/>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Do kraja 2015. Republika Hrvatska će započeti proces izmjena i dopuna SPR-a temeljem Nacionalnog prometnog modela. Ovaj proces i usvajanje konačne verzije SPR-a u Vladi Republike Hrvatske bit će dovršen do prosinca 2016.</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Molimo konzultirajte detaljni Akcijski plan za</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tabs>
                <w:tab w:val="left" w:pos="1197"/>
              </w:tabs>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94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r w:rsidRPr="009B2E82">
              <w:rPr>
                <w:rFonts w:ascii="Times New Roman" w:hAnsi="Times New Roman" w:cs="Times New Roman"/>
                <w:color w:val="000000"/>
                <w:spacing w:val="1"/>
                <w:lang w:eastAsia="hr-HR"/>
              </w:rPr>
              <w:t>daljnji razvoj SPR-a i zrelu bazu projekata u Tablici Akcijski plan.</w:t>
            </w:r>
          </w:p>
        </w:tc>
      </w:tr>
      <w:tr w:rsidR="009B2E82" w:rsidRPr="009B2E82" w:rsidTr="009B2E82">
        <w:trPr>
          <w:trHeight w:hRule="exact" w:val="547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48"/>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T.07.1 - Promet:  Postojanje sveobuhvatnih planova ili okvira za ulaganja u promet u skladu s institucionalnim ustrojstvom države članice (uključujući javni prijevoz na regionalnoj i lokalnoj razini) koji podupiru razvoj infrastrukture i poboljšavaju povezanost sa sveobuhvatnim i osnovnim mrežama TEN-T. </w:t>
            </w:r>
          </w:p>
          <w:p w:rsidR="009B2E82" w:rsidRPr="009B2E82" w:rsidRDefault="009B2E82" w:rsidP="009B2E82">
            <w:pPr>
              <w:shd w:val="clear" w:color="auto" w:fill="FFFFFF"/>
              <w:spacing w:line="226" w:lineRule="exact"/>
              <w:ind w:right="48"/>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278"/>
              <w:rPr>
                <w:rFonts w:ascii="Times New Roman" w:hAnsi="Times New Roman" w:cs="Times New Roman"/>
                <w:b/>
                <w:i/>
                <w:color w:val="000000"/>
                <w:spacing w:val="-1"/>
                <w:lang w:eastAsia="hr-HR"/>
              </w:rPr>
            </w:pPr>
            <w:r w:rsidRPr="009B2E82">
              <w:rPr>
                <w:rFonts w:ascii="Times New Roman" w:hAnsi="Times New Roman" w:cs="Times New Roman"/>
                <w:color w:val="000000"/>
                <w:spacing w:val="-1"/>
                <w:lang w:eastAsia="hr-HR"/>
              </w:rPr>
              <w:t>5 – realističnu i zrelu bazu projekata za koje je predviđena potpora iz EFRR-a i KF-a;</w:t>
            </w:r>
          </w:p>
          <w:p w:rsidR="009B2E82" w:rsidRPr="009B2E82" w:rsidRDefault="009B2E82" w:rsidP="009B2E82">
            <w:pPr>
              <w:shd w:val="clear" w:color="auto" w:fill="FFFFFF"/>
              <w:spacing w:line="226" w:lineRule="exact"/>
              <w:ind w:right="278"/>
              <w:rPr>
                <w:rFonts w:ascii="Times New Roman" w:hAnsi="Times New Roman" w:cs="Times New Roman"/>
                <w:color w:val="000000"/>
                <w:spacing w:val="-1"/>
                <w:lang w:eastAsia="hr-HR"/>
              </w:rPr>
            </w:pPr>
          </w:p>
          <w:p w:rsidR="009B2E82" w:rsidRPr="009B2E82" w:rsidRDefault="009B2E82" w:rsidP="009B2E82">
            <w:pPr>
              <w:shd w:val="clear" w:color="auto" w:fill="FFFFFF"/>
              <w:spacing w:line="226" w:lineRule="exact"/>
              <w:ind w:right="278"/>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Paralelno s procesom izrade Strategije prometnog razvoja, Republika Hrvatska (Ministarstvo pomorstva, prometa i infrastrukture/MPPI), u suradnji sa stručnjacima Jaspersa tijekom njihovih mjesečnih misija, razvila je preliminarnu bazu projekata koja predstavlja realističan popis projekata s vremenskim rasporedom koji može biti izmijenjen. U isto vrijeme, MPPI ulaže napore u širenje popisa projekata objavom Poziva za dostavu prijedloga u ožujku 2014. te otpuštanjem sredstava namijenjenim potencijalnim korisnicima projekata za pripremu tehničke dokumentacije za projekt (uključujući studiju izvedivosti). Dodatni pozivi predviđaju se u nadolazećim mjesecima. Molimo konzultirajte detaljni Akcijski plan za daljnji razvoj SPR-a i zrelu bazu projekata u Tablici Akcijski plan.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15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48"/>
              <w:rPr>
                <w:rFonts w:ascii="Times New Roman" w:hAnsi="Times New Roman" w:cs="Times New Roman"/>
                <w:lang w:eastAsia="hr-HR"/>
              </w:rPr>
            </w:pPr>
            <w:r w:rsidRPr="009B2E82">
              <w:rPr>
                <w:rFonts w:ascii="Times New Roman" w:hAnsi="Times New Roman" w:cs="Times New Roman"/>
                <w:color w:val="000000"/>
                <w:lang w:eastAsia="hr-HR"/>
              </w:rPr>
              <w:t xml:space="preserve">T.07.1 - Promet:  Postojanje sveobuhvatnih planova ili okvira za ulaganja u promet u skladu s institucionalnim ustrojstvom države članice (uključujući javni prijevoz na regionalnoj i lokalnoj razini)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8"/>
              <w:rPr>
                <w:rFonts w:ascii="Times New Roman" w:hAnsi="Times New Roman" w:cs="Times New Roman"/>
                <w:i/>
                <w:sz w:val="24"/>
                <w:szCs w:val="24"/>
                <w:lang w:eastAsia="hr-HR"/>
              </w:rPr>
            </w:pPr>
            <w:r w:rsidRPr="009B2E82">
              <w:rPr>
                <w:rFonts w:ascii="Times New Roman" w:hAnsi="Times New Roman" w:cs="Times New Roman"/>
                <w:color w:val="000000"/>
                <w:lang w:eastAsia="hr-HR"/>
              </w:rPr>
              <w:t xml:space="preserve">6 </w:t>
            </w:r>
            <w:r w:rsidRPr="009B2E82">
              <w:rPr>
                <w:rFonts w:ascii="Times New Roman" w:hAnsi="Times New Roman" w:cs="Times New Roman"/>
                <w:i/>
                <w:color w:val="000000"/>
                <w:lang w:eastAsia="hr-HR"/>
              </w:rPr>
              <w:t xml:space="preserve">- </w:t>
            </w:r>
            <w:r w:rsidRPr="009B2E82">
              <w:rPr>
                <w:rFonts w:ascii="Times New Roman" w:hAnsi="Times New Roman" w:cs="Times New Roman"/>
                <w:color w:val="000000"/>
                <w:lang w:eastAsia="hr-HR"/>
              </w:rPr>
              <w:t>Mjere za jačanje sposobnosti posredničkih tijela i korisnika za provedbu baze projekata</w:t>
            </w:r>
          </w:p>
          <w:p w:rsidR="009B2E82" w:rsidRPr="009B2E82" w:rsidRDefault="009B2E82" w:rsidP="009B2E82">
            <w:pPr>
              <w:shd w:val="clear" w:color="auto" w:fill="FFFFFF"/>
              <w:spacing w:line="230" w:lineRule="exact"/>
              <w:ind w:right="38"/>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ind w:right="38"/>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U cilju jačanja kapaciteta krajnjih korisnika, Republika Hrvatska razmatra o uspostavi specijaliziranih promotora projekata za određene skupine projekata čiji bi zadatak</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63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77"/>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koji podupiru razvoj infrastrukture i poboljšavaju povezanost sa sveobuhvatnim i osnovnim mrežama TEN-T. </w:t>
            </w:r>
          </w:p>
          <w:p w:rsidR="009B2E82" w:rsidRPr="009B2E82" w:rsidRDefault="009B2E82" w:rsidP="009B2E82">
            <w:pPr>
              <w:shd w:val="clear" w:color="auto" w:fill="FFFFFF"/>
              <w:spacing w:line="230" w:lineRule="exact"/>
              <w:ind w:right="77"/>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color w:val="000000"/>
                <w:spacing w:val="7"/>
                <w:lang w:eastAsia="hr-HR"/>
              </w:rPr>
            </w:pPr>
            <w:r w:rsidRPr="009B2E82">
              <w:rPr>
                <w:rFonts w:ascii="Times New Roman" w:hAnsi="Times New Roman" w:cs="Times New Roman"/>
                <w:color w:val="000000"/>
                <w:spacing w:val="7"/>
                <w:lang w:eastAsia="hr-HR"/>
              </w:rPr>
              <w:t xml:space="preserve">bio razvoj, nabava i provedba projekata. </w:t>
            </w:r>
          </w:p>
          <w:p w:rsidR="009B2E82" w:rsidRPr="009B2E82" w:rsidRDefault="009B2E82" w:rsidP="009B2E82">
            <w:pPr>
              <w:shd w:val="clear" w:color="auto" w:fill="FFFFFF"/>
              <w:spacing w:line="230" w:lineRule="exact"/>
              <w:jc w:val="both"/>
              <w:rPr>
                <w:rFonts w:ascii="Times New Roman" w:hAnsi="Times New Roman" w:cs="Times New Roman"/>
                <w:color w:val="000000"/>
                <w:spacing w:val="7"/>
                <w:lang w:eastAsia="hr-HR"/>
              </w:rPr>
            </w:pPr>
            <w:r w:rsidRPr="009B2E82">
              <w:rPr>
                <w:rFonts w:ascii="Times New Roman" w:hAnsi="Times New Roman" w:cs="Times New Roman"/>
                <w:color w:val="000000"/>
                <w:spacing w:val="7"/>
                <w:lang w:eastAsia="hr-HR"/>
              </w:rPr>
              <w:t xml:space="preserve">Molimo pogledajte detalje za razvoj Koncepta administrativnih kapaciteta u Akcijskom planu.  </w:t>
            </w:r>
          </w:p>
          <w:p w:rsidR="009B2E82" w:rsidRPr="009B2E82" w:rsidRDefault="009B2E82" w:rsidP="009B2E82">
            <w:pPr>
              <w:shd w:val="clear" w:color="auto" w:fill="FFFFFF"/>
              <w:spacing w:line="230" w:lineRule="exact"/>
              <w:jc w:val="both"/>
              <w:rPr>
                <w:rFonts w:ascii="Times New Roman" w:hAnsi="Times New Roman" w:cs="Times New Roman"/>
                <w:color w:val="000000"/>
                <w:spacing w:val="7"/>
                <w:lang w:eastAsia="hr-HR"/>
              </w:rPr>
            </w:pPr>
          </w:p>
        </w:tc>
      </w:tr>
      <w:tr w:rsidR="009B2E82" w:rsidRPr="009B2E82" w:rsidTr="009B2E82">
        <w:trPr>
          <w:trHeight w:hRule="exact" w:val="613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43"/>
              <w:rPr>
                <w:rFonts w:ascii="Times New Roman" w:hAnsi="Times New Roman" w:cs="Times New Roman"/>
                <w:snapToGrid w:val="0"/>
                <w:sz w:val="24"/>
                <w:lang w:eastAsia="en-GB"/>
              </w:rPr>
            </w:pPr>
            <w:r w:rsidRPr="009B2E82">
              <w:rPr>
                <w:rFonts w:ascii="Times New Roman" w:hAnsi="Times New Roman" w:cs="Times New Roman"/>
                <w:color w:val="000000"/>
                <w:spacing w:val="1"/>
                <w:lang w:eastAsia="hr-HR"/>
              </w:rPr>
              <w:t>T.07.2 - Željeznica: Postojanje posebnog dijela o razvoju željeznice unutar sveobuhvatnih prometnih planova ili okvira u skladu s institucionalnim ustrojstvom države članice (uključujući javni prijevoz na regionalnoj i lokalnoj razini), koji podupire razvoj infrastrukture i poboljšava povezanost sa sveobuhvatnim i osnovnim mrežama TEN-T. Ulaganja obuhvaćaju pokretnu imovinu, interoperabilnost i izgradnju kapaciteta.</w:t>
            </w:r>
          </w:p>
          <w:p w:rsidR="009B2E82" w:rsidRPr="009B2E82" w:rsidRDefault="009B2E82" w:rsidP="009B2E82">
            <w:pPr>
              <w:shd w:val="clear" w:color="auto" w:fill="FFFFFF"/>
              <w:spacing w:line="226" w:lineRule="exact"/>
              <w:ind w:right="43"/>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82"/>
              <w:rPr>
                <w:rFonts w:ascii="Times New Roman" w:hAnsi="Times New Roman" w:cs="Times New Roman"/>
                <w:color w:val="FF0000"/>
                <w:lang w:eastAsia="hr-HR"/>
              </w:rPr>
            </w:pPr>
            <w:r w:rsidRPr="009B2E82">
              <w:rPr>
                <w:rFonts w:ascii="Times New Roman" w:hAnsi="Times New Roman" w:cs="Times New Roman"/>
                <w:color w:val="000000"/>
                <w:spacing w:val="-1"/>
                <w:lang w:eastAsia="hr-HR"/>
              </w:rPr>
              <w:t xml:space="preserve">1 – </w:t>
            </w:r>
            <w:r w:rsidRPr="009B2E82">
              <w:rPr>
                <w:rFonts w:ascii="Times New Roman" w:hAnsi="Times New Roman" w:cs="Times New Roman"/>
                <w:lang w:eastAsia="hr-HR"/>
              </w:rPr>
              <w:t>Postojanje posebnog dijela o razvoju željeznice unutar sveobuhvatnih  prometnih planova ili okvira, kako su navedeni gore, koji je u skladu sa pravnim zahtjevima za stratešku procjenu utjecaja na okoliš i obuhvaća realističnu i zrelu bazu projekata (uključujući vremenski raspored i  proračunski okvir);</w:t>
            </w:r>
            <w:r w:rsidRPr="009B2E82">
              <w:rPr>
                <w:rFonts w:ascii="Times New Roman" w:hAnsi="Times New Roman" w:cs="Times New Roman"/>
                <w:color w:val="FF0000"/>
                <w:lang w:eastAsia="hr-HR"/>
              </w:rPr>
              <w:t xml:space="preserve"> </w:t>
            </w:r>
          </w:p>
          <w:p w:rsidR="009B2E82" w:rsidRPr="009B2E82" w:rsidRDefault="009B2E82" w:rsidP="009B2E82">
            <w:pPr>
              <w:shd w:val="clear" w:color="auto" w:fill="FFFFFF"/>
              <w:spacing w:line="226" w:lineRule="exact"/>
              <w:ind w:right="82"/>
              <w:rPr>
                <w:rFonts w:ascii="Times New Roman" w:hAnsi="Times New Roman" w:cs="Times New Roman"/>
                <w:color w:val="FF0000"/>
                <w:lang w:eastAsia="hr-HR"/>
              </w:rPr>
            </w:pPr>
          </w:p>
          <w:p w:rsidR="009B2E82" w:rsidRPr="009B2E82" w:rsidRDefault="009B2E82" w:rsidP="009B2E82">
            <w:pPr>
              <w:shd w:val="clear" w:color="auto" w:fill="FFFFFF"/>
              <w:spacing w:line="226" w:lineRule="exact"/>
              <w:ind w:right="82"/>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Republika Hrvatska u procesu je izrade nove Nacionalne strategije prometnog razvoja (SPR). </w:t>
            </w:r>
          </w:p>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Nakon pripreme SPR-a slijedi istovremeni proces Strateške procjene utjecaja na okoliš. Ovaj proces, koji završava usvajanjem konačne verzije SPR-a u Vladi Republike Hrvatske, će biti dovršen do rujna 2014. Republika Hrvatska će razviti Nacionalni prometni model. Njegova izrada je ugovorena je u ožujku 2014., a bit će dovršen u ožujku 2016. Do kraja 2015. Republika Hrvatska će započeti proces izmjena i dopuna SPR-a temeljem Nacionalnog prometnog modela. Ovaj proces i usvajanje konačne verzije SPR-a u Vladi Republike Hrvatske bit će dovršen do prosinca 2016.</w:t>
            </w:r>
          </w:p>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U suradnji sa stručnjacima Jaspersa, Republika Hrvatska je razvila preliminarnu bazu projekata koja predstavlja realističan popis projekata s vremenskim rasporedom</w:t>
            </w:r>
          </w:p>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5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color w:val="000000"/>
                <w:spacing w:val="4"/>
                <w:lang w:eastAsia="hr-HR"/>
              </w:rPr>
            </w:pPr>
            <w:r w:rsidRPr="009B2E82">
              <w:rPr>
                <w:rFonts w:ascii="Times New Roman" w:hAnsi="Times New Roman" w:cs="Times New Roman"/>
                <w:color w:val="000000"/>
                <w:spacing w:val="4"/>
                <w:lang w:eastAsia="hr-HR"/>
              </w:rPr>
              <w:t xml:space="preserve">koji može biti izmijenjen. </w:t>
            </w:r>
          </w:p>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r w:rsidRPr="009B2E82">
              <w:rPr>
                <w:rFonts w:ascii="Times New Roman" w:hAnsi="Times New Roman" w:cs="Times New Roman"/>
                <w:color w:val="000000"/>
                <w:spacing w:val="4"/>
                <w:lang w:eastAsia="hr-HR"/>
              </w:rPr>
              <w:t>Molimo konzultirajte detaljni Akcijski plan za daljnji razvoj SPR-a i zrelu bazu projekata u Tablici Akcijski plan.</w:t>
            </w:r>
          </w:p>
        </w:tc>
      </w:tr>
      <w:tr w:rsidR="009B2E82" w:rsidRPr="009B2E82" w:rsidTr="009B2E82">
        <w:trPr>
          <w:trHeight w:hRule="exact" w:val="346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43"/>
              <w:rPr>
                <w:rFonts w:ascii="Times New Roman" w:hAnsi="Times New Roman" w:cs="Times New Roman"/>
                <w:lang w:eastAsia="hr-HR"/>
              </w:rPr>
            </w:pPr>
            <w:r w:rsidRPr="009B2E82">
              <w:rPr>
                <w:rFonts w:ascii="Times New Roman" w:hAnsi="Times New Roman" w:cs="Times New Roman"/>
                <w:color w:val="000000"/>
                <w:spacing w:val="1"/>
                <w:lang w:eastAsia="hr-HR"/>
              </w:rPr>
              <w:t>T.07.2 - Željeznica: Postojanje posebnog dijela o razvoju željeznice unutar sveobuhvatnih prometnih planova ili okvira u skladu s institucionalnim ustrojstvom države članice (uključujući javni prijevoz na regionalnoj i lokalnoj razini), koji podupire razvoj infrastrukture i poboljšava povezanost sa sveobuhvatnim i osnovnim mrežama TEN-T. Ulaganja obuhvaćaju pokretnu imovinu, interoperabilnost i izgradnju kapaciteta.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8"/>
              <w:rPr>
                <w:rFonts w:ascii="Times New Roman" w:hAnsi="Times New Roman" w:cs="Times New Roman"/>
                <w:lang w:eastAsia="hr-HR"/>
              </w:rPr>
            </w:pPr>
            <w:r w:rsidRPr="009B2E82">
              <w:rPr>
                <w:rFonts w:ascii="Times New Roman" w:hAnsi="Times New Roman" w:cs="Times New Roman"/>
                <w:lang w:eastAsia="hr-HR"/>
              </w:rPr>
              <w:t>2 – Mjere za osiguravanje sposobnosti posredničkih tijela i korisnika za provedbu baze projekata.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color w:val="000000"/>
                <w:spacing w:val="2"/>
                <w:lang w:eastAsia="hr-HR"/>
              </w:rPr>
              <w:t>U cilju jačanja kapaciteta krajnjih korisnika, Republika Hrvatska razmatra o uspostavi specijaliziranih promotora projekata za određene skupine projekata čiji bi zadatak</w:t>
            </w:r>
            <w:r w:rsidRPr="009B2E82">
              <w:rPr>
                <w:rFonts w:ascii="Times New Roman" w:hAnsi="Times New Roman" w:cs="Times New Roman"/>
                <w:color w:val="000000"/>
                <w:spacing w:val="7"/>
                <w:lang w:eastAsia="hr-HR"/>
              </w:rPr>
              <w:t xml:space="preserve"> </w:t>
            </w:r>
            <w:r w:rsidRPr="009B2E82">
              <w:rPr>
                <w:rFonts w:ascii="Times New Roman" w:hAnsi="Times New Roman" w:cs="Times New Roman"/>
                <w:lang w:eastAsia="hr-HR"/>
              </w:rPr>
              <w:t xml:space="preserve">bio razvoj, nabava i provedba projekata. </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Molimo pogledajte detalje za razvoj Koncepta administrativnih kapaciteta u Akcijskom planu.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296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34"/>
              <w:rPr>
                <w:rFonts w:ascii="Times New Roman" w:hAnsi="Times New Roman" w:cs="Times New Roman"/>
                <w:lang w:eastAsia="hr-HR"/>
              </w:rPr>
            </w:pPr>
            <w:r w:rsidRPr="009B2E82">
              <w:rPr>
                <w:rFonts w:ascii="Times New Roman" w:hAnsi="Times New Roman" w:cs="Times New Roman"/>
                <w:color w:val="000000"/>
                <w:spacing w:val="1"/>
                <w:lang w:eastAsia="hr-HR"/>
              </w:rPr>
              <w:t>T.07.3 –</w:t>
            </w:r>
            <w:r w:rsidRPr="009B2E82">
              <w:rPr>
                <w:rFonts w:ascii="Times New Roman" w:eastAsia="Times New Roman" w:hAnsi="Times New Roman" w:cs="Times New Roman"/>
                <w:snapToGrid w:val="0"/>
                <w:sz w:val="24"/>
                <w:szCs w:val="24"/>
                <w:lang w:eastAsia="en-GB"/>
              </w:rPr>
              <w:t xml:space="preserve"> </w:t>
            </w:r>
            <w:r w:rsidRPr="009B2E82">
              <w:rPr>
                <w:rFonts w:ascii="Times New Roman" w:hAnsi="Times New Roman" w:cs="Times New Roman"/>
                <w:color w:val="000000"/>
                <w:spacing w:val="1"/>
                <w:lang w:eastAsia="hr-HR"/>
              </w:rPr>
              <w:t>Drugi načini prijevoza uključujući unutarnje vodne putove i pomorski prijevoz, luke, multimodalne veze i aerodromsku infrastrukturu: postojanje posebnog dijela unutar sveobuhvatnih prometnih planova ili okvira o unutarnjim vodnim putovima i pomorskom prijevozu, lukama, multimodalnim vezama i aerodromskoj infrastrukturi, koji doprinose boljoj povezanosti s TEN-T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34"/>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 xml:space="preserve">1 – Postojanje dijela o unutarnjim vodnim putovima i pomorskom prijevozu, lukama, multimodalnim vezama i aerodromskoj infrastrukturi unutar sveobuhvatnih prometnih planova ili okvira, koji: </w:t>
            </w:r>
          </w:p>
          <w:p w:rsidR="009B2E82" w:rsidRPr="009B2E82" w:rsidRDefault="009B2E82" w:rsidP="009B2E82">
            <w:pPr>
              <w:shd w:val="clear" w:color="auto" w:fill="FFFFFF"/>
              <w:spacing w:line="226" w:lineRule="exact"/>
              <w:ind w:right="34"/>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Republika Hrvatska u procesu je izrade nove Nacionalne strategije prometnog razvoja (SPR). </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Pripremi SPR-a slijedi istovremeni proces Strateške procjene utjecaja na okoliši. Ovaj proces, koji završava nakon što Vlada Republike Hrvatske usvoji SPR u tom segmentu pripreme, će biti dovršen do kraja rujna 2014. Republika Hrvatska će razviti</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365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15"/>
              <w:rPr>
                <w:rFonts w:ascii="Times New Roman" w:hAnsi="Times New Roman" w:cs="Times New Roman"/>
                <w:lang w:eastAsia="hr-HR"/>
              </w:rPr>
            </w:pPr>
            <w:r w:rsidRPr="009B2E82">
              <w:rPr>
                <w:rFonts w:ascii="Times New Roman" w:hAnsi="Times New Roman" w:cs="Times New Roman"/>
                <w:color w:val="000000"/>
                <w:lang w:eastAsia="hr-HR"/>
              </w:rPr>
              <w:t>sveobuhvatnim i osnovnim mrežama i promicanju održive regionalne i lokalne mobilnosti</w:t>
            </w:r>
            <w:r w:rsidRPr="009B2E82">
              <w:rPr>
                <w:rFonts w:ascii="Times New Roman" w:hAnsi="Times New Roman" w:cs="Times New Roman"/>
                <w:b/>
                <w:i/>
                <w:color w:val="000000"/>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10"/>
                <w:lang w:eastAsia="hr-HR"/>
              </w:rPr>
            </w:pPr>
            <w:r w:rsidRPr="009B2E82">
              <w:rPr>
                <w:rFonts w:ascii="Times New Roman" w:hAnsi="Times New Roman" w:cs="Times New Roman"/>
                <w:color w:val="000000"/>
                <w:spacing w:val="10"/>
                <w:lang w:eastAsia="hr-HR"/>
              </w:rPr>
              <w:t>Nacionalni prometni model. Njegova izrada je dogovorena je u ožujku 2014., a bit će dovršen u ožujku 2016. Do kraja 2015. Republika Hrvatska će započeti proces izmjena i dopuna SPR-a temeljem Nacionalnog prometnog modela. Ovaj proces i usvajanje konačne verzije SPR-a u Vladi Republike Hrvatske bit će dovršen do prosinca 2016.</w:t>
            </w:r>
          </w:p>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color w:val="000000"/>
                <w:spacing w:val="4"/>
                <w:lang w:eastAsia="hr-HR"/>
              </w:rPr>
              <w:t>Molimo konzultirajte detaljni Akcijski plan za daljnji razvoj SPR-a i zrelu bazu projekata u Tablici Akcijski plan</w:t>
            </w:r>
            <w:r w:rsidRPr="009B2E82">
              <w:rPr>
                <w:rFonts w:ascii="Times New Roman" w:hAnsi="Times New Roman" w:cs="Times New Roman"/>
                <w:color w:val="000000"/>
                <w:spacing w:val="-1"/>
                <w:lang w:eastAsia="hr-HR"/>
              </w:rPr>
              <w:t>.</w:t>
            </w:r>
          </w:p>
        </w:tc>
      </w:tr>
      <w:tr w:rsidR="009B2E82" w:rsidRPr="009B2E82" w:rsidTr="009B2E82">
        <w:trPr>
          <w:trHeight w:hRule="exact" w:val="432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34"/>
              <w:rPr>
                <w:rFonts w:ascii="Times New Roman" w:hAnsi="Times New Roman" w:cs="Times New Roman"/>
                <w:lang w:eastAsia="hr-HR"/>
              </w:rPr>
            </w:pPr>
            <w:r w:rsidRPr="009B2E82">
              <w:rPr>
                <w:rFonts w:ascii="Times New Roman" w:hAnsi="Times New Roman" w:cs="Times New Roman"/>
                <w:color w:val="000000"/>
                <w:spacing w:val="1"/>
                <w:lang w:eastAsia="hr-HR"/>
              </w:rPr>
              <w:t>T.07.3 – Drugi načini prijevoza uključujući unutarnje vodne putove i pomorski prijevoz, luke, multimodalne veze i aerodromsku infrastrukturu: postojanje posebnog dijela unutar sveobuhvatnih prometnih planova ili okvira o unutarnjim vodnim putovima i pomorskom prijevozu, lukama, multimodalnim vezama i aerodromskoj infrastrukturi, koji doprinose boljoj povezanosti s TEN-T sveobuhvatnim i osnovnim mrežama i promicanju održive regionalne i lokalne mobilnosti.</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4"/>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2 – ispunjava pravne zahtjeve za stratešku procjenu utjecaja na okoliš;</w:t>
            </w:r>
          </w:p>
          <w:p w:rsidR="009B2E82" w:rsidRPr="009B2E82" w:rsidRDefault="009B2E82" w:rsidP="009B2E82">
            <w:pPr>
              <w:shd w:val="clear" w:color="auto" w:fill="FFFFFF"/>
              <w:spacing w:line="230" w:lineRule="exact"/>
              <w:ind w:right="24"/>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Republika Hrvatska u procesu je izrade nove Nacionalne strategije prometnog razvoja (u daljnjem tekstu: “SPR”).</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Budući da je u pripremi SPR-a izabran pristup “odozdo prema gore”, sektorske prometne razvojne strategije dovršene su u srpnju 2013. Republika Hrvatska je trenutno u procesu spajanja sektorskih prometnih razvojnih strategija u jedan integrirani dokument, usporedo s kojim se odvija proces izrade strateške procjene utjecaja na okoliš. Ovaj proces i usvajanje konačne verzije SPR-a u Vladi Republike Hrvatske bit će dovršen do prosinca 2016.</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217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4"/>
                <w:lang w:eastAsia="hr-HR"/>
              </w:rPr>
            </w:pPr>
            <w:r w:rsidRPr="009B2E82">
              <w:rPr>
                <w:rFonts w:ascii="Times New Roman" w:hAnsi="Times New Roman" w:cs="Times New Roman"/>
                <w:color w:val="000000"/>
                <w:spacing w:val="4"/>
                <w:lang w:eastAsia="hr-HR"/>
              </w:rPr>
              <w:t>Molimo konzultirajte detaljni Akcijski plan za daljnji razvoj SPR-a i zrelu bazu projekata u Tablici Akcijski plan.</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594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34"/>
              <w:rPr>
                <w:rFonts w:ascii="Times New Roman" w:hAnsi="Times New Roman" w:cs="Times New Roman"/>
                <w:lang w:eastAsia="hr-HR"/>
              </w:rPr>
            </w:pPr>
            <w:r w:rsidRPr="009B2E82">
              <w:rPr>
                <w:rFonts w:ascii="Times New Roman" w:hAnsi="Times New Roman" w:cs="Times New Roman"/>
                <w:color w:val="000000"/>
                <w:spacing w:val="1"/>
                <w:lang w:eastAsia="hr-HR"/>
              </w:rPr>
              <w:t>T.07.3 – Drugi načini prijevoza uključujući unutarnje vodne putove i pomorski prijevoz, luke, multimodalne veze i aerodromsku infrastrukturu: postojanje posebnog dijela unutar sveobuhvatnih prometnih planova ili okvira o unutarnjim vodnim putovima i pomorskom prijevozu, lukama, multimodalnim vezama i aerodromskoj infrastrukturi, koji doprinose boljoj povezanosti s TEN-T sveobuhvatnim i osnovnim mrežama i promicanju održive regionalne i lokalne mobilnosti.</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92"/>
              <w:rPr>
                <w:rFonts w:ascii="Times New Roman" w:hAnsi="Times New Roman" w:cs="Times New Roman"/>
                <w:lang w:eastAsia="hr-HR"/>
              </w:rPr>
            </w:pPr>
            <w:r w:rsidRPr="009B2E82">
              <w:rPr>
                <w:rFonts w:ascii="Times New Roman" w:hAnsi="Times New Roman" w:cs="Times New Roman"/>
                <w:color w:val="000000"/>
                <w:spacing w:val="-1"/>
                <w:lang w:eastAsia="hr-HR"/>
              </w:rPr>
              <w:t>3 – obuhvaća realističnu i zrelu bazu projekata ( uključujući vremenski raspored i proračunski okvir);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4"/>
                <w:lang w:eastAsia="hr-HR"/>
              </w:rPr>
            </w:pPr>
            <w:r w:rsidRPr="009B2E82">
              <w:rPr>
                <w:rFonts w:ascii="Times New Roman" w:hAnsi="Times New Roman" w:cs="Times New Roman"/>
                <w:color w:val="000000"/>
                <w:spacing w:val="4"/>
                <w:lang w:eastAsia="hr-HR"/>
              </w:rPr>
              <w:t>Paralelno s procesom izrade Strategije prometnog razvoja, Republika Hrvatska (Ministarstvo pomorstva, prometa i infrastrukture/MPPI), u suradnji s stručnjacima Jaspersa tijekom njihovih mjesečnih misija, razvila je preliminarnu bazu projekata koja predstavlja realističan popis projekata s vremenskim rasporedom koji može biti izmijenjen. U isto vrijeme, MPPI ulaže napore u širenje popisa projekata objavom Poziva za dostavu prijedloga u ožujku 2014. te otpuštanjem sredstava namijenjenim potencijalnim korisnicima projekata za pripremu tehničke dokumentacije za projekt (uključujući studiju izvedivosti). Dodatni pozivi predviđeni su u nadolazećim mjesecima. Molimo konzultirajte detaljni Akcijski plan za daljnji razvoj SPR-a i zrelu bazu projekata u Tablici Akcijski plan.</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 Ex-ante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84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347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34"/>
              <w:rPr>
                <w:rFonts w:ascii="Times New Roman" w:hAnsi="Times New Roman" w:cs="Times New Roman"/>
                <w:lang w:eastAsia="hr-HR"/>
              </w:rPr>
            </w:pPr>
            <w:r w:rsidRPr="009B2E82">
              <w:rPr>
                <w:rFonts w:ascii="Times New Roman" w:hAnsi="Times New Roman" w:cs="Times New Roman"/>
                <w:color w:val="000000"/>
                <w:spacing w:val="1"/>
                <w:lang w:eastAsia="hr-HR"/>
              </w:rPr>
              <w:t>T.07.3 – Drugi načini prijevoza uključujući unutarnje vodne putove i pomorski prijevoz, luke, multimodalne veze i aerodromsku infrastrukturu: postojanje posebnog dijela unutar sveobuhvatnih prometnih planova ili okvira o unutarnjim vodnim putovima i pomorskom prijevozu, lukama, multimodalnim vezama i aerodromskoj infrastrukturi, koji doprinose boljoj povezanosti s TEN-T sveobuhvatnim i osnovnim mrežama i promicanju održive regionalne i lokalne mobilnosti.</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8"/>
              <w:rPr>
                <w:rFonts w:ascii="Times New Roman" w:hAnsi="Times New Roman" w:cs="Times New Roman"/>
                <w:lang w:eastAsia="hr-HR"/>
              </w:rPr>
            </w:pPr>
            <w:r w:rsidRPr="009B2E82">
              <w:rPr>
                <w:rFonts w:ascii="Times New Roman" w:hAnsi="Times New Roman" w:cs="Times New Roman"/>
                <w:color w:val="000000"/>
                <w:lang w:eastAsia="hr-HR"/>
              </w:rPr>
              <w:t>4 - Mjere za osiguravanje sposobnosti posredničkih tijela i korisnika za provedbu baze projekata</w:t>
            </w:r>
            <w:r w:rsidRPr="009B2E82">
              <w:rPr>
                <w:rFonts w:ascii="Times New Roman" w:hAnsi="Times New Roman" w:cs="Times New Roman"/>
                <w:color w:val="000000"/>
                <w:spacing w:val="-1"/>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 xml:space="preserve">U cilju jačanja kapaciteta krajnjih korisnika, Republika Hrvatska, razmatra uspostavu specijaliziranih promotora projekata za određene skupine projekata, čiji bi zadatak bio </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color w:val="000000"/>
                <w:spacing w:val="2"/>
                <w:lang w:eastAsia="hr-HR"/>
              </w:rPr>
              <w:t>Molimo pogledajte detalje u vezi s razvojem Koncepta administrativnih kapaciteta u Akcijskom planu</w:t>
            </w:r>
            <w:r w:rsidRPr="009B2E82">
              <w:rPr>
                <w:rFonts w:ascii="Times New Roman" w:hAnsi="Times New Roman" w:cs="Times New Roman"/>
                <w:lang w:eastAsia="hr-HR"/>
              </w:rPr>
              <w:t xml:space="preserve">.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317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26" w:lineRule="exact"/>
              <w:ind w:right="101"/>
              <w:rPr>
                <w:rFonts w:ascii="Times New Roman" w:hAnsi="Times New Roman" w:cs="Times New Roman"/>
                <w:lang w:eastAsia="hr-HR"/>
              </w:rPr>
            </w:pPr>
            <w:r w:rsidRPr="00324C8B">
              <w:rPr>
                <w:rFonts w:ascii="Times New Roman" w:hAnsi="Times New Roman" w:cs="Times New Roman"/>
                <w:color w:val="000000"/>
                <w:spacing w:val="1"/>
                <w:lang w:eastAsia="hr-HR"/>
              </w:rPr>
              <w:t>T.09.1 - Postojanje i provedba nacionalnog strateškog okvira za politiku koji se odnosi na smanjenje siromaštva, čiji je cilj aktivno uključivanje ljudi isključenih s tržišta rada u skladu sa smjernicama o zapošljavanju.</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30" w:lineRule="exact"/>
              <w:ind w:right="278"/>
              <w:rPr>
                <w:rFonts w:ascii="Times New Roman" w:hAnsi="Times New Roman" w:cs="Times New Roman"/>
                <w:lang w:eastAsia="hr-HR"/>
              </w:rPr>
            </w:pPr>
            <w:r w:rsidRPr="00324C8B">
              <w:rPr>
                <w:rFonts w:ascii="Times New Roman" w:hAnsi="Times New Roman" w:cs="Times New Roman"/>
                <w:color w:val="000000"/>
                <w:spacing w:val="-1"/>
                <w:lang w:eastAsia="hr-HR"/>
              </w:rPr>
              <w:t>1 – Uspostavljen je nacionalni strateški okvir  politika za smanjenje siromaštva , čiji je cilj aktivno uključivanje i koji: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Strategija  borbe protiv siromaštva i socijalne isključenosti u Republici Hrvatskoj (2014. – 2020.);</w:t>
            </w:r>
            <w:r w:rsidRPr="009B2E82">
              <w:rPr>
                <w:rFonts w:ascii="Times New Roman" w:hAnsi="Times New Roman" w:cs="Times New Roman"/>
                <w:color w:val="000000"/>
                <w:spacing w:val="4"/>
                <w:sz w:val="24"/>
                <w:szCs w:val="24"/>
                <w:lang w:eastAsia="hr-HR"/>
              </w:rPr>
              <w:t xml:space="preserve"> poveznica: h</w:t>
            </w:r>
            <w:r w:rsidRPr="009B2E82">
              <w:rPr>
                <w:rFonts w:ascii="Times New Roman" w:hAnsi="Times New Roman" w:cs="Times New Roman"/>
                <w:color w:val="000000"/>
                <w:spacing w:val="-1"/>
                <w:sz w:val="24"/>
                <w:szCs w:val="24"/>
                <w:lang w:eastAsia="hr-HR"/>
              </w:rPr>
              <w:t>ttp://www.mspm.hr/djelokrug aktivnosti/socijalna_skrb/strategi</w:t>
            </w:r>
            <w:r w:rsidRPr="009B2E82">
              <w:rPr>
                <w:rFonts w:ascii="Times New Roman" w:hAnsi="Times New Roman" w:cs="Times New Roman"/>
                <w:color w:val="000000"/>
                <w:spacing w:val="8"/>
                <w:sz w:val="24"/>
                <w:szCs w:val="24"/>
                <w:lang w:eastAsia="hr-HR"/>
              </w:rPr>
              <w:t>ja borbe_protiv_ siromastva_i_ s</w:t>
            </w:r>
            <w:r w:rsidRPr="009B2E82">
              <w:rPr>
                <w:rFonts w:ascii="Times New Roman" w:hAnsi="Times New Roman" w:cs="Times New Roman"/>
                <w:color w:val="000000"/>
                <w:spacing w:val="5"/>
                <w:sz w:val="24"/>
                <w:szCs w:val="24"/>
                <w:lang w:eastAsia="hr-HR"/>
              </w:rPr>
              <w:t>ocijalne_iskljucenosti_2014_ 2020</w:t>
            </w:r>
            <w:r w:rsidRPr="009B2E82">
              <w:rPr>
                <w:rFonts w:ascii="Times New Roman" w:hAnsi="Times New Roman" w:cs="Times New Roman"/>
                <w:color w:val="000000"/>
                <w:spacing w:val="-4"/>
                <w:sz w:val="24"/>
                <w:szCs w:val="24"/>
                <w:lang w:eastAsia="hr-HR"/>
              </w:rPr>
              <w:t>/strategija_borbe_protiv_sirom</w:t>
            </w:r>
            <w:r w:rsidRPr="009B2E82">
              <w:rPr>
                <w:rFonts w:ascii="Times New Roman" w:hAnsi="Times New Roman" w:cs="Times New Roman"/>
                <w:color w:val="000000"/>
                <w:spacing w:val="8"/>
                <w:sz w:val="24"/>
                <w:szCs w:val="24"/>
                <w:lang w:eastAsia="hr-HR"/>
              </w:rPr>
              <w:t>astva_i_socijalne_iskljucenosti_r</w:t>
            </w:r>
            <w:r w:rsidRPr="009B2E82">
              <w:rPr>
                <w:rFonts w:ascii="Times New Roman" w:hAnsi="Times New Roman" w:cs="Times New Roman"/>
                <w:color w:val="000000"/>
                <w:spacing w:val="-1"/>
                <w:sz w:val="24"/>
                <w:szCs w:val="24"/>
                <w:lang w:eastAsia="hr-HR"/>
              </w:rPr>
              <w:t>epublike_hrvatske_2014_2020</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color w:val="000000"/>
                <w:lang w:eastAsia="hr-HR"/>
              </w:rPr>
              <w:t xml:space="preserve">Strategiju  borbe protiv siromaštva i socijalne isključenosti u Republici Hrvatskoj  </w:t>
            </w:r>
            <w:r w:rsidRPr="009B2E82">
              <w:rPr>
                <w:rFonts w:ascii="Times New Roman" w:hAnsi="Times New Roman" w:cs="Times New Roman"/>
                <w:color w:val="000000"/>
                <w:spacing w:val="20"/>
                <w:lang w:eastAsia="hr-HR"/>
              </w:rPr>
              <w:t xml:space="preserve">(2014. – 2020.) usvojila je Vlada Republike Hrvatske u ožujku </w:t>
            </w:r>
            <w:r w:rsidRPr="009B2E82">
              <w:rPr>
                <w:rFonts w:ascii="Times New Roman" w:hAnsi="Times New Roman" w:cs="Times New Roman"/>
                <w:color w:val="000000"/>
                <w:spacing w:val="-1"/>
                <w:lang w:eastAsia="hr-HR"/>
              </w:rPr>
              <w:t>2014.</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40" w:lineRule="auto"/>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40" w:lineRule="auto"/>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84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498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26" w:lineRule="exact"/>
              <w:ind w:right="101"/>
              <w:rPr>
                <w:rFonts w:ascii="Times New Roman" w:hAnsi="Times New Roman" w:cs="Times New Roman"/>
                <w:lang w:eastAsia="hr-HR"/>
              </w:rPr>
            </w:pPr>
            <w:r w:rsidRPr="00324C8B">
              <w:rPr>
                <w:rFonts w:ascii="Times New Roman" w:hAnsi="Times New Roman" w:cs="Times New Roman"/>
                <w:color w:val="000000"/>
                <w:spacing w:val="1"/>
                <w:lang w:eastAsia="hr-HR"/>
              </w:rPr>
              <w:t>T.09.1 - Postojanje i provedba nacionalnog strateškog okvira za politiku koji se odnosi na smanjenje siromaštva, čiji je cilj aktivno uključivanje ljudi isključenih s tržišta rada u skladu sa smjernicama o zapošljavanju.</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30" w:lineRule="exact"/>
              <w:ind w:right="182"/>
              <w:rPr>
                <w:rFonts w:ascii="Times New Roman" w:hAnsi="Times New Roman" w:cs="Times New Roman"/>
                <w:lang w:eastAsia="hr-HR"/>
              </w:rPr>
            </w:pPr>
            <w:r w:rsidRPr="00324C8B">
              <w:rPr>
                <w:rFonts w:ascii="Times New Roman" w:hAnsi="Times New Roman" w:cs="Times New Roman"/>
                <w:color w:val="000000"/>
                <w:spacing w:val="-1"/>
                <w:lang w:eastAsia="hr-HR"/>
              </w:rPr>
              <w:t>2 – osigurava dovoljnu bazu dokaza za razvoj politika za smanjenje siromaštva i  praćenje promjena;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Strategija  borbe protiv siromaštva i socijalne isključenosti u Republici Hrvatskoj </w:t>
            </w:r>
            <w:r w:rsidRPr="009B2E82">
              <w:rPr>
                <w:rFonts w:ascii="Times New Roman" w:hAnsi="Times New Roman" w:cs="Times New Roman"/>
                <w:color w:val="000000"/>
                <w:spacing w:val="3"/>
                <w:sz w:val="24"/>
                <w:szCs w:val="24"/>
                <w:lang w:eastAsia="hr-HR"/>
              </w:rPr>
              <w:t xml:space="preserve"> (2014. -2020.)</w:t>
            </w:r>
          </w:p>
          <w:p w:rsidR="009B2E82" w:rsidRPr="009B2E82" w:rsidRDefault="009B2E82" w:rsidP="009B2E82">
            <w:pPr>
              <w:shd w:val="clear" w:color="auto" w:fill="FFFFFF"/>
              <w:spacing w:line="274" w:lineRule="exact"/>
              <w:jc w:val="both"/>
              <w:rPr>
                <w:rFonts w:ascii="Times New Roman" w:hAnsi="Times New Roman" w:cs="Times New Roman"/>
                <w:color w:val="000000"/>
                <w:sz w:val="24"/>
                <w:szCs w:val="24"/>
                <w:lang w:eastAsia="hr-HR"/>
              </w:rPr>
            </w:pPr>
            <w:r w:rsidRPr="009B2E82">
              <w:rPr>
                <w:rFonts w:ascii="Times New Roman" w:hAnsi="Times New Roman" w:cs="Times New Roman"/>
                <w:color w:val="000000"/>
                <w:sz w:val="24"/>
                <w:szCs w:val="24"/>
                <w:lang w:eastAsia="hr-HR"/>
              </w:rPr>
              <w:t>Podaci o zapošljavanju - str. 21, podaci o stanovanju – str. 27, podaci o socijalnim i zdravstvenim uslugama – str. 32.</w:t>
            </w: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t>Provedena je analiza konteksta Hrvatske. Ona pokriva sva tri stajališta aktivnog uključivanja– adekvatnu pomoć za osobe s nedostatnim prihodima (uključujući socijalnu skrb, pomoć obiteljima, potpore iz mirovinskog i zdravstvenog sustava, itd.), aktivaciju na tržištu rada (kao što je analiza stanovništva kojemu prijeti opasnost od siromaštva prema njihovom stanju na tržištu rada i analiza aktivnih mjera na tržištu rada koje su do sada provedene) i omogućavanje pristupa uslugama (analiza potreba za uslugama u različitim sektorima, kao što je sektor socijalne skrbi, sektor zdravstva, odgoja i obrazovanja, na temelju analize podataka o potrebama za uslugama i broja osoba u nepovoljnom položaju.</w:t>
            </w:r>
          </w:p>
        </w:tc>
      </w:tr>
      <w:tr w:rsidR="009B2E82" w:rsidRPr="009B2E82" w:rsidTr="009B2E82">
        <w:trPr>
          <w:trHeight w:hRule="exact" w:val="326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26" w:lineRule="exact"/>
              <w:ind w:right="101"/>
              <w:rPr>
                <w:rFonts w:ascii="Times New Roman" w:hAnsi="Times New Roman" w:cs="Times New Roman"/>
                <w:lang w:eastAsia="hr-HR"/>
              </w:rPr>
            </w:pPr>
            <w:r w:rsidRPr="00324C8B">
              <w:rPr>
                <w:rFonts w:ascii="Times New Roman" w:hAnsi="Times New Roman" w:cs="Times New Roman"/>
                <w:color w:val="000000"/>
                <w:spacing w:val="1"/>
                <w:lang w:eastAsia="hr-HR"/>
              </w:rPr>
              <w:lastRenderedPageBreak/>
              <w:t>T.09.1 - Postojanje i provedba nacionalnog strateškog okvira za politiku koji se odnosi na smanjenje siromaštva, čiji je cilj aktivno uključivanje ljudi isključenih s tržišta rada u skladu sa smjernicama o zapošljavanju.</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26" w:lineRule="exact"/>
              <w:ind w:right="24"/>
              <w:rPr>
                <w:rFonts w:ascii="Times New Roman" w:hAnsi="Times New Roman" w:cs="Times New Roman"/>
                <w:color w:val="000000"/>
                <w:spacing w:val="-1"/>
                <w:lang w:eastAsia="hr-HR"/>
              </w:rPr>
            </w:pPr>
            <w:r w:rsidRPr="00324C8B">
              <w:rPr>
                <w:rFonts w:ascii="Times New Roman" w:hAnsi="Times New Roman" w:cs="Times New Roman"/>
                <w:color w:val="000000"/>
                <w:spacing w:val="-1"/>
                <w:lang w:eastAsia="hr-HR"/>
              </w:rPr>
              <w:t>3 - sadrži mjere kojima se podupire ostvarenje nacionalnog cilja u pogledu siromaštva i socijalne isključenosti (kako je definirano u Nacionalnom programu reformi), uključujući promicanje održivih i kvalitetnih prilika za zapošljavanje za osobe kojima najviše prijeti opasnost od socijalne isključenosti;</w:t>
            </w:r>
          </w:p>
          <w:p w:rsidR="009B2E82" w:rsidRPr="00324C8B" w:rsidRDefault="009B2E82" w:rsidP="009B2E82">
            <w:pPr>
              <w:shd w:val="clear" w:color="auto" w:fill="FFFFFF"/>
              <w:spacing w:line="226" w:lineRule="exact"/>
              <w:ind w:right="24"/>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74" w:lineRule="exact"/>
              <w:rPr>
                <w:rFonts w:ascii="Times New Roman" w:hAnsi="Times New Roman" w:cs="Times New Roman"/>
                <w:color w:val="000000"/>
                <w:spacing w:val="-2"/>
                <w:sz w:val="24"/>
                <w:szCs w:val="24"/>
                <w:lang w:eastAsia="hr-HR"/>
              </w:rPr>
            </w:pPr>
            <w:r w:rsidRPr="009B2E82">
              <w:rPr>
                <w:rFonts w:ascii="Times New Roman" w:hAnsi="Times New Roman" w:cs="Times New Roman"/>
                <w:color w:val="000000"/>
                <w:spacing w:val="-2"/>
                <w:sz w:val="24"/>
                <w:szCs w:val="24"/>
                <w:lang w:eastAsia="hr-HR"/>
              </w:rPr>
              <w:t>Strategija  borbe protiv siromaštva i socijalne isključenosti u Republici Hrvatskoj  (2014. -2020.)</w:t>
            </w:r>
          </w:p>
          <w:p w:rsidR="009B2E82" w:rsidRPr="009B2E82" w:rsidRDefault="009B2E82" w:rsidP="009B2E82">
            <w:pPr>
              <w:shd w:val="clear" w:color="auto" w:fill="FFFFFF"/>
              <w:spacing w:after="0" w:line="274" w:lineRule="exact"/>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http://www.mspm.hr/djelokrug_aktivnosti/socijalna_skrb/strategi</w:t>
            </w:r>
            <w:r w:rsidRPr="009B2E82">
              <w:rPr>
                <w:rFonts w:ascii="Times New Roman" w:hAnsi="Times New Roman" w:cs="Times New Roman"/>
                <w:color w:val="000000"/>
                <w:spacing w:val="8"/>
                <w:sz w:val="24"/>
                <w:szCs w:val="24"/>
                <w:lang w:eastAsia="hr-HR"/>
              </w:rPr>
              <w:t xml:space="preserve">ja borbe_protiv_siromastva_i_s </w:t>
            </w:r>
            <w:r w:rsidRPr="009B2E82">
              <w:rPr>
                <w:rFonts w:ascii="Times New Roman" w:hAnsi="Times New Roman" w:cs="Times New Roman"/>
                <w:color w:val="000000"/>
                <w:spacing w:val="5"/>
                <w:sz w:val="24"/>
                <w:szCs w:val="24"/>
                <w:lang w:eastAsia="hr-HR"/>
              </w:rPr>
              <w:t>ocijalne_</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Mjere za provedbu Strategije  borbe protiv siromaštva i socijalne isključenosti razvijat će se u sklopu posebnog programa provedbe strategije kojim će se pokriti razdoblja od 3 godine do 2020. Prvi plan provedbe bit će usvojen u trećem tromjesečju </w:t>
            </w:r>
            <w:r w:rsidRPr="009B2E82">
              <w:rPr>
                <w:rFonts w:ascii="Times New Roman" w:hAnsi="Times New Roman" w:cs="Times New Roman"/>
                <w:color w:val="000000"/>
                <w:spacing w:val="-2"/>
                <w:lang w:eastAsia="hr-HR"/>
              </w:rPr>
              <w:t xml:space="preserve"> 2014.</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35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ind w:right="5"/>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ind w:right="5"/>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675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1"/>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T.09.1 - </w:t>
            </w:r>
            <w:r w:rsidRPr="00324C8B">
              <w:rPr>
                <w:rFonts w:ascii="Times New Roman" w:hAnsi="Times New Roman" w:cs="Times New Roman"/>
                <w:color w:val="000000"/>
                <w:spacing w:val="1"/>
                <w:lang w:eastAsia="hr-HR"/>
              </w:rPr>
              <w:t>Postojanje i provedba nacionalnog strateškog okvira za politiku koji se odnosi na smanjenje siromaštva, čiji je cilj aktivno uključivanje ljudi isključenih s tržišta rada u skladu sa smjernicama o zapošljavanju.</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26" w:lineRule="exact"/>
              <w:ind w:right="341"/>
              <w:rPr>
                <w:rFonts w:ascii="Times New Roman" w:hAnsi="Times New Roman" w:cs="Times New Roman"/>
                <w:color w:val="000000"/>
                <w:spacing w:val="-1"/>
                <w:lang w:eastAsia="hr-HR"/>
              </w:rPr>
            </w:pPr>
            <w:r w:rsidRPr="00324C8B">
              <w:rPr>
                <w:rFonts w:ascii="Times New Roman" w:hAnsi="Times New Roman" w:cs="Times New Roman"/>
                <w:color w:val="000000"/>
                <w:spacing w:val="-1"/>
                <w:lang w:eastAsia="hr-HR"/>
              </w:rPr>
              <w:t>4 – uključuje mjerodavne zainteresirane strane u borbu protiv siromaštva;</w:t>
            </w:r>
          </w:p>
          <w:p w:rsidR="009B2E82" w:rsidRPr="009B2E82" w:rsidRDefault="009B2E82" w:rsidP="009B2E82">
            <w:pPr>
              <w:shd w:val="clear" w:color="auto" w:fill="FFFFFF"/>
              <w:spacing w:line="226" w:lineRule="exact"/>
              <w:ind w:right="341"/>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74" w:lineRule="exact"/>
              <w:rPr>
                <w:rFonts w:ascii="Times New Roman" w:hAnsi="Times New Roman" w:cs="Times New Roman"/>
                <w:color w:val="000000"/>
                <w:spacing w:val="1"/>
                <w:sz w:val="24"/>
                <w:szCs w:val="24"/>
                <w:lang w:eastAsia="hr-HR"/>
              </w:rPr>
            </w:pPr>
            <w:r w:rsidRPr="00324C8B">
              <w:rPr>
                <w:rFonts w:ascii="Times New Roman" w:hAnsi="Times New Roman" w:cs="Times New Roman"/>
                <w:color w:val="000000"/>
                <w:spacing w:val="1"/>
                <w:sz w:val="24"/>
                <w:szCs w:val="24"/>
                <w:lang w:eastAsia="hr-HR"/>
              </w:rPr>
              <w:t>Odluka o uspostavljanju radnih grupa za izradu Strategije  borbe protiv siromaštva: Odluka Vlade Republike Hrvatske, klasa:</w:t>
            </w:r>
            <w:r w:rsidRPr="00324C8B">
              <w:rPr>
                <w:rFonts w:ascii="Times New Roman" w:hAnsi="Times New Roman" w:cs="Times New Roman"/>
                <w:color w:val="000000"/>
                <w:spacing w:val="-2"/>
                <w:sz w:val="24"/>
                <w:szCs w:val="24"/>
                <w:lang w:eastAsia="hr-HR"/>
              </w:rPr>
              <w:t xml:space="preserve"> </w:t>
            </w:r>
            <w:r w:rsidRPr="00324C8B">
              <w:rPr>
                <w:rFonts w:ascii="Times New Roman" w:hAnsi="Times New Roman" w:cs="Times New Roman"/>
                <w:color w:val="000000"/>
                <w:spacing w:val="1"/>
                <w:sz w:val="24"/>
                <w:szCs w:val="24"/>
                <w:lang w:eastAsia="hr-HR"/>
              </w:rPr>
              <w:t xml:space="preserve">022-03713-04/112, ur. br. 50301-04/04-13-2, od 21. ožujka 2013.; dostupna na </w:t>
            </w:r>
            <w:r w:rsidRPr="00324C8B">
              <w:rPr>
                <w:rFonts w:ascii="Times New Roman" w:hAnsi="Times New Roman" w:cs="Times New Roman"/>
                <w:color w:val="000000"/>
                <w:spacing w:val="-1"/>
                <w:sz w:val="24"/>
                <w:szCs w:val="24"/>
                <w:lang w:eastAsia="hr-HR"/>
              </w:rPr>
              <w:t xml:space="preserve">https://vlada.gov.hr/UserDocs </w:t>
            </w:r>
            <w:r w:rsidRPr="00324C8B">
              <w:rPr>
                <w:rFonts w:ascii="Times New Roman" w:hAnsi="Times New Roman" w:cs="Times New Roman"/>
                <w:color w:val="000000"/>
                <w:spacing w:val="-3"/>
                <w:sz w:val="24"/>
                <w:szCs w:val="24"/>
                <w:lang w:eastAsia="hr-HR"/>
              </w:rPr>
              <w:t xml:space="preserve">Images//Sjednice/Arhiva//81 .%2 </w:t>
            </w:r>
            <w:r w:rsidRPr="00324C8B">
              <w:rPr>
                <w:rFonts w:ascii="Times New Roman" w:hAnsi="Times New Roman" w:cs="Times New Roman"/>
                <w:color w:val="000000"/>
                <w:spacing w:val="1"/>
                <w:sz w:val="24"/>
                <w:szCs w:val="24"/>
                <w:lang w:eastAsia="hr-HR"/>
              </w:rPr>
              <w:t>0-%2022.pdf</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7"/>
                <w:sz w:val="24"/>
                <w:szCs w:val="24"/>
                <w:lang w:eastAsia="hr-HR"/>
              </w:rPr>
              <w:t xml:space="preserve">Poziv na javnu raspravu o nacrtu strategije: </w:t>
            </w:r>
            <w:r w:rsidRPr="009B2E82">
              <w:rPr>
                <w:rFonts w:ascii="Times New Roman" w:hAnsi="Times New Roman" w:cs="Times New Roman"/>
                <w:color w:val="000000"/>
                <w:spacing w:val="-4"/>
                <w:sz w:val="24"/>
                <w:szCs w:val="24"/>
                <w:lang w:eastAsia="hr-HR"/>
              </w:rPr>
              <w:t xml:space="preserve"> </w:t>
            </w:r>
            <w:r w:rsidRPr="009B2E82">
              <w:rPr>
                <w:rFonts w:ascii="Times New Roman" w:hAnsi="Times New Roman" w:cs="Times New Roman"/>
                <w:color w:val="000000"/>
                <w:spacing w:val="-1"/>
                <w:sz w:val="24"/>
                <w:szCs w:val="24"/>
                <w:lang w:eastAsia="hr-HR"/>
              </w:rPr>
              <w:t>http://www.mspm.hr/novosti/vij</w:t>
            </w:r>
            <w:r w:rsidRPr="009B2E82">
              <w:rPr>
                <w:rFonts w:ascii="Times New Roman" w:hAnsi="Times New Roman" w:cs="Times New Roman"/>
                <w:color w:val="000000"/>
                <w:spacing w:val="10"/>
                <w:sz w:val="24"/>
                <w:szCs w:val="24"/>
                <w:lang w:eastAsia="hr-HR"/>
              </w:rPr>
              <w:t xml:space="preserve">esti/poziv_na_javnu_raspravu_o </w:t>
            </w:r>
            <w:r w:rsidRPr="009B2E82">
              <w:rPr>
                <w:rFonts w:ascii="Times New Roman" w:hAnsi="Times New Roman" w:cs="Times New Roman"/>
                <w:color w:val="000000"/>
                <w:spacing w:val="2"/>
                <w:sz w:val="24"/>
                <w:szCs w:val="24"/>
                <w:lang w:eastAsia="hr-HR"/>
              </w:rPr>
              <w:t xml:space="preserve">_prijedlogu_strategije_borbe_pr </w:t>
            </w:r>
            <w:r w:rsidRPr="009B2E82">
              <w:rPr>
                <w:rFonts w:ascii="Times New Roman" w:hAnsi="Times New Roman" w:cs="Times New Roman"/>
                <w:color w:val="000000"/>
                <w:spacing w:val="11"/>
                <w:sz w:val="24"/>
                <w:szCs w:val="24"/>
                <w:lang w:eastAsia="hr-HR"/>
              </w:rPr>
              <w:t>otiv_siromastva_i_socijalne_i skl</w:t>
            </w:r>
            <w:r w:rsidRPr="009B2E82">
              <w:rPr>
                <w:rFonts w:ascii="Times New Roman" w:hAnsi="Times New Roman" w:cs="Times New Roman"/>
                <w:color w:val="000000"/>
                <w:spacing w:val="5"/>
                <w:sz w:val="24"/>
                <w:szCs w:val="24"/>
                <w:lang w:eastAsia="hr-HR"/>
              </w:rPr>
              <w:t xml:space="preserve">jucenosti_ u_republici_ hrvatskoj </w:t>
            </w:r>
            <w:r w:rsidRPr="009B2E82">
              <w:rPr>
                <w:rFonts w:ascii="Times New Roman" w:hAnsi="Times New Roman" w:cs="Times New Roman"/>
                <w:color w:val="000000"/>
                <w:spacing w:val="-1"/>
                <w:sz w:val="24"/>
                <w:szCs w:val="24"/>
                <w:lang w:eastAsia="hr-HR"/>
              </w:rPr>
              <w:t>_2014_2020</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rPr>
                <w:rFonts w:ascii="Times New Roman" w:hAnsi="Times New Roman" w:cs="Times New Roman"/>
                <w:color w:val="000000"/>
                <w:spacing w:val="5"/>
                <w:lang w:eastAsia="hr-HR"/>
              </w:rPr>
            </w:pPr>
            <w:r w:rsidRPr="009B2E82">
              <w:rPr>
                <w:rFonts w:ascii="Times New Roman" w:hAnsi="Times New Roman" w:cs="Times New Roman"/>
                <w:color w:val="000000"/>
                <w:spacing w:val="5"/>
                <w:lang w:eastAsia="hr-HR"/>
              </w:rPr>
              <w:t xml:space="preserve">Osnovana je radna grupa za izradu i pripremu Strategije (Odluka Vlade Republike Hrvatske, klasa: 022-03713-04/112, ur. br. 50301-04/04-13-2, od 21. ožujka 2013. dostupna na: https://vlada.gov.hr/UserDocs Images//Sjednice/Arhiva//81.%2 0-%2022.pdf). </w:t>
            </w:r>
          </w:p>
          <w:p w:rsidR="009B2E82" w:rsidRPr="009B2E82" w:rsidRDefault="009B2E82" w:rsidP="009B2E82">
            <w:pPr>
              <w:shd w:val="clear" w:color="auto" w:fill="FFFFFF"/>
              <w:spacing w:line="226" w:lineRule="exact"/>
              <w:ind w:right="10"/>
              <w:rPr>
                <w:rFonts w:ascii="Times New Roman" w:hAnsi="Times New Roman" w:cs="Times New Roman"/>
                <w:color w:val="000000"/>
                <w:spacing w:val="5"/>
                <w:lang w:eastAsia="hr-HR"/>
              </w:rPr>
            </w:pPr>
            <w:r w:rsidRPr="009B2E82">
              <w:rPr>
                <w:rFonts w:ascii="Times New Roman" w:hAnsi="Times New Roman" w:cs="Times New Roman"/>
                <w:color w:val="000000"/>
                <w:spacing w:val="5"/>
                <w:lang w:eastAsia="hr-HR"/>
              </w:rPr>
              <w:t>Iz odluke je razvidno da su svi relevantni dionici uključeni u izradu Strategije. Među njima su relevantna tijela iz sektora odgoja i obrazovanja, zdravstva, socijalne skrbi, mirovinskog sustava, tržišta rada, sektora nevladinih organizacija, socijalni partneri itd. Također je organizirana javna rasprava o prijedlogu Strategije i trajala je do veljače 2014. Poveznica na tu javnu raspravu: http://www.mspm.hr/novosti/vijesti/poziv_na_javnu_raspravu_o _prijedlogu_strategije_borbe_pr otiv_siromastva_i_socijalne_i skljucenosti_ u_republici_ hrvatskoj _2014_2020</w:t>
            </w:r>
          </w:p>
          <w:p w:rsidR="009B2E82" w:rsidRPr="009B2E82" w:rsidRDefault="009B2E82" w:rsidP="009B2E82">
            <w:pPr>
              <w:shd w:val="clear" w:color="auto" w:fill="FFFFFF"/>
              <w:spacing w:line="226" w:lineRule="exact"/>
              <w:ind w:right="10"/>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478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1"/>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T.09.1 </w:t>
            </w:r>
            <w:r w:rsidRPr="00324C8B">
              <w:rPr>
                <w:rFonts w:ascii="Times New Roman" w:hAnsi="Times New Roman" w:cs="Times New Roman"/>
                <w:color w:val="000000"/>
                <w:spacing w:val="1"/>
                <w:lang w:eastAsia="hr-HR"/>
              </w:rPr>
              <w:t>- Postojanje i provedba nacionalnog strateškog okvira za politiku koji se odnosi na smanjenje siromaštva, čiji je cilj aktivno uključivanje ljudi isključenih s tržišta rada u skladu sa smjernicama o zapošljavanju.</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87"/>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5 – ovisno o utvrđenim potrebama, uključuje mjere za prelazak s institucionalne skrbi na skrb u zajednici;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Strategija  borbe protiv siromaštva i socijalne isključenosti u Republici Hrvatskoj </w:t>
            </w:r>
            <w:r w:rsidRPr="009B2E82">
              <w:rPr>
                <w:rFonts w:ascii="Times New Roman" w:hAnsi="Times New Roman" w:cs="Times New Roman"/>
                <w:color w:val="000000"/>
                <w:spacing w:val="3"/>
                <w:sz w:val="24"/>
                <w:szCs w:val="24"/>
                <w:lang w:eastAsia="hr-HR"/>
              </w:rPr>
              <w:t xml:space="preserve"> (2014. -2020.)</w:t>
            </w:r>
          </w:p>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lang w:eastAsia="hr-HR"/>
              </w:rPr>
              <w:t xml:space="preserve">Plan deinstitucionalizacije i transformacije domova socijalne skrbi i drugih pravnih osoba koje obavljaju djelatnost socijalne skrbi u Republici Hrvatskoj 2011. – 2016. (2018.): prepoznate potrebe i ciljevi mogu se pronaći u 3. poglavlju (stranice 22.-24.), 4. poglavlju (stranice 33.-34.), 5. poglavlju (stranice 44.-46.) i 6. poglavlju (stranice 50.-51.) </w:t>
            </w: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26" w:lineRule="exact"/>
              <w:jc w:val="both"/>
              <w:rPr>
                <w:rFonts w:ascii="Times New Roman" w:hAnsi="Times New Roman" w:cs="Times New Roman"/>
                <w:color w:val="000000"/>
                <w:spacing w:val="-1"/>
                <w:lang w:eastAsia="hr-HR"/>
              </w:rPr>
            </w:pPr>
            <w:r w:rsidRPr="00324C8B">
              <w:rPr>
                <w:rFonts w:ascii="Times New Roman" w:hAnsi="Times New Roman" w:cs="Times New Roman"/>
                <w:color w:val="000000"/>
                <w:spacing w:val="-1"/>
                <w:lang w:eastAsia="hr-HR"/>
              </w:rPr>
              <w:t>Na temelju plana deinstitucionalizacije, MSPM i relevantni dionici razvili su Operativni plan  deinstitucionalizacije i transformacije domova socijalne skrbi i drugih pravnih osoba koje obavljaju djelatnost socijalne skrbi u Republici Hrvatskoj za razdoblje 2014. – 2016., koji je usvojen odlukom ministrice 18. lipnja 2014. Sadrži konkretne mjere za provedbu procesa deinstitucionalizacije do 2016. (Mjera 2.2.1 Deinstitucionalizacija, Mjera 2.2.2 Aktivnosti vezane za koordinirano planiranje na svim razinama; Mjera 2.2.3 Transformacija domova socijalne skrbi).</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391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26" w:lineRule="exact"/>
              <w:ind w:right="101"/>
              <w:rPr>
                <w:rFonts w:ascii="Times New Roman" w:hAnsi="Times New Roman" w:cs="Times New Roman"/>
                <w:lang w:eastAsia="hr-HR"/>
              </w:rPr>
            </w:pPr>
            <w:r w:rsidRPr="00324C8B">
              <w:rPr>
                <w:rFonts w:ascii="Times New Roman" w:hAnsi="Times New Roman" w:cs="Times New Roman"/>
                <w:color w:val="000000"/>
                <w:spacing w:val="1"/>
                <w:lang w:eastAsia="hr-HR"/>
              </w:rPr>
              <w:t>T.09.1 - Postojanje i provedba nacionalnog strateškog okvira za politiku koji se odnosi na smanjenje siromaštva, čiji je cilj aktivno uključivanje ljudi isključenih s tržišta rada u skladu sa smjernicama o zapošljavanju.</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324C8B" w:rsidRDefault="009B2E82" w:rsidP="009B2E82">
            <w:pPr>
              <w:shd w:val="clear" w:color="auto" w:fill="FFFFFF"/>
              <w:spacing w:line="230" w:lineRule="exact"/>
              <w:ind w:right="154"/>
              <w:rPr>
                <w:rFonts w:ascii="Times New Roman" w:hAnsi="Times New Roman" w:cs="Times New Roman"/>
                <w:color w:val="000000"/>
                <w:spacing w:val="-1"/>
                <w:lang w:eastAsia="hr-HR"/>
              </w:rPr>
            </w:pPr>
            <w:r w:rsidRPr="00324C8B">
              <w:rPr>
                <w:rFonts w:ascii="Times New Roman" w:hAnsi="Times New Roman" w:cs="Times New Roman"/>
                <w:color w:val="000000"/>
                <w:spacing w:val="-1"/>
                <w:lang w:eastAsia="hr-HR"/>
              </w:rPr>
              <w:t>6 – Na zahtjev i ako je potrebno, relevantnim zainteresiranim stranama pruža se podrška pri podnošenju prijava za projekte i pri provedbi i vođenju odabranih projekata.</w:t>
            </w:r>
          </w:p>
          <w:p w:rsidR="009B2E82" w:rsidRPr="00324C8B" w:rsidRDefault="009B2E82" w:rsidP="009B2E82">
            <w:pPr>
              <w:shd w:val="clear" w:color="auto" w:fill="FFFFFF"/>
              <w:spacing w:line="230" w:lineRule="exact"/>
              <w:ind w:right="154"/>
              <w:rPr>
                <w:rFonts w:ascii="Times New Roman" w:hAnsi="Times New Roman" w:cs="Times New Roman"/>
                <w:color w:val="000000"/>
                <w:spacing w:val="-1"/>
                <w:lang w:eastAsia="hr-HR"/>
              </w:rPr>
            </w:pPr>
          </w:p>
          <w:p w:rsidR="009B2E82" w:rsidRPr="00324C8B" w:rsidRDefault="009B2E82" w:rsidP="009B2E82">
            <w:pPr>
              <w:shd w:val="clear" w:color="auto" w:fill="FFFFFF"/>
              <w:spacing w:line="230" w:lineRule="exact"/>
              <w:ind w:right="154"/>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14"/>
                <w:sz w:val="24"/>
                <w:szCs w:val="24"/>
                <w:lang w:eastAsia="hr-HR"/>
              </w:rPr>
              <w:t>Uredba Vlade Republike Hrvatske o unutarnjem ustrojstvu Ministarstva socijalne politike i mladih (Narodne novine 102/13)</w:t>
            </w:r>
            <w:r w:rsidRPr="009B2E82">
              <w:rPr>
                <w:rFonts w:ascii="Times New Roman" w:hAnsi="Times New Roman" w:cs="Times New Roman"/>
                <w:color w:val="000000"/>
                <w:spacing w:val="-2"/>
                <w:sz w:val="24"/>
                <w:szCs w:val="24"/>
                <w:lang w:eastAsia="hr-HR"/>
              </w:rPr>
              <w:t xml:space="preserve">: </w:t>
            </w:r>
            <w:r w:rsidRPr="009B2E82">
              <w:rPr>
                <w:rFonts w:ascii="Times New Roman" w:hAnsi="Times New Roman" w:cs="Times New Roman"/>
                <w:color w:val="000000"/>
                <w:spacing w:val="-1"/>
                <w:sz w:val="24"/>
                <w:szCs w:val="24"/>
                <w:lang w:eastAsia="hr-HR"/>
              </w:rPr>
              <w:t>http://narodne-</w:t>
            </w:r>
            <w:r w:rsidRPr="009B2E82">
              <w:rPr>
                <w:rFonts w:ascii="Times New Roman" w:hAnsi="Times New Roman" w:cs="Times New Roman"/>
                <w:color w:val="000000"/>
                <w:spacing w:val="-2"/>
                <w:sz w:val="24"/>
                <w:szCs w:val="24"/>
                <w:lang w:eastAsia="hr-HR"/>
              </w:rPr>
              <w:t xml:space="preserve">novine.nn.hr/clanci/sluzbeni/201 </w:t>
            </w:r>
            <w:r w:rsidRPr="009B2E82">
              <w:rPr>
                <w:rFonts w:ascii="Times New Roman" w:hAnsi="Times New Roman" w:cs="Times New Roman"/>
                <w:color w:val="000000"/>
                <w:spacing w:val="5"/>
                <w:sz w:val="24"/>
                <w:szCs w:val="24"/>
                <w:lang w:eastAsia="hr-HR"/>
              </w:rPr>
              <w:t xml:space="preserve">3 08  102 2290.html, članci </w:t>
            </w:r>
            <w:r w:rsidRPr="009B2E82">
              <w:rPr>
                <w:rFonts w:ascii="Times New Roman" w:hAnsi="Times New Roman" w:cs="Times New Roman"/>
                <w:color w:val="000000"/>
                <w:spacing w:val="-5"/>
                <w:sz w:val="24"/>
                <w:szCs w:val="24"/>
                <w:lang w:eastAsia="hr-HR"/>
              </w:rPr>
              <w:t>28.-32.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both"/>
              <w:rPr>
                <w:rFonts w:ascii="Times New Roman" w:hAnsi="Times New Roman" w:cs="Times New Roman"/>
                <w:color w:val="000000"/>
                <w:spacing w:val="6"/>
                <w:lang w:eastAsia="hr-HR"/>
              </w:rPr>
            </w:pPr>
            <w:r w:rsidRPr="009B2E82">
              <w:rPr>
                <w:rFonts w:ascii="Times New Roman" w:hAnsi="Times New Roman" w:cs="Times New Roman"/>
                <w:color w:val="000000"/>
                <w:spacing w:val="6"/>
                <w:lang w:eastAsia="hr-HR"/>
              </w:rPr>
              <w:t xml:space="preserve">Prema Pravilniku o unutarnjem ustrojstvu MSPM-a, Služba za fondove EU-a u sklopu MSPM-a odgovorna je za pružanje podrške potencijalnim prijaviteljima/dionicima projekata financiranih iz strukturnih fondova EU-a u pripremi i provedbi projekata u području Socijalnog uključivanja u nadležnosti MSPM-a. </w:t>
            </w:r>
            <w:r w:rsidRPr="009B2E82">
              <w:rPr>
                <w:rFonts w:ascii="Times New Roman" w:hAnsi="Times New Roman" w:cs="Times New Roman"/>
                <w:color w:val="000000"/>
                <w:spacing w:val="6"/>
                <w:lang w:eastAsia="hr-HR"/>
              </w:rPr>
              <w:br/>
              <w:t xml:space="preserve">Također, kao posredničko tijelo  razine 1, MSPM organizira </w:t>
            </w:r>
          </w:p>
          <w:p w:rsidR="009B2E82" w:rsidRPr="009B2E82" w:rsidRDefault="009B2E82" w:rsidP="009B2E82">
            <w:pPr>
              <w:shd w:val="clear" w:color="auto" w:fill="FFFFFF"/>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278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informativne sastanke za potencijalne korisnike svakog programa dodjele bespovratnih sredstava pod nadležnošću MSPM-a i objavljenog u sklopu strukturnih fondova EU-a. Nadalje, posredničko tijelo razine 2 organizira sastanke povezane s provedbom za korisnike bespovratnih sredstava, kako bi pomoglo u provedbi i pružilo informacije o financiranju, izvješćivanju, pokazateljima itd.</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457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ind w:right="86"/>
              <w:rPr>
                <w:rFonts w:ascii="Times New Roman" w:hAnsi="Times New Roman" w:cs="Times New Roman"/>
                <w:color w:val="000000"/>
                <w:spacing w:val="-2"/>
                <w:lang w:eastAsia="hr-HR"/>
              </w:rPr>
            </w:pPr>
            <w:r w:rsidRPr="009B2E82">
              <w:rPr>
                <w:rFonts w:ascii="Times New Roman" w:hAnsi="Times New Roman" w:cs="Times New Roman"/>
                <w:color w:val="000000"/>
                <w:spacing w:val="1"/>
                <w:lang w:eastAsia="hr-HR"/>
              </w:rPr>
              <w:t>T.09.2 - Provodi se nacionalni strateški okvir politike za uključivanje romskog stanovništva</w:t>
            </w:r>
            <w:r w:rsidRPr="009B2E82">
              <w:rPr>
                <w:rFonts w:ascii="Times New Roman" w:hAnsi="Times New Roman" w:cs="Times New Roman"/>
                <w:color w:val="000000"/>
                <w:spacing w:val="-2"/>
                <w:lang w:eastAsia="hr-HR"/>
              </w:rPr>
              <w:t xml:space="preserve">. </w:t>
            </w:r>
          </w:p>
          <w:p w:rsidR="009B2E82" w:rsidRPr="009B2E82" w:rsidRDefault="009B2E82" w:rsidP="009B2E82">
            <w:pPr>
              <w:shd w:val="clear" w:color="auto" w:fill="FFFFFF"/>
              <w:spacing w:line="235" w:lineRule="exact"/>
              <w:ind w:right="86"/>
              <w:rPr>
                <w:rFonts w:ascii="Times New Roman" w:hAnsi="Times New Roman" w:cs="Times New Roman"/>
                <w:color w:val="000000"/>
                <w:spacing w:val="-2"/>
                <w:lang w:eastAsia="hr-HR"/>
              </w:rPr>
            </w:pPr>
          </w:p>
          <w:p w:rsidR="009B2E82" w:rsidRPr="009B2E82" w:rsidRDefault="009B2E82" w:rsidP="009B2E82">
            <w:pPr>
              <w:shd w:val="clear" w:color="auto" w:fill="FFFFFF"/>
              <w:spacing w:line="235" w:lineRule="exact"/>
              <w:ind w:right="86"/>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6"/>
              <w:rPr>
                <w:rFonts w:ascii="Times New Roman" w:hAnsi="Times New Roman" w:cs="Times New Roman"/>
                <w:color w:val="000000"/>
                <w:spacing w:val="-2"/>
                <w:lang w:eastAsia="hr-HR"/>
              </w:rPr>
            </w:pPr>
            <w:r w:rsidRPr="009B2E82">
              <w:rPr>
                <w:rFonts w:ascii="Times New Roman" w:hAnsi="Times New Roman" w:cs="Times New Roman"/>
                <w:color w:val="000000"/>
                <w:spacing w:val="-2"/>
                <w:lang w:eastAsia="hr-HR"/>
              </w:rPr>
              <w:t xml:space="preserve">1 - Provodi se nacionalni strateški okvir politike za uključivanje romskog stanovništva koji: </w:t>
            </w:r>
          </w:p>
          <w:p w:rsidR="009B2E82" w:rsidRPr="009B2E82" w:rsidRDefault="009B2E82" w:rsidP="009B2E82">
            <w:pPr>
              <w:shd w:val="clear" w:color="auto" w:fill="FFFFFF"/>
              <w:spacing w:line="230" w:lineRule="exact"/>
              <w:ind w:right="106"/>
              <w:rPr>
                <w:rFonts w:ascii="Times New Roman" w:hAnsi="Times New Roman" w:cs="Times New Roman"/>
                <w:color w:val="000000"/>
                <w:spacing w:val="-2"/>
                <w:lang w:eastAsia="hr-HR"/>
              </w:rPr>
            </w:pPr>
          </w:p>
          <w:p w:rsidR="009B2E82" w:rsidRPr="009B2E82" w:rsidRDefault="009B2E82" w:rsidP="009B2E82">
            <w:pPr>
              <w:shd w:val="clear" w:color="auto" w:fill="FFFFFF"/>
              <w:spacing w:line="230" w:lineRule="exact"/>
              <w:ind w:right="106"/>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69" w:lineRule="exact"/>
              <w:rPr>
                <w:rFonts w:ascii="Times New Roman" w:hAnsi="Times New Roman" w:cs="Times New Roman"/>
                <w:color w:val="000000"/>
                <w:spacing w:val="1"/>
                <w:sz w:val="24"/>
                <w:szCs w:val="24"/>
                <w:lang w:eastAsia="hr-HR"/>
              </w:rPr>
            </w:pPr>
            <w:r w:rsidRPr="009B2E82">
              <w:rPr>
                <w:rFonts w:ascii="Times New Roman" w:hAnsi="Times New Roman" w:cs="Times New Roman"/>
                <w:color w:val="000000"/>
                <w:spacing w:val="1"/>
                <w:sz w:val="24"/>
                <w:szCs w:val="24"/>
                <w:lang w:eastAsia="hr-HR"/>
              </w:rPr>
              <w:t>Nacionalna strategija za uključivanje Roma 2013.-2020.</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http://www.uljppnm.vlada.hr/ind </w:t>
            </w:r>
            <w:r w:rsidRPr="009B2E82">
              <w:rPr>
                <w:rFonts w:ascii="Times New Roman" w:hAnsi="Times New Roman" w:cs="Times New Roman"/>
                <w:color w:val="000000"/>
                <w:spacing w:val="1"/>
                <w:sz w:val="24"/>
                <w:szCs w:val="24"/>
                <w:lang w:eastAsia="hr-HR"/>
              </w:rPr>
              <w:t xml:space="preserve">ex.php?option=com content&amp;vi </w:t>
            </w:r>
            <w:r w:rsidRPr="009B2E82">
              <w:rPr>
                <w:rFonts w:ascii="Times New Roman" w:hAnsi="Times New Roman" w:cs="Times New Roman"/>
                <w:color w:val="000000"/>
                <w:spacing w:val="-2"/>
                <w:sz w:val="24"/>
                <w:szCs w:val="24"/>
                <w:lang w:eastAsia="hr-HR"/>
              </w:rPr>
              <w:t>ew=article&amp;id=l 13&amp;Itemid=83</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 xml:space="preserve">Akcijski plan za provođenje Strategije za uključivanje Roma za razdoblje 2013. – 2015. </w:t>
            </w:r>
            <w:r w:rsidRPr="009B2E82">
              <w:rPr>
                <w:rFonts w:ascii="Times New Roman" w:hAnsi="Times New Roman" w:cs="Times New Roman"/>
                <w:color w:val="000000"/>
                <w:spacing w:val="-2"/>
                <w:sz w:val="24"/>
                <w:szCs w:val="24"/>
                <w:lang w:eastAsia="hr-HR"/>
              </w:rPr>
              <w:t xml:space="preserve">http://www.uljppnm.vlada.hr/ind </w:t>
            </w:r>
            <w:r w:rsidRPr="009B2E82">
              <w:rPr>
                <w:rFonts w:ascii="Times New Roman" w:hAnsi="Times New Roman" w:cs="Times New Roman"/>
                <w:color w:val="000000"/>
                <w:spacing w:val="1"/>
                <w:sz w:val="24"/>
                <w:szCs w:val="24"/>
                <w:lang w:eastAsia="hr-HR"/>
              </w:rPr>
              <w:t>ex.php?option=com content&amp;view=article&amp;id=l 13&amp;Itemid=83</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Strategiju za uključivanje Roma za razdoblje 2013.–2015. donijela je Vlada Republike Hrvatske u studenom 2012. </w:t>
            </w:r>
          </w:p>
          <w:p w:rsidR="009B2E82" w:rsidRPr="009B2E82" w:rsidRDefault="009B2E82" w:rsidP="009B2E82">
            <w:pPr>
              <w:shd w:val="clear" w:color="auto" w:fill="FFFFFF"/>
              <w:spacing w:line="230"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Popratni Akcijski plan za razdoblje 2013.–2015. donijela je Vlada 10. travnja 2013. </w:t>
            </w:r>
          </w:p>
          <w:p w:rsidR="009B2E82" w:rsidRPr="009B2E82" w:rsidRDefault="009B2E82" w:rsidP="009B2E82">
            <w:pPr>
              <w:shd w:val="clear" w:color="auto" w:fill="FFFFFF"/>
              <w:spacing w:line="230" w:lineRule="exact"/>
              <w:jc w:val="both"/>
              <w:rPr>
                <w:rFonts w:ascii="Times New Roman" w:hAnsi="Times New Roman" w:cs="Times New Roman"/>
                <w:color w:val="000000"/>
                <w:lang w:eastAsia="hr-HR"/>
              </w:rPr>
            </w:pP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534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ind w:right="86"/>
              <w:rPr>
                <w:rFonts w:ascii="Times New Roman" w:hAnsi="Times New Roman" w:cs="Times New Roman"/>
                <w:lang w:eastAsia="hr-HR"/>
              </w:rPr>
            </w:pPr>
            <w:r w:rsidRPr="009B2E82">
              <w:rPr>
                <w:rFonts w:ascii="Times New Roman" w:hAnsi="Times New Roman" w:cs="Times New Roman"/>
                <w:color w:val="000000"/>
                <w:spacing w:val="1"/>
                <w:lang w:eastAsia="hr-HR"/>
              </w:rPr>
              <w:t>T.09.2 - Provodi se nacionalni strateški okvir politike za uključivanje romskog stanovništva</w:t>
            </w:r>
            <w:r w:rsidRPr="009B2E82">
              <w:rPr>
                <w:rFonts w:ascii="Times New Roman" w:hAnsi="Times New Roman" w:cs="Times New Roman"/>
                <w:color w:val="000000"/>
                <w:spacing w:val="-2"/>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38"/>
              <w:rPr>
                <w:rFonts w:ascii="Times New Roman" w:hAnsi="Times New Roman" w:cs="Times New Roman"/>
                <w:lang w:eastAsia="hr-HR"/>
              </w:rPr>
            </w:pPr>
            <w:r w:rsidRPr="009B2E82">
              <w:rPr>
                <w:rFonts w:ascii="Times New Roman" w:hAnsi="Times New Roman" w:cs="Times New Roman"/>
                <w:color w:val="000000"/>
                <w:lang w:eastAsia="hr-HR"/>
              </w:rPr>
              <w:t>2 - o</w:t>
            </w:r>
            <w:r w:rsidRPr="009B2E82">
              <w:rPr>
                <w:rFonts w:ascii="Times New Roman" w:hAnsi="Times New Roman" w:cs="Times New Roman"/>
                <w:color w:val="000000"/>
                <w:spacing w:val="-2"/>
                <w:lang w:eastAsia="hr-HR"/>
              </w:rPr>
              <w:t>dređuje ostvarljive nacionalne ciljeve za integraciju Roma kako bi se premostio jaz u odnosu na opću  populaciju. Ti bi ciljevi trebali biti usmjereni na postizanje najmanje četiri cilja EU-a u vezi s integracijom Roma, koji se odnose na pristup obrazovanju, zapošljavanje, zdravstvenu skrb i stanovanje;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69" w:lineRule="exact"/>
              <w:jc w:val="both"/>
              <w:rPr>
                <w:rFonts w:ascii="Times New Roman" w:hAnsi="Times New Roman" w:cs="Times New Roman"/>
                <w:color w:val="000000"/>
                <w:spacing w:val="4"/>
                <w:sz w:val="24"/>
                <w:szCs w:val="24"/>
                <w:lang w:eastAsia="hr-HR"/>
              </w:rPr>
            </w:pPr>
            <w:r w:rsidRPr="009B2E82">
              <w:rPr>
                <w:rFonts w:ascii="Times New Roman" w:hAnsi="Times New Roman" w:cs="Times New Roman"/>
                <w:color w:val="000000"/>
                <w:spacing w:val="4"/>
                <w:sz w:val="24"/>
                <w:szCs w:val="24"/>
                <w:lang w:eastAsia="hr-HR"/>
              </w:rPr>
              <w:t>Nacionalna strategija za uključivanje Roma 2013.-2020.</w:t>
            </w:r>
          </w:p>
          <w:p w:rsidR="009B2E82" w:rsidRPr="009B2E82" w:rsidRDefault="009B2E82" w:rsidP="009B2E82">
            <w:pPr>
              <w:shd w:val="clear" w:color="auto" w:fill="FFFFFF"/>
              <w:spacing w:line="269" w:lineRule="exact"/>
              <w:jc w:val="both"/>
              <w:rPr>
                <w:rFonts w:ascii="Times New Roman" w:hAnsi="Times New Roman" w:cs="Times New Roman"/>
                <w:color w:val="000000"/>
                <w:spacing w:val="4"/>
                <w:sz w:val="24"/>
                <w:szCs w:val="24"/>
                <w:lang w:eastAsia="hr-HR"/>
              </w:rPr>
            </w:pPr>
            <w:r w:rsidRPr="009B2E82">
              <w:rPr>
                <w:rFonts w:ascii="Times New Roman" w:hAnsi="Times New Roman" w:cs="Times New Roman"/>
                <w:color w:val="000000"/>
                <w:spacing w:val="4"/>
                <w:sz w:val="24"/>
                <w:szCs w:val="24"/>
                <w:lang w:eastAsia="hr-HR"/>
              </w:rPr>
              <w:t>http://www.uljppnm.vlada.hr/ind ex.php?option=com content&amp;vi ew=article&amp;id=l13&amp;Itemid=83</w:t>
            </w:r>
          </w:p>
          <w:p w:rsidR="009B2E82" w:rsidRPr="009B2E82" w:rsidRDefault="009B2E82" w:rsidP="009B2E82">
            <w:pPr>
              <w:shd w:val="clear" w:color="auto" w:fill="FFFFFF"/>
              <w:spacing w:line="274" w:lineRule="exact"/>
              <w:rPr>
                <w:rFonts w:ascii="Times New Roman" w:hAnsi="Times New Roman" w:cs="Times New Roman"/>
                <w:color w:val="000000"/>
                <w:spacing w:val="4"/>
                <w:sz w:val="24"/>
                <w:szCs w:val="24"/>
                <w:lang w:eastAsia="hr-HR"/>
              </w:rPr>
            </w:pPr>
            <w:r w:rsidRPr="009B2E82">
              <w:rPr>
                <w:rFonts w:ascii="Times New Roman" w:hAnsi="Times New Roman" w:cs="Times New Roman"/>
                <w:color w:val="000000"/>
                <w:spacing w:val="4"/>
                <w:sz w:val="24"/>
                <w:szCs w:val="24"/>
                <w:lang w:eastAsia="hr-HR"/>
              </w:rPr>
              <w:t xml:space="preserve">Akcijski plan za provođenje Strategije za uključivanje Roma za razdoblje 2013. – 2015. </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4"/>
                <w:sz w:val="24"/>
                <w:szCs w:val="24"/>
                <w:lang w:eastAsia="hr-HR"/>
              </w:rPr>
              <w:t>http://www.uljppnm.vlada.hr/ind ex.php?option=com content&amp;vi</w:t>
            </w:r>
            <w:r w:rsidRPr="009B2E82">
              <w:rPr>
                <w:rFonts w:ascii="Times New Roman" w:hAnsi="Times New Roman" w:cs="Times New Roman"/>
                <w:color w:val="000000"/>
                <w:spacing w:val="-2"/>
                <w:sz w:val="24"/>
                <w:szCs w:val="24"/>
                <w:lang w:eastAsia="hr-HR"/>
              </w:rPr>
              <w:t>ew=article&amp;id=l13&amp;Itemid=83</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lang w:eastAsia="hr-HR"/>
              </w:rPr>
            </w:pPr>
            <w:r w:rsidRPr="009B2E82">
              <w:rPr>
                <w:rFonts w:ascii="Times New Roman" w:hAnsi="Times New Roman" w:cs="Times New Roman"/>
                <w:color w:val="000000"/>
                <w:lang w:eastAsia="hr-HR"/>
              </w:rPr>
              <w:t>Nacionalna Strategija za integraciju Roma (NSIR) uključuje ciljeve integracije Roma koji se odnose na obrazovanje, zapošljavanje,  zdravstvo, socijalnu skrb, prostorno planiranje, stanovanje i zaštitu okoliša, uključivanje u društveni i kulturni život i rješavanje statusa, suzbijanje diskriminacije i pomoć u ostvarivanju prava romske manjine.</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192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ind w:right="86"/>
              <w:rPr>
                <w:rFonts w:ascii="Times New Roman" w:hAnsi="Times New Roman" w:cs="Times New Roman"/>
                <w:lang w:eastAsia="hr-HR"/>
              </w:rPr>
            </w:pPr>
            <w:r w:rsidRPr="009B2E82">
              <w:rPr>
                <w:rFonts w:ascii="Times New Roman" w:hAnsi="Times New Roman" w:cs="Times New Roman"/>
                <w:color w:val="000000"/>
                <w:spacing w:val="1"/>
                <w:lang w:eastAsia="hr-HR"/>
              </w:rPr>
              <w:t>T.09.2 - Provodi se nacionalni strateški okvir politike za uključivanje romskog stanovništva</w:t>
            </w:r>
            <w:r w:rsidRPr="009B2E82">
              <w:rPr>
                <w:rFonts w:ascii="Times New Roman" w:hAnsi="Times New Roman" w:cs="Times New Roman"/>
                <w:color w:val="000000"/>
                <w:spacing w:val="-2"/>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92"/>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3 - gdje je potrebno, identificira mikroregije s razvojnim poteškoćama ili segregirane četvrti u kojima su zajednice najviše deprivirane, koristeći se već dostupnim socioekonomskim i teritorijalnim pokazateljima (a to su vrlo niska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 xml:space="preserve">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lang w:eastAsia="hr-HR"/>
              </w:rPr>
              <w:t>Za mapiranje romskih zajednica i identificiranje mikroregija s razvojnim poteškoćama ili segregiranih četvrti u kojima su zajednice najviše</w:t>
            </w: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lang w:eastAsia="hr-HR"/>
              </w:rPr>
              <w:t xml:space="preserve">I Nacionalna strategija integracije Roma (NSIR) i prateći Akcijski plan navode mapiranje romske zajednice i, posebice, mikroregija s razvojnim poteškoćama kao preduvjet za pravilno kreiranje politike. Ured za ljudska prava i prava nacionalnih manjina (ULJPPNM) planira razviti </w:t>
            </w:r>
          </w:p>
          <w:p w:rsidR="009B2E82" w:rsidRPr="009B2E82" w:rsidRDefault="009B2E82" w:rsidP="009B2E82">
            <w:pPr>
              <w:shd w:val="clear" w:color="auto" w:fill="FFFFFF"/>
              <w:spacing w:line="230"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542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989"/>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razina obrazovanosti, dugoročna nezaposlenost itd.);</w:t>
            </w:r>
          </w:p>
          <w:p w:rsidR="009B2E82" w:rsidRPr="009B2E82" w:rsidRDefault="009B2E82" w:rsidP="009B2E82">
            <w:pPr>
              <w:shd w:val="clear" w:color="auto" w:fill="FFFFFF"/>
              <w:spacing w:line="230" w:lineRule="exact"/>
              <w:ind w:right="989"/>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deprivirane, koristeći se već dostupnim socioekonomskim i teritorijalnim pokazateljima (a to su vrlo niska razina obrazovanosti, dugoročna nezaposlenost itd.), </w:t>
            </w:r>
            <w:r w:rsidRPr="009B2E82">
              <w:rPr>
                <w:rFonts w:ascii="Times New Roman" w:hAnsi="Times New Roman" w:cs="Times New Roman"/>
                <w:color w:val="000000"/>
                <w:spacing w:val="5"/>
                <w:sz w:val="24"/>
                <w:szCs w:val="24"/>
                <w:lang w:eastAsia="hr-HR"/>
              </w:rPr>
              <w:t xml:space="preserve">vidi NSIR </w:t>
            </w:r>
            <w:r w:rsidRPr="009B2E82">
              <w:rPr>
                <w:rFonts w:ascii="Times New Roman" w:hAnsi="Times New Roman" w:cs="Times New Roman"/>
                <w:color w:val="000000"/>
                <w:spacing w:val="-2"/>
                <w:sz w:val="24"/>
                <w:szCs w:val="24"/>
                <w:lang w:eastAsia="hr-HR"/>
              </w:rPr>
              <w:t>str. 53., 121., 124.</w:t>
            </w:r>
          </w:p>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iCs/>
                <w:color w:val="000000"/>
                <w:spacing w:val="22"/>
                <w:sz w:val="24"/>
                <w:szCs w:val="24"/>
                <w:lang w:eastAsia="hr-HR"/>
              </w:rPr>
              <w:t xml:space="preserve">Akcijski plan 2013.-2015., </w:t>
            </w:r>
            <w:r w:rsidRPr="009B2E82">
              <w:rPr>
                <w:rFonts w:ascii="Times New Roman" w:hAnsi="Times New Roman" w:cs="Times New Roman"/>
                <w:iCs/>
                <w:color w:val="000000"/>
                <w:spacing w:val="1"/>
                <w:sz w:val="24"/>
                <w:szCs w:val="24"/>
                <w:lang w:eastAsia="hr-HR"/>
              </w:rPr>
              <w:t>poglavlje 8.1.2.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bazu podataka o romskim zajednicama u Hrvatskoj, s posebnim osvrtom na mapiranje mikroregija u  kojima su Romi u posebno teškom stanju. Ova baza podataka i mapiranje pripremit će do 4. tromjesečja 2016. u okviru IPA projekta 2012. “Podrška nacionalnim manjinama na lokalnoj razini" (očekuje se da će početi u 2. kvartalu 2015.). Mapiranje će biti osnova za izradu, provođenje i praćenje politike, kao i procjenu u relevantnim područjima na nacionalnoj i lokalnoj razini. Ministarstvo znanosti, obrazovanja i sporta, regionalni centri socijalne skrbi, kao i Hrvatski zavod za zapošljavanje (HZZ) također imaju neovisne baze podataka, u kojima su temeljni podaci na raspolaganju ULJPPNM-u i drugim zainteresiranim stranama (u okviru zakonskih granica sustava zaštite privatnosti), a njihovi glavni</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235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ind w:right="86"/>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T.09.2 - Provodi se nacionalni strateški okvir politike za uključivanje romskog stanovništva</w:t>
            </w:r>
            <w:r w:rsidRPr="009B2E82">
              <w:rPr>
                <w:rFonts w:ascii="Times New Roman" w:hAnsi="Times New Roman" w:cs="Times New Roman"/>
                <w:color w:val="000000"/>
                <w:spacing w:val="-2"/>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96"/>
              <w:rPr>
                <w:rFonts w:ascii="Times New Roman" w:hAnsi="Times New Roman" w:cs="Times New Roman"/>
                <w:color w:val="000000"/>
                <w:spacing w:val="-2"/>
                <w:lang w:eastAsia="hr-HR"/>
              </w:rPr>
            </w:pPr>
            <w:r w:rsidRPr="009B2E82">
              <w:rPr>
                <w:rFonts w:ascii="Times New Roman" w:hAnsi="Times New Roman" w:cs="Times New Roman"/>
                <w:color w:val="000000"/>
                <w:spacing w:val="-1"/>
                <w:lang w:eastAsia="hr-HR"/>
              </w:rPr>
              <w:t xml:space="preserve">4 - </w:t>
            </w:r>
            <w:r w:rsidRPr="009B2E82">
              <w:rPr>
                <w:rFonts w:ascii="Times New Roman" w:hAnsi="Times New Roman" w:cs="Times New Roman"/>
                <w:color w:val="000000"/>
                <w:spacing w:val="-2"/>
                <w:lang w:eastAsia="hr-HR"/>
              </w:rPr>
              <w:t>obuhvaća pouzdane metode praćenja za procjenu učinka aktivnosti integracije Roma i mehanizam revizije prilagodbe strategije;</w:t>
            </w:r>
          </w:p>
          <w:p w:rsidR="009B2E82" w:rsidRPr="009B2E82" w:rsidRDefault="009B2E82" w:rsidP="009B2E82">
            <w:pPr>
              <w:shd w:val="clear" w:color="auto" w:fill="FFFFFF"/>
              <w:spacing w:line="230" w:lineRule="exact"/>
              <w:ind w:right="96"/>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5"/>
                <w:sz w:val="24"/>
                <w:szCs w:val="24"/>
                <w:lang w:eastAsia="hr-HR"/>
              </w:rPr>
              <w:t xml:space="preserve">Za metode praćenja i mehanizma revizije prilagodbe strategije koja je </w:t>
            </w:r>
            <w:r w:rsidRPr="009B2E82">
              <w:rPr>
                <w:rFonts w:ascii="Times New Roman" w:hAnsi="Times New Roman" w:cs="Times New Roman"/>
                <w:color w:val="000000"/>
                <w:spacing w:val="9"/>
                <w:sz w:val="24"/>
                <w:szCs w:val="24"/>
                <w:lang w:eastAsia="hr-HR"/>
              </w:rPr>
              <w:t>izrađena, provodi se i nadzire u bliskoj suradnji i trajnom dijalogu s romskim udrugama civilnog društva te regionalnim i lokalnim vlastima</w:t>
            </w:r>
            <w:r w:rsidRPr="009B2E82">
              <w:rPr>
                <w:rFonts w:ascii="Times New Roman" w:hAnsi="Times New Roman" w:cs="Times New Roman"/>
                <w:color w:val="000000"/>
                <w:spacing w:val="2"/>
                <w:sz w:val="24"/>
                <w:szCs w:val="24"/>
                <w:lang w:eastAsia="hr-HR"/>
              </w:rPr>
              <w:t xml:space="preserve">, vidi NSIR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Iznad navedeni odjeljci o poglavljima NSIR-a i mehanizmima praćenja sadrže i reference o sudjelovanju romskih udruga civilnog društva te regionalnih i lokalnih vlasti u izradi, provedbi i praćenju NSIR-a, kao i svrhe, ciljeve, pokazatelje napretka, a predstavljaju i neke osnovne podatke, te navode izvore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531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jc w:val="both"/>
              <w:rPr>
                <w:rFonts w:ascii="Times New Roman" w:hAnsi="Times New Roman" w:cs="Times New Roman"/>
                <w:lang w:eastAsia="hr-HR"/>
              </w:rPr>
            </w:pPr>
            <w:r w:rsidRPr="009B2E82">
              <w:rPr>
                <w:rFonts w:ascii="Times New Roman" w:hAnsi="Times New Roman" w:cs="Times New Roman"/>
                <w:color w:val="000000"/>
                <w:spacing w:val="7"/>
                <w:sz w:val="24"/>
                <w:szCs w:val="24"/>
                <w:lang w:eastAsia="hr-HR"/>
              </w:rPr>
              <w:t xml:space="preserve">poglavlje IV.8 (str. 116 i dalje), i </w:t>
            </w:r>
            <w:r w:rsidRPr="009B2E82">
              <w:rPr>
                <w:rFonts w:ascii="Times New Roman" w:hAnsi="Times New Roman" w:cs="Times New Roman"/>
                <w:color w:val="000000"/>
                <w:spacing w:val="-1"/>
                <w:sz w:val="24"/>
                <w:szCs w:val="24"/>
                <w:lang w:eastAsia="hr-HR"/>
              </w:rPr>
              <w:t>poglavlje V. (str. 120 i dalje).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color w:val="000000"/>
                <w:spacing w:val="-4"/>
                <w:lang w:eastAsia="hr-HR"/>
              </w:rPr>
            </w:pPr>
            <w:r w:rsidRPr="009B2E82">
              <w:rPr>
                <w:rFonts w:ascii="Times New Roman" w:hAnsi="Times New Roman" w:cs="Times New Roman"/>
                <w:color w:val="000000"/>
                <w:spacing w:val="-4"/>
                <w:lang w:eastAsia="hr-HR"/>
              </w:rPr>
              <w:t>podataka.</w:t>
            </w:r>
          </w:p>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 xml:space="preserve">Vlada Republike Hrvatske imenovala je Povjerenstvo za praćenje provedbe Nacionalne strategije za uključivanje Roma 3. listopada 2013. http://www.uljppnm.vlada.hr/index.php?option=com_content&amp;view=article&amp;id=312:rjeenje-o-imenovanju-predsjednice-zamjenika-predsjednice-i-lanova-povjerenstva-za-praenje-provedbe-nacionalne-strategije-za-ukljuivanje-roma-za-razdoblje-od-2013-do-2020-godine-&amp;catid=2:novosti </w:t>
            </w:r>
            <w:r w:rsidRPr="009B2E82">
              <w:rPr>
                <w:rFonts w:ascii="Times New Roman" w:hAnsi="Times New Roman" w:cs="Times New Roman"/>
                <w:lang w:eastAsia="hr-HR"/>
              </w:rPr>
              <w:br/>
            </w:r>
          </w:p>
          <w:p w:rsidR="009B2E82" w:rsidRPr="009B2E82" w:rsidRDefault="009B2E82" w:rsidP="009B2E82">
            <w:pPr>
              <w:spacing w:after="0" w:line="240" w:lineRule="auto"/>
              <w:rPr>
                <w:rFonts w:ascii="Times New Roman" w:hAnsi="Times New Roman" w:cs="Times New Roman"/>
                <w:lang w:eastAsia="hr-HR"/>
              </w:rPr>
            </w:pPr>
            <w:r w:rsidRPr="009B2E82">
              <w:rPr>
                <w:rFonts w:ascii="Times New Roman" w:hAnsi="Times New Roman" w:cs="Times New Roman"/>
                <w:lang w:eastAsia="hr-HR"/>
              </w:rPr>
              <w:t>S ciljem procjene rezultata i učinaka mjera definiranih u okviru ciljeva Strategije, njihova provedba će biti predmet periodičnih evaluacija.</w:t>
            </w:r>
          </w:p>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hRule="exact" w:val="265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ind w:right="86"/>
              <w:rPr>
                <w:rFonts w:ascii="Times New Roman" w:hAnsi="Times New Roman" w:cs="Times New Roman"/>
                <w:lang w:eastAsia="hr-HR"/>
              </w:rPr>
            </w:pPr>
            <w:r w:rsidRPr="009B2E82">
              <w:rPr>
                <w:rFonts w:ascii="Times New Roman" w:hAnsi="Times New Roman" w:cs="Times New Roman"/>
                <w:color w:val="000000"/>
                <w:spacing w:val="1"/>
                <w:lang w:eastAsia="hr-HR"/>
              </w:rPr>
              <w:t>T.09.2 - Provodi se nacionalni strateški okvir politike za uključivanje romskog stanovništva</w:t>
            </w:r>
            <w:r w:rsidRPr="009B2E82">
              <w:rPr>
                <w:rFonts w:ascii="Times New Roman" w:hAnsi="Times New Roman" w:cs="Times New Roman"/>
                <w:color w:val="000000"/>
                <w:spacing w:val="-2"/>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16"/>
              <w:rPr>
                <w:rFonts w:ascii="Times New Roman" w:hAnsi="Times New Roman" w:cs="Times New Roman"/>
                <w:lang w:eastAsia="hr-HR"/>
              </w:rPr>
            </w:pPr>
            <w:r w:rsidRPr="009B2E82">
              <w:rPr>
                <w:rFonts w:ascii="Times New Roman" w:hAnsi="Times New Roman" w:cs="Times New Roman"/>
                <w:color w:val="000000"/>
                <w:lang w:eastAsia="hr-HR"/>
              </w:rPr>
              <w:t>5 - izrađena je, provodi se i nadzire u bliskoj suradnji i trajnom dijalogu s romskim udrugama civilnog društva te regionalnim i lokalnim vlastima</w:t>
            </w:r>
            <w:r w:rsidRPr="009B2E82">
              <w:rPr>
                <w:rFonts w:ascii="Times New Roman" w:hAnsi="Times New Roman" w:cs="Times New Roman"/>
                <w:color w:val="000000"/>
                <w:spacing w:val="-2"/>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jc w:val="both"/>
              <w:rPr>
                <w:rFonts w:ascii="Times New Roman" w:hAnsi="Times New Roman" w:cs="Times New Roman"/>
                <w:lang w:eastAsia="hr-HR"/>
              </w:rPr>
            </w:pPr>
            <w:r w:rsidRPr="009B2E82">
              <w:rPr>
                <w:rFonts w:ascii="Times New Roman" w:hAnsi="Times New Roman" w:cs="Times New Roman"/>
                <w:lang w:eastAsia="hr-HR"/>
              </w:rPr>
              <w:t>Za izradu, provedbu i nadzor vidi: NSIR 2013.-2020., Poglavlje VI. Provedba Strategije, VI. 1</w:t>
            </w:r>
          </w:p>
          <w:p w:rsidR="009B2E82" w:rsidRPr="009B2E82" w:rsidRDefault="009B2E82" w:rsidP="009B2E82">
            <w:pPr>
              <w:shd w:val="clear" w:color="auto" w:fill="FFFFFF"/>
              <w:spacing w:line="278" w:lineRule="exact"/>
              <w:jc w:val="both"/>
              <w:rPr>
                <w:rFonts w:ascii="Times New Roman" w:hAnsi="Times New Roman" w:cs="Times New Roman"/>
                <w:lang w:eastAsia="hr-HR"/>
              </w:rPr>
            </w:pPr>
            <w:r w:rsidRPr="009B2E82">
              <w:rPr>
                <w:rFonts w:ascii="Times New Roman" w:hAnsi="Times New Roman" w:cs="Times New Roman"/>
                <w:lang w:eastAsia="hr-HR"/>
              </w:rPr>
              <w:t>Za uloge provedbenih tijela i partnera te jedinica lokalne i regionalne samouprave vidi</w:t>
            </w:r>
          </w:p>
          <w:p w:rsidR="009B2E82" w:rsidRPr="009B2E82" w:rsidRDefault="009B2E82" w:rsidP="009B2E82">
            <w:pPr>
              <w:shd w:val="clear" w:color="auto" w:fill="FFFFFF"/>
              <w:spacing w:line="278"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rPr>
                <w:rFonts w:ascii="Times New Roman" w:hAnsi="Times New Roman" w:cs="Times New Roman"/>
                <w:lang w:eastAsia="hr-HR"/>
              </w:rPr>
            </w:pPr>
            <w:r w:rsidRPr="009B2E82">
              <w:rPr>
                <w:rFonts w:ascii="Times New Roman" w:hAnsi="Times New Roman" w:cs="Times New Roman"/>
                <w:lang w:eastAsia="hr-HR"/>
              </w:rPr>
              <w:t xml:space="preserve">Na lokalnoj razini, romsko je civilno društvo također uključeno preko svojih vijeća nacionalne manjine (VNM-ovi) i pojedinačnih predstavnika (PP-ovi), prema Ustavnom zakonu o pravima nacionalnih manjina. </w:t>
            </w:r>
            <w:r w:rsidRPr="009B2E82">
              <w:rPr>
                <w:rFonts w:ascii="Times New Roman" w:hAnsi="Times New Roman" w:cs="Times New Roman"/>
                <w:lang w:eastAsia="hr-HR"/>
              </w:rPr>
              <w:br/>
            </w:r>
          </w:p>
          <w:p w:rsidR="009B2E82" w:rsidRPr="009B2E82" w:rsidRDefault="009B2E82" w:rsidP="009B2E82">
            <w:pPr>
              <w:shd w:val="clear" w:color="auto" w:fill="FFFFFF"/>
              <w:spacing w:line="230" w:lineRule="exact"/>
              <w:rPr>
                <w:rFonts w:ascii="Times New Roman" w:hAnsi="Times New Roman" w:cs="Times New Roman"/>
                <w:lang w:eastAsia="hr-HR"/>
              </w:rPr>
            </w:pPr>
            <w:r w:rsidRPr="009B2E82">
              <w:rPr>
                <w:rFonts w:ascii="Times New Roman" w:hAnsi="Times New Roman" w:cs="Times New Roman"/>
                <w:lang w:eastAsia="hr-HR"/>
              </w:rPr>
              <w:t>Postoji sustav redovite komunikacije s regionalnim/lokalnim</w:t>
            </w:r>
          </w:p>
          <w:p w:rsidR="009B2E82" w:rsidRPr="009B2E82" w:rsidRDefault="009B2E82" w:rsidP="009B2E82">
            <w:pPr>
              <w:shd w:val="clear" w:color="auto" w:fill="FFFFFF"/>
              <w:spacing w:line="230" w:lineRule="exact"/>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6"/>
            <w:col w:w="720" w:space="6667"/>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273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lang w:eastAsia="hr-HR"/>
              </w:rPr>
              <w:t>NSIR str. 129.-130.; Civilni sektor, str. 130. – 131.</w:t>
            </w:r>
          </w:p>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lang w:eastAsia="hr-HR"/>
              </w:rPr>
              <w:t>Za financijske aspekte, vidi: NSIR Poglavlje VI. Provedba strategije, VI. 2 Financijski okvir za provođenje strategije, str. 131.-132.</w:t>
            </w: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color w:val="000000"/>
                <w:lang w:eastAsia="hr-HR"/>
              </w:rPr>
              <w:t>vlastima izravno i putem nadležnih stručnih tijela (udruga općina, gradova i županija), putem kojeg se pruža podršku u razvoju i provedbi regionalnih/lokalnih akcijskih planova i komunikaciji i korištenju sredstava relevantnih resornih ministarstava, kako je predviđeno NSIR-om.</w:t>
            </w:r>
          </w:p>
        </w:tc>
      </w:tr>
      <w:tr w:rsidR="009B2E82" w:rsidRPr="009B2E82" w:rsidTr="009B2E82">
        <w:trPr>
          <w:trHeight w:hRule="exact" w:val="537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5" w:lineRule="exact"/>
              <w:ind w:right="86"/>
              <w:rPr>
                <w:rFonts w:ascii="Times New Roman" w:hAnsi="Times New Roman" w:cs="Times New Roman"/>
                <w:lang w:eastAsia="hr-HR"/>
              </w:rPr>
            </w:pPr>
            <w:r w:rsidRPr="009B2E82">
              <w:rPr>
                <w:rFonts w:ascii="Times New Roman" w:hAnsi="Times New Roman" w:cs="Times New Roman"/>
                <w:color w:val="000000"/>
                <w:spacing w:val="1"/>
                <w:lang w:eastAsia="hr-HR"/>
              </w:rPr>
              <w:t>T.09.2 - Provodi se nacionalni strateški okvir politike za uključivanje romskog stanovništva</w:t>
            </w:r>
            <w:r w:rsidRPr="009B2E82">
              <w:rPr>
                <w:rFonts w:ascii="Times New Roman" w:hAnsi="Times New Roman" w:cs="Times New Roman"/>
                <w:color w:val="000000"/>
                <w:spacing w:val="-2"/>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54"/>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6 - Na zahtjev i ako je opravdano, relevantnim dionicima pruža se podrška pri podnošenju prijava za projekte te provedbi i upravljanju odabranim projektima.</w:t>
            </w:r>
          </w:p>
          <w:p w:rsidR="009B2E82" w:rsidRPr="009B2E82" w:rsidRDefault="009B2E82" w:rsidP="009B2E82">
            <w:pPr>
              <w:shd w:val="clear" w:color="auto" w:fill="FFFFFF"/>
              <w:spacing w:line="230" w:lineRule="exact"/>
              <w:ind w:right="154"/>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ind w:right="154"/>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ind w:right="48"/>
              <w:jc w:val="both"/>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http://www.pgfhr.org/index.php/ </w:t>
            </w:r>
            <w:r w:rsidRPr="009B2E82">
              <w:rPr>
                <w:rFonts w:ascii="Times New Roman" w:hAnsi="Times New Roman" w:cs="Times New Roman"/>
                <w:color w:val="000000"/>
                <w:spacing w:val="-5"/>
                <w:sz w:val="24"/>
                <w:szCs w:val="24"/>
                <w:lang w:eastAsia="hr-HR"/>
              </w:rPr>
              <w:t>hr/generiranje-projekta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ULJPPNM na zahtjev pruža informacije i savjete relevantnim dionicima o pristupu fondovima. Tehnička pomoć u okviru operativnih programa predviđa financiranje aktivnosti koje podupiru potencijalne korisnike i regionalne dionike pri uspješnoj primjeni i provedbi projekata ESF-a i EFRR-a kroz jačanje njihovih kapaciteta, kao i aktivnosti koje su relevantne s obzirom na informacije, komunikaciju i vidljivost. Osim toga, financirat će se organizacija specijaliziranih događaja za potencijalne podnositelje prijava i/ili promotore projekta kako bi se povećalo njihovo razumijevanje i znanje o pripremi projekata (razmjena najboljih praksi, konferencije i seminari) spremnih za financiranje, animaciju i povećanje interesa za i</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05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4"/>
              <w:jc w:val="both"/>
              <w:rPr>
                <w:rFonts w:ascii="Times New Roman" w:hAnsi="Times New Roman" w:cs="Times New Roman"/>
                <w:lang w:eastAsia="hr-HR"/>
              </w:rPr>
            </w:pPr>
            <w:r w:rsidRPr="009B2E82">
              <w:rPr>
                <w:rFonts w:ascii="Times New Roman" w:hAnsi="Times New Roman" w:cs="Times New Roman"/>
                <w:lang w:eastAsia="hr-HR"/>
              </w:rPr>
              <w:t>znanja o Europskom socijalnom fondu, te koji rezultate postignute u sklopu Operativnog programa čine  javno dostupnim.</w:t>
            </w:r>
          </w:p>
        </w:tc>
      </w:tr>
      <w:tr w:rsidR="009B2E82" w:rsidRPr="009B2E82" w:rsidTr="009B2E82">
        <w:trPr>
          <w:trHeight w:hRule="exact" w:val="251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82"/>
              <w:rPr>
                <w:rFonts w:ascii="Times New Roman" w:hAnsi="Times New Roman" w:cs="Times New Roman"/>
                <w:lang w:eastAsia="hr-HR"/>
              </w:rPr>
            </w:pPr>
            <w:r w:rsidRPr="009B2E82">
              <w:rPr>
                <w:rFonts w:ascii="Times New Roman" w:hAnsi="Times New Roman" w:cs="Times New Roman"/>
                <w:color w:val="000000"/>
                <w:spacing w:val="1"/>
                <w:lang w:eastAsia="hr-HR"/>
              </w:rPr>
              <w:t>T.09.3 - Zdravstvo: postojanje nacionalnog  ili regionalnog strateškog okvira zdravstvene politike sukladnog članku 168. Ugovora o funkcioniranju Europske unije kojim se jamči ekonomska održivost</w:t>
            </w:r>
            <w:r w:rsidRPr="009B2E82">
              <w:rPr>
                <w:rFonts w:ascii="Times New Roman" w:hAnsi="Times New Roman" w:cs="Times New Roman"/>
                <w:color w:val="000000"/>
                <w:spacing w:val="-1"/>
                <w:lang w:eastAsia="hr-HR"/>
              </w:rPr>
              <w:t>.</w:t>
            </w:r>
            <w:r w:rsidRPr="009B2E82">
              <w:rPr>
                <w:rFonts w:ascii="Times New Roman" w:hAnsi="Times New Roman" w:cs="Times New Roman"/>
                <w:b/>
                <w:bCs/>
                <w:i/>
                <w:sz w:val="20"/>
                <w:szCs w:val="20"/>
                <w:lang w:eastAsia="hr-HR"/>
              </w:rPr>
              <w:t xml:space="preserve">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39"/>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1 – Postoji nacionalni ili regionalni strateški okvir zdravstvene politike koji uključuje sljedeće:  </w:t>
            </w:r>
            <w:r w:rsidRPr="009B2E82">
              <w:rPr>
                <w:rFonts w:ascii="Times New Roman" w:hAnsi="Times New Roman" w:cs="Times New Roman"/>
                <w:color w:val="000000"/>
                <w:lang w:eastAsia="hr-HR"/>
              </w:rPr>
              <w:t xml:space="preserve">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7"/>
                <w:sz w:val="24"/>
                <w:szCs w:val="24"/>
                <w:lang w:eastAsia="hr-HR"/>
              </w:rPr>
              <w:t xml:space="preserve">Hrvatska nacionalna strategija razvoja zdravstva 2012. – 2020. </w:t>
            </w:r>
            <w:r w:rsidRPr="009B2E82">
              <w:rPr>
                <w:rFonts w:ascii="Times New Roman" w:hAnsi="Times New Roman" w:cs="Times New Roman"/>
                <w:color w:val="000000"/>
                <w:spacing w:val="-1"/>
                <w:sz w:val="24"/>
                <w:szCs w:val="24"/>
                <w:lang w:eastAsia="hr-HR"/>
              </w:rPr>
              <w:t xml:space="preserve">(NN  </w:t>
            </w:r>
            <w:r w:rsidRPr="009B2E82">
              <w:rPr>
                <w:rFonts w:ascii="Times New Roman" w:hAnsi="Times New Roman" w:cs="Times New Roman"/>
                <w:color w:val="000000"/>
                <w:spacing w:val="-5"/>
                <w:sz w:val="24"/>
                <w:szCs w:val="24"/>
                <w:lang w:eastAsia="hr-HR"/>
              </w:rPr>
              <w:t>116/12)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Nacionalna Strategija razvoja zdravstva (NSRZ) 2012. – 2020. krovni je strateški dokument u sektoru zdravstva, a usvojili su ju je Vlada RH i Sabor. Prioriteti i mjere definirane u Strategiji jasno ciljaju na poboljšanje pristupa visokokvalitetnim zdravstvenim uslugama te na osiguranje učinkovitog i održivog sustava zdravstva.</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610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82"/>
              <w:rPr>
                <w:rFonts w:ascii="Times New Roman" w:hAnsi="Times New Roman" w:cs="Times New Roman"/>
                <w:lang w:eastAsia="hr-HR"/>
              </w:rPr>
            </w:pPr>
            <w:r w:rsidRPr="009B2E82">
              <w:rPr>
                <w:rFonts w:ascii="Times New Roman" w:hAnsi="Times New Roman" w:cs="Times New Roman"/>
                <w:color w:val="000000"/>
                <w:spacing w:val="1"/>
                <w:lang w:eastAsia="hr-HR"/>
              </w:rPr>
              <w:lastRenderedPageBreak/>
              <w:t>T.09.3 - Zdravstvo: postojanje nacionalnog  ili regionalnog strateškog okvira zdravstvene politike sukladnog članku 168. Ugovora o funkcioniranju Europske unije kojim se jamči ekonomska održivost</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22"/>
              <w:rPr>
                <w:rFonts w:ascii="Times New Roman" w:hAnsi="Times New Roman" w:cs="Times New Roman"/>
                <w:lang w:eastAsia="hr-HR"/>
              </w:rPr>
            </w:pPr>
            <w:r w:rsidRPr="009B2E82">
              <w:rPr>
                <w:rFonts w:ascii="Times New Roman" w:hAnsi="Times New Roman" w:cs="Times New Roman"/>
                <w:color w:val="000000"/>
                <w:spacing w:val="-1"/>
                <w:lang w:eastAsia="hr-HR"/>
              </w:rPr>
              <w:t>2 - koordinirane mjere za unapređenje pristupa kvalitetnim zdravstvenim uslugama;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rPr>
                <w:rFonts w:ascii="Times New Roman" w:hAnsi="Times New Roman" w:cs="Times New Roman"/>
                <w:color w:val="000000"/>
                <w:spacing w:val="1"/>
                <w:sz w:val="24"/>
                <w:szCs w:val="24"/>
                <w:lang w:eastAsia="hr-HR"/>
              </w:rPr>
            </w:pPr>
            <w:r w:rsidRPr="009B2E82">
              <w:rPr>
                <w:rFonts w:ascii="Times New Roman" w:hAnsi="Times New Roman" w:cs="Times New Roman"/>
                <w:color w:val="000000"/>
                <w:spacing w:val="1"/>
                <w:sz w:val="24"/>
                <w:szCs w:val="24"/>
                <w:lang w:eastAsia="hr-HR"/>
              </w:rPr>
              <w:t>Hrvatska nacionalna strategija razvoja zdravstva 2012. – 2020. (NN  116/12)</w:t>
            </w:r>
          </w:p>
          <w:p w:rsidR="009B2E82" w:rsidRPr="009B2E82" w:rsidRDefault="009B2E82" w:rsidP="009B2E82">
            <w:pPr>
              <w:shd w:val="clear" w:color="auto" w:fill="FFFFFF"/>
              <w:spacing w:line="278" w:lineRule="exact"/>
              <w:rPr>
                <w:rFonts w:ascii="Times New Roman" w:hAnsi="Times New Roman" w:cs="Times New Roman"/>
                <w:color w:val="000000"/>
                <w:spacing w:val="2"/>
                <w:sz w:val="24"/>
                <w:szCs w:val="24"/>
                <w:lang w:eastAsia="hr-HR"/>
              </w:rPr>
            </w:pPr>
            <w:r w:rsidRPr="009B2E82">
              <w:rPr>
                <w:rFonts w:ascii="Times New Roman" w:hAnsi="Times New Roman" w:cs="Times New Roman"/>
                <w:color w:val="000000"/>
                <w:spacing w:val="1"/>
                <w:sz w:val="24"/>
                <w:szCs w:val="24"/>
                <w:lang w:eastAsia="hr-HR"/>
              </w:rPr>
              <w:t xml:space="preserve">Strateški plan ministarstva zdravlja za razdoblje 2014.-2016. </w:t>
            </w:r>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Strateški plan razvoja javnog zdravstva za razdoblje 2013.-2015.</w:t>
            </w:r>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5"/>
                <w:sz w:val="24"/>
                <w:szCs w:val="24"/>
                <w:lang w:eastAsia="hr-HR"/>
              </w:rPr>
              <w:t xml:space="preserve">Strateški plan razvoja palijativne skrbi u Republici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color w:val="000000"/>
                <w:spacing w:val="3"/>
                <w:lang w:eastAsia="hr-HR"/>
              </w:rPr>
              <w:t xml:space="preserve">Mjere za unapređenje dostupnosti i kvalitete zdravstvene skrbi odnose se na: </w:t>
            </w:r>
            <w:r w:rsidRPr="009B2E82">
              <w:rPr>
                <w:rFonts w:ascii="Times New Roman" w:hAnsi="Times New Roman" w:cs="Times New Roman"/>
                <w:color w:val="000000"/>
                <w:spacing w:val="3"/>
                <w:lang w:eastAsia="hr-HR"/>
              </w:rPr>
              <w:br/>
            </w:r>
          </w:p>
          <w:p w:rsidR="009B2E82" w:rsidRPr="009B2E82" w:rsidRDefault="009B2E82" w:rsidP="009B2E82">
            <w:pPr>
              <w:widowControl w:val="0"/>
              <w:numPr>
                <w:ilvl w:val="0"/>
                <w:numId w:val="38"/>
              </w:numPr>
              <w:autoSpaceDE w:val="0"/>
              <w:autoSpaceDN w:val="0"/>
              <w:adjustRightInd w:val="0"/>
              <w:spacing w:after="0" w:line="240" w:lineRule="auto"/>
              <w:contextualSpacing/>
              <w:jc w:val="both"/>
              <w:rPr>
                <w:rFonts w:ascii="Times New Roman" w:hAnsi="Times New Roman" w:cs="Times New Roman"/>
                <w:lang w:eastAsia="hr-HR"/>
              </w:rPr>
            </w:pPr>
            <w:r w:rsidRPr="009B2E82">
              <w:rPr>
                <w:rFonts w:ascii="Times New Roman" w:hAnsi="Times New Roman" w:cs="Times New Roman"/>
                <w:lang w:eastAsia="hr-HR"/>
              </w:rPr>
              <w:t>teritorijalnu dostupnost (jačanje hitne medicinske službe i primarne zdravstvene zaštite, osobito na otocima i zemljopisno udaljenim i slabo naseljenim područjima, NSRZ, verzija na engleskom jeziku, str. 76.-79., Strateški plan Ministarstva zdravlja za razdoblje 2014. – 2016. Str. 8.);</w:t>
            </w:r>
          </w:p>
          <w:p w:rsidR="009B2E82" w:rsidRPr="009B2E82" w:rsidRDefault="009B2E82" w:rsidP="009B2E82">
            <w:pPr>
              <w:widowControl w:val="0"/>
              <w:numPr>
                <w:ilvl w:val="0"/>
                <w:numId w:val="38"/>
              </w:numPr>
              <w:shd w:val="clear" w:color="auto" w:fill="FFFFFF"/>
              <w:autoSpaceDE w:val="0"/>
              <w:autoSpaceDN w:val="0"/>
              <w:adjustRightInd w:val="0"/>
              <w:spacing w:after="0" w:line="226" w:lineRule="exact"/>
              <w:contextualSpacing/>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terenske inicijative za ranjive skupine, posebice kroz prevenciju bolesti i promicanje zdravlja (NSRZ, verzija na engleskom jeziku, str 81.-83., Strateški plan razvoja javnog zdravstva za razdoblje 2013.-2015., str 23.-33.);</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color w:val="000000"/>
                <w:spacing w:val="-1"/>
                <w:lang w:eastAsia="hr-HR"/>
              </w:rPr>
              <w:t>;</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357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both"/>
              <w:rPr>
                <w:rFonts w:ascii="Times New Roman" w:hAnsi="Times New Roman" w:cs="Times New Roman"/>
                <w:color w:val="000000"/>
                <w:spacing w:val="-1"/>
                <w:sz w:val="24"/>
                <w:szCs w:val="24"/>
                <w:lang w:eastAsia="hr-HR"/>
              </w:rPr>
            </w:pPr>
            <w:r w:rsidRPr="009B2E82">
              <w:rPr>
                <w:rFonts w:ascii="Times New Roman" w:hAnsi="Times New Roman" w:cs="Times New Roman"/>
                <w:color w:val="000000"/>
                <w:spacing w:val="-1"/>
                <w:sz w:val="24"/>
                <w:szCs w:val="24"/>
                <w:lang w:eastAsia="hr-HR"/>
              </w:rPr>
              <w:t xml:space="preserve">Hrvatskoj za razdoblje 2014.-2016. </w:t>
            </w:r>
          </w:p>
          <w:p w:rsidR="009B2E82" w:rsidRPr="009B2E82" w:rsidRDefault="009B2E82" w:rsidP="009B2E82">
            <w:pPr>
              <w:shd w:val="clear" w:color="auto" w:fill="FFFFFF"/>
              <w:jc w:val="both"/>
              <w:rPr>
                <w:rFonts w:ascii="Times New Roman" w:hAnsi="Times New Roman" w:cs="Times New Roman"/>
                <w:color w:val="000000"/>
                <w:spacing w:val="-1"/>
                <w:sz w:val="24"/>
                <w:szCs w:val="24"/>
                <w:lang w:eastAsia="hr-HR"/>
              </w:rPr>
            </w:pPr>
            <w:r w:rsidRPr="009B2E82">
              <w:rPr>
                <w:rFonts w:ascii="Times New Roman" w:hAnsi="Times New Roman" w:cs="Times New Roman"/>
                <w:iCs/>
                <w:color w:val="000000"/>
                <w:spacing w:val="-1"/>
                <w:sz w:val="24"/>
                <w:szCs w:val="24"/>
                <w:lang w:eastAsia="hr-HR"/>
              </w:rPr>
              <w:t>Nacionalni plan razvoja kliničkih bolničkih</w:t>
            </w:r>
            <w:r w:rsidRPr="009B2E82">
              <w:rPr>
                <w:rFonts w:ascii="Times New Roman" w:hAnsi="Times New Roman" w:cs="Times New Roman"/>
                <w:color w:val="000000"/>
                <w:spacing w:val="-1"/>
                <w:sz w:val="24"/>
                <w:szCs w:val="24"/>
                <w:lang w:eastAsia="hr-HR"/>
              </w:rPr>
              <w:t xml:space="preserve"> centara, </w:t>
            </w:r>
            <w:r w:rsidRPr="009B2E82">
              <w:rPr>
                <w:rFonts w:ascii="Times New Roman" w:hAnsi="Times New Roman" w:cs="Times New Roman"/>
                <w:iCs/>
                <w:color w:val="000000"/>
                <w:spacing w:val="-1"/>
                <w:sz w:val="24"/>
                <w:szCs w:val="24"/>
                <w:lang w:eastAsia="hr-HR"/>
              </w:rPr>
              <w:t>kliničkih bolnica</w:t>
            </w:r>
            <w:r w:rsidRPr="009B2E82">
              <w:rPr>
                <w:rFonts w:ascii="Times New Roman" w:hAnsi="Times New Roman" w:cs="Times New Roman"/>
                <w:color w:val="000000"/>
                <w:spacing w:val="-1"/>
                <w:sz w:val="24"/>
                <w:szCs w:val="24"/>
                <w:lang w:eastAsia="hr-HR"/>
              </w:rPr>
              <w:t xml:space="preserve">, klinika i općih </w:t>
            </w:r>
            <w:r w:rsidRPr="009B2E82">
              <w:rPr>
                <w:rFonts w:ascii="Times New Roman" w:hAnsi="Times New Roman" w:cs="Times New Roman"/>
                <w:iCs/>
                <w:color w:val="000000"/>
                <w:spacing w:val="-1"/>
                <w:sz w:val="24"/>
                <w:szCs w:val="24"/>
                <w:lang w:eastAsia="hr-HR"/>
              </w:rPr>
              <w:t>bolnica</w:t>
            </w:r>
            <w:r w:rsidRPr="009B2E82">
              <w:rPr>
                <w:rFonts w:ascii="Times New Roman" w:hAnsi="Times New Roman" w:cs="Times New Roman"/>
                <w:color w:val="000000"/>
                <w:spacing w:val="-1"/>
                <w:sz w:val="24"/>
                <w:szCs w:val="24"/>
                <w:lang w:eastAsia="hr-HR"/>
              </w:rPr>
              <w:t xml:space="preserve"> u Republici Hrvatskoj 2014.- 2016. (nacrt)</w:t>
            </w:r>
          </w:p>
          <w:p w:rsidR="009B2E82" w:rsidRPr="009B2E82" w:rsidRDefault="009B2E82" w:rsidP="009B2E82">
            <w:pPr>
              <w:shd w:val="clear" w:color="auto" w:fill="FFFFFF"/>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numPr>
                <w:ilvl w:val="0"/>
                <w:numId w:val="39"/>
              </w:numPr>
              <w:shd w:val="clear" w:color="auto" w:fill="FFFFFF"/>
              <w:autoSpaceDE w:val="0"/>
              <w:autoSpaceDN w:val="0"/>
              <w:adjustRightInd w:val="0"/>
              <w:spacing w:after="0" w:line="226" w:lineRule="exact"/>
              <w:contextualSpacing/>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poboljšanje adekvatnosti i djelotvornosti usluga kroz razvoj kliničkih smjernica i procjenu zdravstvenih tehnologija (NSRZ, verzija na engleskom jeziku, str. 80.-81., Strateški plan razvoja zdravstva za razdoblje 2014. – 2016. str. 15.,16.).</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554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82"/>
              <w:rPr>
                <w:rFonts w:ascii="Times New Roman" w:hAnsi="Times New Roman" w:cs="Times New Roman"/>
                <w:lang w:eastAsia="hr-HR"/>
              </w:rPr>
            </w:pPr>
            <w:r w:rsidRPr="009B2E82">
              <w:rPr>
                <w:rFonts w:ascii="Times New Roman" w:hAnsi="Times New Roman" w:cs="Times New Roman"/>
                <w:color w:val="000000"/>
                <w:spacing w:val="1"/>
                <w:lang w:eastAsia="hr-HR"/>
              </w:rPr>
              <w:lastRenderedPageBreak/>
              <w:t>T.09.3 - Zdravstvo: postojanje nacionalnog  ili regionalnog strateškog okvira zdravstvene politike sukladnog članku 168. Ugovora o funkcioniranju Europske unije kojim se jamči ekonomska održivost</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82"/>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3 - mjere za poticanje učinkovitosti u sektoru zdravstva razvijanjem modela pružanja usluga i infrastrukture;</w:t>
            </w:r>
          </w:p>
          <w:p w:rsidR="009B2E82" w:rsidRPr="009B2E82" w:rsidRDefault="009B2E82" w:rsidP="009B2E82">
            <w:pPr>
              <w:shd w:val="clear" w:color="auto" w:fill="FFFFFF"/>
              <w:spacing w:line="230" w:lineRule="exact"/>
              <w:ind w:right="182"/>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ind w:right="182"/>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z w:val="24"/>
                <w:szCs w:val="24"/>
                <w:lang w:eastAsia="hr-HR"/>
              </w:rPr>
              <w:t xml:space="preserve">Hrvatska nacionalna strategija razvoja zdravstva 2012. – 2020. </w:t>
            </w:r>
            <w:r w:rsidRPr="009B2E82">
              <w:rPr>
                <w:rFonts w:ascii="Times New Roman" w:hAnsi="Times New Roman" w:cs="Times New Roman"/>
                <w:color w:val="000000"/>
                <w:spacing w:val="2"/>
                <w:sz w:val="24"/>
                <w:szCs w:val="24"/>
                <w:lang w:eastAsia="hr-HR"/>
              </w:rPr>
              <w:t xml:space="preserve">(NN </w:t>
            </w:r>
            <w:r w:rsidRPr="009B2E82">
              <w:rPr>
                <w:rFonts w:ascii="Times New Roman" w:hAnsi="Times New Roman" w:cs="Times New Roman"/>
                <w:color w:val="000000"/>
                <w:spacing w:val="-5"/>
                <w:sz w:val="24"/>
                <w:szCs w:val="24"/>
                <w:lang w:eastAsia="hr-HR"/>
              </w:rPr>
              <w:t>116/12)</w:t>
            </w:r>
          </w:p>
          <w:p w:rsidR="009B2E82" w:rsidRPr="009B2E82" w:rsidRDefault="009B2E82" w:rsidP="009B2E82">
            <w:pPr>
              <w:shd w:val="clear" w:color="auto" w:fill="FFFFFF"/>
              <w:spacing w:line="274" w:lineRule="exact"/>
              <w:jc w:val="both"/>
              <w:rPr>
                <w:rFonts w:ascii="Times New Roman" w:hAnsi="Times New Roman" w:cs="Times New Roman"/>
                <w:color w:val="000000"/>
                <w:spacing w:val="-1"/>
                <w:sz w:val="24"/>
                <w:szCs w:val="24"/>
                <w:lang w:eastAsia="hr-HR"/>
              </w:rPr>
            </w:pPr>
            <w:r w:rsidRPr="009B2E82">
              <w:rPr>
                <w:rFonts w:ascii="Times New Roman" w:hAnsi="Times New Roman" w:cs="Times New Roman"/>
                <w:iCs/>
                <w:color w:val="000000"/>
                <w:spacing w:val="-1"/>
                <w:sz w:val="24"/>
                <w:szCs w:val="24"/>
                <w:lang w:eastAsia="hr-HR"/>
              </w:rPr>
              <w:t>Nacionalni plan razvoja kliničkih bolničkih</w:t>
            </w:r>
            <w:r w:rsidRPr="009B2E82">
              <w:rPr>
                <w:rFonts w:ascii="Times New Roman" w:hAnsi="Times New Roman" w:cs="Times New Roman"/>
                <w:color w:val="000000"/>
                <w:spacing w:val="-1"/>
                <w:sz w:val="24"/>
                <w:szCs w:val="24"/>
                <w:lang w:eastAsia="hr-HR"/>
              </w:rPr>
              <w:t xml:space="preserve"> centara, </w:t>
            </w:r>
            <w:r w:rsidRPr="009B2E82">
              <w:rPr>
                <w:rFonts w:ascii="Times New Roman" w:hAnsi="Times New Roman" w:cs="Times New Roman"/>
                <w:iCs/>
                <w:color w:val="000000"/>
                <w:spacing w:val="-1"/>
                <w:sz w:val="24"/>
                <w:szCs w:val="24"/>
                <w:lang w:eastAsia="hr-HR"/>
              </w:rPr>
              <w:t>kliničkih bolnica</w:t>
            </w:r>
            <w:r w:rsidRPr="009B2E82">
              <w:rPr>
                <w:rFonts w:ascii="Times New Roman" w:hAnsi="Times New Roman" w:cs="Times New Roman"/>
                <w:color w:val="000000"/>
                <w:spacing w:val="-1"/>
                <w:sz w:val="24"/>
                <w:szCs w:val="24"/>
                <w:lang w:eastAsia="hr-HR"/>
              </w:rPr>
              <w:t xml:space="preserve">, klinika i općih </w:t>
            </w:r>
            <w:r w:rsidRPr="009B2E82">
              <w:rPr>
                <w:rFonts w:ascii="Times New Roman" w:hAnsi="Times New Roman" w:cs="Times New Roman"/>
                <w:iCs/>
                <w:color w:val="000000"/>
                <w:spacing w:val="-1"/>
                <w:sz w:val="24"/>
                <w:szCs w:val="24"/>
                <w:lang w:eastAsia="hr-HR"/>
              </w:rPr>
              <w:t>bolnica</w:t>
            </w:r>
            <w:r w:rsidRPr="009B2E82">
              <w:rPr>
                <w:rFonts w:ascii="Times New Roman" w:hAnsi="Times New Roman" w:cs="Times New Roman"/>
                <w:color w:val="000000"/>
                <w:spacing w:val="-1"/>
                <w:sz w:val="24"/>
                <w:szCs w:val="24"/>
                <w:lang w:eastAsia="hr-HR"/>
              </w:rPr>
              <w:t xml:space="preserve"> u Republici Hrvatskoj 2014.- 2016. (nacrt)</w:t>
            </w: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t>Mjere za poticanje učinkovitosti u sektoru zdravstva odnose se na:</w:t>
            </w:r>
            <w:r w:rsidRPr="009B2E82">
              <w:rPr>
                <w:rFonts w:ascii="Times New Roman" w:hAnsi="Times New Roman" w:cs="Times New Roman"/>
                <w:color w:val="000000"/>
                <w:lang w:eastAsia="hr-HR"/>
              </w:rPr>
              <w:br/>
            </w:r>
          </w:p>
          <w:p w:rsidR="009B2E82" w:rsidRPr="009B2E82" w:rsidRDefault="009B2E82" w:rsidP="009B2E82">
            <w:pPr>
              <w:widowControl w:val="0"/>
              <w:numPr>
                <w:ilvl w:val="0"/>
                <w:numId w:val="39"/>
              </w:numPr>
              <w:shd w:val="clear" w:color="auto" w:fill="FFFFFF"/>
              <w:autoSpaceDE w:val="0"/>
              <w:autoSpaceDN w:val="0"/>
              <w:adjustRightInd w:val="0"/>
              <w:spacing w:after="0" w:line="226" w:lineRule="exact"/>
              <w:contextualSpacing/>
              <w:jc w:val="both"/>
              <w:rPr>
                <w:rFonts w:ascii="Times New Roman" w:hAnsi="Times New Roman" w:cs="Times New Roman"/>
                <w:color w:val="000000"/>
                <w:lang w:eastAsia="hr-HR"/>
              </w:rPr>
            </w:pPr>
            <w:r w:rsidRPr="009B2E82">
              <w:rPr>
                <w:rFonts w:ascii="Times New Roman" w:hAnsi="Times New Roman" w:cs="Times New Roman"/>
                <w:color w:val="000000"/>
                <w:lang w:eastAsia="hr-HR"/>
              </w:rPr>
              <w:t>modele pružanja usluga i infrastrukturu (reorganizacija bolničkog sustava kroz uspostavu regionalne bolničke mreže, povećanje kapaciteta dnevnih bolnica/dnevne kirurgije i kapaciteta dugotrajne i produljene njege, uz odgovarajuće smanjenje kapaciteta bolnica za akutnu skrb, jačanje zdravstvene zaštite na razini zajednice, (NSRZ, verzija na engleskom jeziku, str. 76.-79., nacrt N</w:t>
            </w:r>
            <w:r w:rsidRPr="009B2E82">
              <w:rPr>
                <w:rFonts w:ascii="Times New Roman" w:hAnsi="Times New Roman" w:cs="Times New Roman"/>
                <w:iCs/>
                <w:color w:val="000000"/>
                <w:lang w:eastAsia="hr-HR"/>
              </w:rPr>
              <w:t>acionalnog plana razvoja kliničkih bolničkih</w:t>
            </w:r>
            <w:r w:rsidRPr="009B2E82">
              <w:rPr>
                <w:rFonts w:ascii="Times New Roman" w:hAnsi="Times New Roman" w:cs="Times New Roman"/>
                <w:color w:val="000000"/>
                <w:lang w:eastAsia="hr-HR"/>
              </w:rPr>
              <w:t xml:space="preserve"> centara, </w:t>
            </w:r>
            <w:r w:rsidRPr="009B2E82">
              <w:rPr>
                <w:rFonts w:ascii="Times New Roman" w:hAnsi="Times New Roman" w:cs="Times New Roman"/>
                <w:iCs/>
                <w:color w:val="000000"/>
                <w:lang w:eastAsia="hr-HR"/>
              </w:rPr>
              <w:t>kliničkih bolnica</w:t>
            </w:r>
            <w:r w:rsidRPr="009B2E82">
              <w:rPr>
                <w:rFonts w:ascii="Times New Roman" w:hAnsi="Times New Roman" w:cs="Times New Roman"/>
                <w:color w:val="000000"/>
                <w:lang w:eastAsia="hr-HR"/>
              </w:rPr>
              <w:t xml:space="preserve">, klinika i općih </w:t>
            </w:r>
            <w:r w:rsidRPr="009B2E82">
              <w:rPr>
                <w:rFonts w:ascii="Times New Roman" w:hAnsi="Times New Roman" w:cs="Times New Roman"/>
                <w:iCs/>
                <w:color w:val="000000"/>
                <w:lang w:eastAsia="hr-HR"/>
              </w:rPr>
              <w:t>bolnica</w:t>
            </w:r>
            <w:r w:rsidRPr="009B2E82">
              <w:rPr>
                <w:rFonts w:ascii="Times New Roman" w:hAnsi="Times New Roman" w:cs="Times New Roman"/>
                <w:color w:val="000000"/>
                <w:lang w:eastAsia="hr-HR"/>
              </w:rPr>
              <w:t xml:space="preserve"> u Republici Hrvatskoj za razdoblje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87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left="640" w:right="10"/>
              <w:jc w:val="both"/>
              <w:rPr>
                <w:rFonts w:ascii="Times New Roman" w:hAnsi="Times New Roman" w:cs="Times New Roman"/>
                <w:lang w:eastAsia="hr-HR"/>
              </w:rPr>
            </w:pPr>
            <w:r w:rsidRPr="009B2E82">
              <w:rPr>
                <w:rFonts w:ascii="Times New Roman" w:hAnsi="Times New Roman" w:cs="Times New Roman"/>
                <w:lang w:eastAsia="hr-HR"/>
              </w:rPr>
              <w:t>2014.-2016., cijeli dokument);</w:t>
            </w:r>
          </w:p>
          <w:p w:rsidR="009B2E82" w:rsidRPr="009B2E82" w:rsidRDefault="009B2E82" w:rsidP="009B2E82">
            <w:pPr>
              <w:widowControl w:val="0"/>
              <w:numPr>
                <w:ilvl w:val="0"/>
                <w:numId w:val="39"/>
              </w:numPr>
              <w:shd w:val="clear" w:color="auto" w:fill="FFFFFF"/>
              <w:autoSpaceDE w:val="0"/>
              <w:autoSpaceDN w:val="0"/>
              <w:adjustRightInd w:val="0"/>
              <w:spacing w:after="0" w:line="226" w:lineRule="exact"/>
              <w:ind w:right="10"/>
              <w:contextualSpacing/>
              <w:jc w:val="both"/>
              <w:rPr>
                <w:rFonts w:ascii="Times New Roman" w:hAnsi="Times New Roman" w:cs="Times New Roman"/>
                <w:lang w:eastAsia="hr-HR"/>
              </w:rPr>
            </w:pPr>
            <w:r w:rsidRPr="009B2E82">
              <w:rPr>
                <w:rFonts w:ascii="Times New Roman" w:hAnsi="Times New Roman" w:cs="Times New Roman"/>
                <w:lang w:eastAsia="hr-HR"/>
              </w:rPr>
              <w:t>provedbu učinkovitih, inovativnih i interoperabilnih tehnologija (e-zdravlje, NSRZ, verzija na engleskom jeziku, str. 67.-7.).</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590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82"/>
              <w:rPr>
                <w:rFonts w:ascii="Times New Roman" w:hAnsi="Times New Roman" w:cs="Times New Roman"/>
                <w:lang w:eastAsia="hr-HR"/>
              </w:rPr>
            </w:pPr>
            <w:r w:rsidRPr="009B2E82">
              <w:rPr>
                <w:rFonts w:ascii="Times New Roman" w:hAnsi="Times New Roman" w:cs="Times New Roman"/>
                <w:color w:val="000000"/>
                <w:spacing w:val="1"/>
                <w:lang w:eastAsia="hr-HR"/>
              </w:rPr>
              <w:t>T.09.3 - Zdravstvo: postojanje nacionalnog  ili regionalnog strateškog okvira zdravstvene politike sukladnog članku 168. Ugovora o funkcioniranju Europske unije kojim se jamči ekonomska održivost</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2"/>
                <w:lang w:eastAsia="hr-HR"/>
              </w:rPr>
              <w:t>4 - sustav za praćenje i reviziju.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z w:val="24"/>
                <w:szCs w:val="24"/>
                <w:lang w:eastAsia="hr-HR"/>
              </w:rPr>
              <w:t xml:space="preserve">Hrvatska nacionalna strategija razvoja zdravstva 2012. – 2020. </w:t>
            </w:r>
            <w:r w:rsidRPr="009B2E82">
              <w:rPr>
                <w:rFonts w:ascii="Times New Roman" w:hAnsi="Times New Roman" w:cs="Times New Roman"/>
                <w:color w:val="000000"/>
                <w:spacing w:val="2"/>
                <w:sz w:val="24"/>
                <w:szCs w:val="24"/>
                <w:lang w:eastAsia="hr-HR"/>
              </w:rPr>
              <w:t xml:space="preserve">(NN </w:t>
            </w:r>
            <w:r w:rsidRPr="009B2E82">
              <w:rPr>
                <w:rFonts w:ascii="Times New Roman" w:hAnsi="Times New Roman" w:cs="Times New Roman"/>
                <w:color w:val="000000"/>
                <w:spacing w:val="-5"/>
                <w:sz w:val="24"/>
                <w:szCs w:val="24"/>
                <w:lang w:eastAsia="hr-HR"/>
              </w:rPr>
              <w:t>116/12)</w:t>
            </w:r>
          </w:p>
          <w:p w:rsidR="009B2E82" w:rsidRPr="009B2E82" w:rsidRDefault="009B2E82" w:rsidP="009B2E82">
            <w:pPr>
              <w:shd w:val="clear" w:color="auto" w:fill="FFFFFF"/>
              <w:spacing w:line="274" w:lineRule="exact"/>
              <w:jc w:val="both"/>
              <w:rPr>
                <w:rFonts w:ascii="Times New Roman" w:hAnsi="Times New Roman" w:cs="Times New Roman"/>
                <w:color w:val="000000"/>
                <w:spacing w:val="-3"/>
                <w:sz w:val="24"/>
                <w:szCs w:val="24"/>
                <w:lang w:eastAsia="hr-HR"/>
              </w:rPr>
            </w:pPr>
            <w:r w:rsidRPr="009B2E82">
              <w:rPr>
                <w:rFonts w:ascii="Times New Roman" w:hAnsi="Times New Roman" w:cs="Times New Roman"/>
                <w:color w:val="000000"/>
                <w:spacing w:val="-3"/>
                <w:sz w:val="24"/>
                <w:szCs w:val="24"/>
                <w:lang w:eastAsia="hr-HR"/>
              </w:rPr>
              <w:t>Strateški plan razvoja javnog zdravstva za razdoblje 2013.-2015.</w:t>
            </w:r>
          </w:p>
          <w:p w:rsidR="009B2E82" w:rsidRPr="009B2E82" w:rsidRDefault="009B2E82" w:rsidP="009B2E82">
            <w:pPr>
              <w:shd w:val="clear" w:color="auto" w:fill="FFFFFF"/>
              <w:spacing w:line="274" w:lineRule="exact"/>
              <w:jc w:val="both"/>
              <w:rPr>
                <w:rFonts w:ascii="Times New Roman" w:hAnsi="Times New Roman" w:cs="Times New Roman"/>
                <w:color w:val="000000"/>
                <w:spacing w:val="-3"/>
                <w:sz w:val="24"/>
                <w:szCs w:val="24"/>
                <w:lang w:eastAsia="hr-HR"/>
              </w:rPr>
            </w:pPr>
            <w:r w:rsidRPr="009B2E82">
              <w:rPr>
                <w:rFonts w:ascii="Times New Roman" w:hAnsi="Times New Roman" w:cs="Times New Roman"/>
                <w:color w:val="000000"/>
                <w:spacing w:val="-1"/>
                <w:sz w:val="24"/>
                <w:szCs w:val="24"/>
                <w:lang w:eastAsia="hr-HR"/>
              </w:rPr>
              <w:t xml:space="preserve">Nacionalni plan razvoja kliničkih bolničkih centara, kliničkih bolnica, klinika i općih bolnica u Republici Hrvatskoj 2014.- 2016. </w:t>
            </w:r>
          </w:p>
          <w:p w:rsidR="009B2E82" w:rsidRPr="009B2E82" w:rsidRDefault="009B2E82" w:rsidP="009B2E82">
            <w:pPr>
              <w:shd w:val="clear" w:color="auto" w:fill="FFFFFF"/>
              <w:spacing w:line="274" w:lineRule="exact"/>
              <w:jc w:val="both"/>
              <w:rPr>
                <w:rFonts w:ascii="Times New Roman" w:hAnsi="Times New Roman" w:cs="Times New Roman"/>
                <w:iCs/>
                <w:color w:val="000000"/>
                <w:spacing w:val="-1"/>
                <w:sz w:val="24"/>
                <w:szCs w:val="24"/>
                <w:lang w:eastAsia="hr-HR"/>
              </w:rPr>
            </w:pPr>
          </w:p>
          <w:p w:rsidR="009B2E82" w:rsidRPr="009B2E82" w:rsidRDefault="009B2E82" w:rsidP="009B2E82">
            <w:pPr>
              <w:shd w:val="clear" w:color="auto" w:fill="FFFFFF"/>
              <w:spacing w:line="274" w:lineRule="exact"/>
              <w:jc w:val="both"/>
              <w:rPr>
                <w:rFonts w:ascii="Times New Roman" w:hAnsi="Times New Roman" w:cs="Times New Roman"/>
                <w:color w:val="000000"/>
                <w:spacing w:val="-1"/>
                <w:sz w:val="24"/>
                <w:szCs w:val="24"/>
                <w:lang w:eastAsia="hr-HR"/>
              </w:rPr>
            </w:pPr>
          </w:p>
          <w:p w:rsidR="009B2E82" w:rsidRPr="009B2E82" w:rsidRDefault="009B2E82" w:rsidP="009B2E82">
            <w:pPr>
              <w:shd w:val="clear" w:color="auto" w:fill="FFFFFF"/>
              <w:spacing w:line="274" w:lineRule="exact"/>
              <w:jc w:val="both"/>
              <w:rPr>
                <w:rFonts w:ascii="Times New Roman" w:hAnsi="Times New Roman" w:cs="Times New Roman"/>
                <w:color w:val="000000"/>
                <w:spacing w:val="-1"/>
                <w:sz w:val="24"/>
                <w:szCs w:val="24"/>
                <w:lang w:eastAsia="hr-HR"/>
              </w:rPr>
            </w:pPr>
          </w:p>
          <w:p w:rsidR="009B2E82" w:rsidRPr="009B2E82" w:rsidRDefault="009B2E82" w:rsidP="009B2E82">
            <w:pPr>
              <w:shd w:val="clear" w:color="auto" w:fill="FFFFFF"/>
              <w:spacing w:line="274" w:lineRule="exact"/>
              <w:jc w:val="both"/>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Praćenje i revizija provedbe strategije naznačeni su u Nacionalnoj strategiji razvoja zdravstva 2012. – 2020. (3. odlomak poglavlja o strateškim razvojnim smjerovima, prioritetima i mjerama, str. 66., verzija na engleskom jeziku), i navedeni  su kratkoročni strateški planovi koji pokrivaju različite segmente zdravstvene zaštite: Strateški plan razvoja javnog zdravstva za razdoblje 2013.-2015. (str. 42.), Strateški plan razvoja palijativne skrbi u Republici Hrvatskoj za razdoblje 2014. – 2016. (str. 31.), Nacionalni plan razvoja kliničkih bolničkih centara, kliničkih bolnica, klinika i općih bolnica u Republici Hrvatskoj za razdoblje 2014.- 2016. (nacrt, str. 30.-33.). </w:t>
            </w:r>
            <w:r w:rsidRPr="009B2E82">
              <w:rPr>
                <w:rFonts w:ascii="Times New Roman" w:hAnsi="Times New Roman" w:cs="Times New Roman"/>
                <w:lang w:eastAsia="hr-HR"/>
              </w:rPr>
              <w:br/>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Nacionalni plan razvoja kliničkih bolničkih centara, kliničkim bolnicama, klinikama i općim bolnicama za razdoblje 2014.-2016.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59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usvojila je Vlada RH u lipnju 2014. </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423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82"/>
              <w:rPr>
                <w:rFonts w:ascii="Times New Roman" w:hAnsi="Times New Roman" w:cs="Times New Roman"/>
                <w:lang w:eastAsia="hr-HR"/>
              </w:rPr>
            </w:pPr>
            <w:r w:rsidRPr="009B2E82">
              <w:rPr>
                <w:rFonts w:ascii="Times New Roman" w:hAnsi="Times New Roman" w:cs="Times New Roman"/>
                <w:color w:val="000000"/>
                <w:spacing w:val="1"/>
                <w:lang w:eastAsia="hr-HR"/>
              </w:rPr>
              <w:t>T.09.3 - Zdravstvo: postojanje nacionalnog  ili regionalnog strateškog okvira zdravstvene politike sukladnog članku 168. Ugovora o funkcioniranju Europske unije kojim se jamči ekonomska održivost.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color w:val="000000"/>
                <w:spacing w:val="-1"/>
                <w:lang w:eastAsia="hr-HR"/>
              </w:rPr>
            </w:pPr>
            <w:r w:rsidRPr="009B2E82">
              <w:rPr>
                <w:rFonts w:ascii="Times New Roman" w:hAnsi="Times New Roman" w:cs="Times New Roman"/>
                <w:color w:val="000000"/>
                <w:lang w:eastAsia="hr-HR"/>
              </w:rPr>
              <w:t xml:space="preserve">5 - </w:t>
            </w:r>
            <w:r w:rsidRPr="009B2E82">
              <w:rPr>
                <w:rFonts w:ascii="Times New Roman" w:hAnsi="Times New Roman" w:cs="Times New Roman"/>
                <w:color w:val="000000"/>
                <w:spacing w:val="-1"/>
                <w:lang w:eastAsia="hr-HR"/>
              </w:rPr>
              <w:t>Država članica usvojila je okvir u kojem su indikativno određena dostupna proračunska sredstva i njihova ekonomična koncentracija s obzirom na prioritetne potrebe u zdravstvu.</w:t>
            </w:r>
          </w:p>
          <w:p w:rsidR="009B2E82" w:rsidRPr="009B2E82" w:rsidRDefault="009B2E82" w:rsidP="009B2E82">
            <w:pPr>
              <w:shd w:val="clear" w:color="auto" w:fill="FFFFFF"/>
              <w:spacing w:line="230" w:lineRule="exact"/>
              <w:ind w:right="10"/>
              <w:rPr>
                <w:rFonts w:ascii="Times New Roman" w:hAnsi="Times New Roman" w:cs="Times New Roman"/>
                <w:color w:val="000000"/>
                <w:spacing w:val="-1"/>
                <w:lang w:eastAsia="hr-HR"/>
              </w:rPr>
            </w:pPr>
          </w:p>
          <w:p w:rsidR="009B2E82" w:rsidRPr="009B2E82" w:rsidRDefault="009B2E82" w:rsidP="009B2E82">
            <w:pPr>
              <w:shd w:val="clear" w:color="auto" w:fill="FFFFFF"/>
              <w:spacing w:line="230" w:lineRule="exact"/>
              <w:ind w:right="10"/>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5"/>
                <w:sz w:val="24"/>
                <w:szCs w:val="24"/>
                <w:lang w:eastAsia="hr-HR"/>
              </w:rPr>
              <w:t xml:space="preserve">Državni proračun Republike Hrvatske za 2014. s projekcijama za 2015. I 2016.  </w:t>
            </w:r>
            <w:r w:rsidRPr="009B2E82">
              <w:rPr>
                <w:rFonts w:ascii="Times New Roman" w:hAnsi="Times New Roman" w:cs="Times New Roman"/>
                <w:color w:val="000000"/>
                <w:spacing w:val="1"/>
                <w:sz w:val="24"/>
                <w:szCs w:val="24"/>
                <w:lang w:eastAsia="hr-HR"/>
              </w:rPr>
              <w:t xml:space="preserve">       </w:t>
            </w:r>
            <w:r w:rsidRPr="009B2E82">
              <w:rPr>
                <w:rFonts w:ascii="Times New Roman" w:hAnsi="Times New Roman" w:cs="Times New Roman"/>
                <w:color w:val="000000"/>
                <w:spacing w:val="-2"/>
                <w:sz w:val="24"/>
                <w:szCs w:val="24"/>
                <w:lang w:eastAsia="hr-HR"/>
              </w:rPr>
              <w:t xml:space="preserve">(NN  152/13   i   39/14) </w:t>
            </w:r>
            <w:r w:rsidRPr="009B2E82">
              <w:rPr>
                <w:rFonts w:ascii="Times New Roman" w:hAnsi="Times New Roman" w:cs="Times New Roman"/>
                <w:color w:val="000000"/>
                <w:spacing w:val="-1"/>
                <w:sz w:val="24"/>
                <w:szCs w:val="24"/>
                <w:lang w:eastAsia="hr-HR"/>
              </w:rPr>
              <w:t>http://narodne-novine.nn.hr/clanci/sluzbeni/2013_12_152_3213.html, http://narodne-</w:t>
            </w:r>
            <w:r w:rsidRPr="009B2E82">
              <w:rPr>
                <w:rFonts w:ascii="Times New Roman" w:hAnsi="Times New Roman" w:cs="Times New Roman"/>
                <w:color w:val="000000"/>
                <w:spacing w:val="-8"/>
                <w:sz w:val="24"/>
                <w:szCs w:val="24"/>
                <w:lang w:eastAsia="hr-HR"/>
              </w:rPr>
              <w:t xml:space="preserve">novine. nn. hr/cl anci/sluzb eni/dod </w:t>
            </w:r>
            <w:r w:rsidRPr="009B2E82">
              <w:rPr>
                <w:rFonts w:ascii="Times New Roman" w:hAnsi="Times New Roman" w:cs="Times New Roman"/>
                <w:color w:val="000000"/>
                <w:spacing w:val="-1"/>
                <w:sz w:val="24"/>
                <w:szCs w:val="24"/>
                <w:lang w:eastAsia="hr-HR"/>
              </w:rPr>
              <w:t>atni/429690.pdf)</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Strateški plan Ministarstva zdravlja za razdoblje 2014. 2016.)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Kratkoročni i srednjoročni okvir za proračunska sredstva, u kojem su indikativno određena dostupna proračunska sredstva za zdravstvenu skrb, sadržan je  u Državnom proračunu (NN 152/13, str. 188.-198., NN 38/14, str. 134.-140.) i u Strateškom planu Ministarstva zdravlja za razdoblje 2014. 2016., te se ažurira jednom godišnje. Strateški plan Ministarstva zdravlja za razdoblje 2014. 2016. definira opće i specifične ciljeve u sektoru zdravstva i omogućava vezu između tih ciljeva i proračunskih sredstava (Tablica 8, str. 28.-26.), prikazujući koncentraciju sredstava za ostvarivanje definiranih ciljeva.</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 xml:space="preserve">Okvir kratkoročnih i srednjoročnih proračunskih sredstava, koji navodi dostupna sredstva za zdravstvo, </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256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lang w:eastAsia="hr-HR"/>
              </w:rPr>
            </w:pPr>
            <w:r w:rsidRPr="009B2E82">
              <w:rPr>
                <w:rFonts w:ascii="Times New Roman" w:hAnsi="Times New Roman" w:cs="Times New Roman"/>
                <w:color w:val="000000"/>
                <w:spacing w:val="1"/>
                <w:lang w:eastAsia="hr-HR"/>
              </w:rPr>
              <w:t>T.10.2 – Visoko obrazovanje: postojanje nacionalnog  ili regionalnog strateškog okvira politike za povećanje udjela osoba s tercijarnim obrazovanjem te njegove kakvoće i učinkovitosti sukladno članku 165. Ugovora o funkcioniranju Europske unije</w:t>
            </w:r>
            <w:r w:rsidRPr="009B2E82">
              <w:rPr>
                <w:rFonts w:ascii="Times New Roman" w:hAnsi="Times New Roman" w:cs="Times New Roman"/>
                <w:color w:val="000000"/>
                <w:spacing w:val="-1"/>
                <w:lang w:eastAsia="hr-HR"/>
              </w:rPr>
              <w:t xml:space="preserve">.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color w:val="000000"/>
                <w:spacing w:val="-2"/>
                <w:lang w:eastAsia="hr-HR"/>
              </w:rPr>
            </w:pPr>
            <w:r w:rsidRPr="009B2E82">
              <w:rPr>
                <w:rFonts w:ascii="Times New Roman" w:hAnsi="Times New Roman" w:cs="Times New Roman"/>
                <w:color w:val="000000"/>
                <w:spacing w:val="-1"/>
                <w:lang w:eastAsia="hr-HR"/>
              </w:rPr>
              <w:t>1 – Provodi se nacionalni ili regionalni strateški okvir politike za tercijarno obrazovanje sa sljedećim karakteristikama:</w:t>
            </w:r>
          </w:p>
          <w:p w:rsidR="009B2E82" w:rsidRPr="009B2E82" w:rsidRDefault="009B2E82" w:rsidP="009B2E82">
            <w:pPr>
              <w:shd w:val="clear" w:color="auto" w:fill="FFFFFF"/>
              <w:spacing w:line="230" w:lineRule="exact"/>
              <w:ind w:right="67"/>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Strategija znanosti, obrazovanja i tehnologije koju je usvojila Vlada RH početkom srpnja 2014.</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 xml:space="preserve">Strategija znanosti, obrazovanja i tehnologije </w:t>
            </w:r>
            <w:r w:rsidRPr="009B2E82">
              <w:rPr>
                <w:rFonts w:ascii="Times New Roman" w:hAnsi="Times New Roman" w:cs="Times New Roman"/>
                <w:color w:val="000000"/>
                <w:spacing w:val="2"/>
                <w:sz w:val="24"/>
                <w:szCs w:val="24"/>
                <w:lang w:eastAsia="hr-HR"/>
              </w:rPr>
              <w:t xml:space="preserve"> koju je usvojila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Strategija znanosti, obrazovanja i tehnologije obuhvaća relevantne intervencije i mjere u sljedećim područjima: cjeloživotno učenje, obrazovanje u ranom djetinjstvu i usluge skrbi, pred-tercijarno obrazovanje, visoko obrazovanje, kao i obrazovanje odraslih. Prijedlog Strategije već uključuje i Akcijski plan za provedbu svake prepoznate mjere (u Akcijskom planu</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05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 xml:space="preserve">Vlada Republike Hrvatske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lang w:eastAsia="hr-HR"/>
              </w:rPr>
              <w:t>određene su odgovorne  institucije  za provedbu svake mjere, kao i rokovi i pokazatelji uspjeha).</w:t>
            </w:r>
          </w:p>
          <w:p w:rsidR="009B2E82" w:rsidRPr="009B2E82" w:rsidRDefault="009B2E82" w:rsidP="009B2E82">
            <w:pPr>
              <w:shd w:val="clear" w:color="auto" w:fill="FFFFFF"/>
              <w:spacing w:line="230" w:lineRule="exact"/>
              <w:jc w:val="both"/>
              <w:rPr>
                <w:rFonts w:ascii="Times New Roman" w:hAnsi="Times New Roman" w:cs="Times New Roman"/>
                <w:lang w:eastAsia="hr-HR"/>
              </w:rPr>
            </w:pPr>
          </w:p>
        </w:tc>
      </w:tr>
      <w:tr w:rsidR="009B2E82" w:rsidRPr="009B2E82" w:rsidTr="009B2E82">
        <w:trPr>
          <w:trHeight w:hRule="exact" w:val="618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jc w:val="both"/>
              <w:rPr>
                <w:rFonts w:ascii="Times New Roman" w:hAnsi="Times New Roman" w:cs="Times New Roman"/>
                <w:lang w:eastAsia="hr-HR"/>
              </w:rPr>
            </w:pPr>
            <w:r w:rsidRPr="009B2E82">
              <w:rPr>
                <w:rFonts w:ascii="Times New Roman" w:hAnsi="Times New Roman" w:cs="Times New Roman"/>
                <w:color w:val="000000"/>
                <w:spacing w:val="1"/>
                <w:lang w:eastAsia="hr-HR"/>
              </w:rPr>
              <w:t>T.10.2 - Visoko obrazovanje: postojanje nacionalnog  ili regionalnog strateškog okvira politike za povećanje udjela osoba s tercijarnim obrazovanjem te njegove kakvoće i učinkovitosti sukladno članku 165. Ugovora o funkcioniranju Europske unije</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288"/>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2 – po potrebi, sadrži </w:t>
            </w:r>
            <w:r w:rsidRPr="009B2E82">
              <w:rPr>
                <w:rFonts w:ascii="Times New Roman" w:hAnsi="Times New Roman" w:cs="Times New Roman"/>
                <w:color w:val="000000"/>
                <w:spacing w:val="-3"/>
                <w:lang w:eastAsia="hr-HR"/>
              </w:rPr>
              <w:t>mjere za povećanje sudjelovanja u tercijarnom obrazovanju i udjela osoba s tercijarnim obrazovanjem kojima se:</w:t>
            </w:r>
          </w:p>
          <w:p w:rsidR="009B2E82" w:rsidRPr="009B2E82" w:rsidRDefault="009B2E82" w:rsidP="009B2E82">
            <w:pPr>
              <w:shd w:val="clear" w:color="auto" w:fill="FFFFFF"/>
              <w:spacing w:line="226" w:lineRule="exact"/>
              <w:ind w:right="288"/>
              <w:rPr>
                <w:rFonts w:ascii="Times New Roman" w:hAnsi="Times New Roman" w:cs="Times New Roman"/>
                <w:color w:val="000000"/>
                <w:spacing w:val="-3"/>
                <w:lang w:eastAsia="hr-HR"/>
              </w:rPr>
            </w:pPr>
          </w:p>
          <w:p w:rsidR="009B2E82" w:rsidRPr="009B2E82" w:rsidRDefault="009B2E82" w:rsidP="009B2E82">
            <w:pPr>
              <w:shd w:val="clear" w:color="auto" w:fill="FFFFFF"/>
              <w:spacing w:line="226" w:lineRule="exact"/>
              <w:ind w:right="288"/>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Strategija znanosti, obrazovanja i tehnologije koju je usvojila Vlada RH početkom srpnja 2014.:</w:t>
            </w:r>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https://vlada.gov.hr/UserDocsIm</w:t>
            </w:r>
            <w:r w:rsidRPr="009B2E82">
              <w:rPr>
                <w:rFonts w:ascii="Times New Roman" w:hAnsi="Times New Roman" w:cs="Times New Roman"/>
                <w:color w:val="000000"/>
                <w:spacing w:val="-4"/>
                <w:sz w:val="24"/>
                <w:szCs w:val="24"/>
                <w:lang w:eastAsia="hr-HR"/>
              </w:rPr>
              <w:t>ages//Sjednice/2014/172%20sjednica%20 Vlade//172%20-</w:t>
            </w:r>
            <w:r w:rsidRPr="009B2E82">
              <w:rPr>
                <w:rFonts w:ascii="Times New Roman" w:hAnsi="Times New Roman" w:cs="Times New Roman"/>
                <w:color w:val="000000"/>
                <w:spacing w:val="2"/>
                <w:sz w:val="24"/>
                <w:szCs w:val="24"/>
                <w:lang w:eastAsia="hr-HR"/>
              </w:rPr>
              <w:t>201.pdf</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 xml:space="preserve">Socijalna uključivost visokog obrazovanja u Hrvatskoj, autori: Thomas </w:t>
            </w:r>
            <w:r w:rsidRPr="009B2E82">
              <w:rPr>
                <w:rFonts w:ascii="Times New Roman" w:hAnsi="Times New Roman" w:cs="Times New Roman"/>
                <w:color w:val="000000"/>
                <w:spacing w:val="-1"/>
                <w:sz w:val="24"/>
                <w:szCs w:val="24"/>
                <w:lang w:eastAsia="hr-HR"/>
              </w:rPr>
              <w:t xml:space="preserve">Farnell,   Teo   Matković,   Karin </w:t>
            </w:r>
            <w:r w:rsidRPr="009B2E82">
              <w:rPr>
                <w:rFonts w:ascii="Times New Roman" w:hAnsi="Times New Roman" w:cs="Times New Roman"/>
                <w:color w:val="000000"/>
                <w:sz w:val="24"/>
                <w:szCs w:val="24"/>
                <w:lang w:eastAsia="hr-HR"/>
              </w:rPr>
              <w:t>Doolan,   Mirna   Cvitan,    2014 (Institut za razvoj obrazovanja)</w:t>
            </w:r>
            <w:r w:rsidRPr="009B2E82">
              <w:rPr>
                <w:rFonts w:ascii="Times New Roman" w:hAnsi="Times New Roman" w:cs="Times New Roman"/>
                <w:color w:val="000000"/>
                <w:spacing w:val="-1"/>
                <w:sz w:val="24"/>
                <w:szCs w:val="24"/>
                <w:lang w:eastAsia="hr-HR"/>
              </w:rPr>
              <w:t>. Izvješće je dostupno    na: http://www.iro.hr/hr/publikacije/socijalna-ukljucivost-</w:t>
            </w:r>
            <w:r w:rsidRPr="009B2E82">
              <w:rPr>
                <w:rFonts w:ascii="Times New Roman" w:hAnsi="Times New Roman" w:cs="Times New Roman"/>
                <w:color w:val="000000"/>
                <w:spacing w:val="-2"/>
                <w:sz w:val="24"/>
                <w:szCs w:val="24"/>
                <w:lang w:eastAsia="hr-HR"/>
              </w:rPr>
              <w:t>visokog-obrazovanj a-2014/</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Nova Strategija ima za cilj uvesti financiranje nedovoljno zastupljenih skupina i potpore za studente s invaliditetom (mjere 6.1.2, 6.2.1-6.2.3, 6.4.1-6.4.7 nacrta Strategije). </w:t>
            </w:r>
            <w:r w:rsidRPr="009B2E82">
              <w:rPr>
                <w:rFonts w:ascii="Times New Roman" w:hAnsi="Times New Roman" w:cs="Times New Roman"/>
                <w:color w:val="000000"/>
                <w:spacing w:val="-1"/>
                <w:lang w:eastAsia="hr-HR"/>
              </w:rPr>
              <w:br/>
            </w:r>
          </w:p>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Preliminarna analiza pokazuje da su glavni razlozi za prekid studija nedostatak odgovarajućih kompetencija po ulasku u sustav visokog obrazovanja, pad motivacije studenta ili nedovoljna sredstva za studij. </w:t>
            </w:r>
            <w:r w:rsidRPr="009B2E82">
              <w:rPr>
                <w:rFonts w:ascii="Times New Roman" w:hAnsi="Times New Roman" w:cs="Times New Roman"/>
                <w:color w:val="000000"/>
                <w:spacing w:val="-1"/>
                <w:lang w:eastAsia="hr-HR"/>
              </w:rPr>
              <w:br/>
            </w:r>
          </w:p>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U odnosu na rješavanje problema studenata koji bi mogli prekinuli studij, jedan od ciljeva nacrta Strategije je  uspostavljanje centara za pružanje podrške studentima te usluga savjetovanja u području profesionalne orijentacije na sveučilištima (Mjera 2.7.1. Visoko obrazovanje).</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684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lang w:eastAsia="hr-HR"/>
              </w:rPr>
            </w:pPr>
            <w:r w:rsidRPr="009B2E82">
              <w:rPr>
                <w:rFonts w:ascii="Times New Roman" w:hAnsi="Times New Roman" w:cs="Times New Roman"/>
                <w:color w:val="000000"/>
                <w:spacing w:val="1"/>
                <w:lang w:eastAsia="hr-HR"/>
              </w:rPr>
              <w:t>T.10.2 - Visoko obrazovanje: postojanje nacionalnog  ili regionalnog strateškog okvira politike za povećanje udjela osoba s tercijarnim obrazovanjem te njegove kakvoće i učinkovitosti sukladno članku 165. Ugovora o funkcioniranju Europske unije</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58"/>
              <w:rPr>
                <w:rFonts w:ascii="Times New Roman" w:hAnsi="Times New Roman" w:cs="Times New Roman"/>
                <w:color w:val="000000"/>
                <w:spacing w:val="-1"/>
                <w:lang w:eastAsia="hr-HR"/>
              </w:rPr>
            </w:pPr>
            <w:r w:rsidRPr="009B2E82">
              <w:rPr>
                <w:rFonts w:ascii="Times New Roman" w:hAnsi="Times New Roman" w:cs="Times New Roman"/>
                <w:color w:val="000000"/>
                <w:lang w:eastAsia="hr-HR"/>
              </w:rPr>
              <w:t xml:space="preserve">3 - </w:t>
            </w:r>
            <w:r w:rsidRPr="009B2E82">
              <w:rPr>
                <w:rFonts w:ascii="Times New Roman" w:hAnsi="Times New Roman" w:cs="Times New Roman"/>
                <w:color w:val="000000"/>
                <w:spacing w:val="-1"/>
                <w:lang w:eastAsia="hr-HR"/>
              </w:rPr>
              <w:t>povećava sudjelovanje u visokom obrazovanju pripadnika skupina s niskim prihodima i drugih nedovoljno zastupljenih skupina, s posebnim naglaskom na skupine u nepovoljnom položaju uključujući ljude iz marginaliziranih zajednica;</w:t>
            </w:r>
          </w:p>
          <w:p w:rsidR="009B2E82" w:rsidRPr="009B2E82" w:rsidRDefault="009B2E82" w:rsidP="009B2E82">
            <w:pPr>
              <w:shd w:val="clear" w:color="auto" w:fill="FFFFFF"/>
              <w:spacing w:line="230" w:lineRule="exact"/>
              <w:ind w:right="58"/>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Strategija znanosti, obrazovanja i tehnologije </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 xml:space="preserve">Socijalna   i   ekonomska   slika </w:t>
            </w:r>
            <w:r w:rsidRPr="009B2E82">
              <w:rPr>
                <w:rFonts w:ascii="Times New Roman" w:hAnsi="Times New Roman" w:cs="Times New Roman"/>
                <w:color w:val="000000"/>
                <w:spacing w:val="1"/>
                <w:sz w:val="24"/>
                <w:szCs w:val="24"/>
                <w:lang w:eastAsia="hr-HR"/>
              </w:rPr>
              <w:t xml:space="preserve">studentskog života u Hrvatskoj: </w:t>
            </w:r>
            <w:r w:rsidRPr="009B2E82">
              <w:rPr>
                <w:rFonts w:ascii="Times New Roman" w:hAnsi="Times New Roman" w:cs="Times New Roman"/>
                <w:color w:val="000000"/>
                <w:spacing w:val="3"/>
                <w:sz w:val="24"/>
                <w:szCs w:val="24"/>
                <w:lang w:eastAsia="hr-HR"/>
              </w:rPr>
              <w:t xml:space="preserve">nacionalno izvješće istraživanja </w:t>
            </w:r>
            <w:r w:rsidRPr="009B2E82">
              <w:rPr>
                <w:rFonts w:ascii="Times New Roman" w:hAnsi="Times New Roman" w:cs="Times New Roman"/>
                <w:color w:val="000000"/>
                <w:spacing w:val="5"/>
                <w:sz w:val="24"/>
                <w:szCs w:val="24"/>
                <w:lang w:eastAsia="hr-HR"/>
              </w:rPr>
              <w:t xml:space="preserve">EUROSTUDENT za Hrvatsku, </w:t>
            </w:r>
            <w:r w:rsidRPr="009B2E82">
              <w:rPr>
                <w:rFonts w:ascii="Times New Roman" w:hAnsi="Times New Roman" w:cs="Times New Roman"/>
                <w:color w:val="000000"/>
                <w:sz w:val="24"/>
                <w:szCs w:val="24"/>
                <w:lang w:eastAsia="hr-HR"/>
              </w:rPr>
              <w:t xml:space="preserve">Institut za razvoj obrazovanja, </w:t>
            </w:r>
            <w:r w:rsidRPr="009B2E82">
              <w:rPr>
                <w:rFonts w:ascii="Times New Roman" w:hAnsi="Times New Roman" w:cs="Times New Roman"/>
                <w:color w:val="000000"/>
                <w:spacing w:val="-1"/>
                <w:sz w:val="24"/>
                <w:szCs w:val="24"/>
                <w:lang w:eastAsia="hr-HR"/>
              </w:rPr>
              <w:t>Zagreb 2011. Izvješće dostupno na</w:t>
            </w:r>
            <w:r w:rsidRPr="009B2E82">
              <w:rPr>
                <w:rFonts w:ascii="Times New Roman" w:hAnsi="Times New Roman" w:cs="Times New Roman"/>
                <w:color w:val="000000"/>
                <w:spacing w:val="-11"/>
                <w:sz w:val="24"/>
                <w:szCs w:val="24"/>
                <w:lang w:eastAsia="hr-HR"/>
              </w:rPr>
              <w:t xml:space="preserve">: </w:t>
            </w:r>
            <w:r w:rsidRPr="009B2E82">
              <w:rPr>
                <w:rFonts w:ascii="Times New Roman" w:hAnsi="Times New Roman" w:cs="Times New Roman"/>
                <w:color w:val="000000"/>
                <w:spacing w:val="-2"/>
                <w:sz w:val="24"/>
                <w:szCs w:val="24"/>
                <w:lang w:eastAsia="hr-HR"/>
              </w:rPr>
              <w:t>http://public.mzos.hr/Default.asp</w:t>
            </w:r>
            <w:r w:rsidRPr="009B2E82">
              <w:rPr>
                <w:rFonts w:ascii="Times New Roman" w:hAnsi="Times New Roman" w:cs="Times New Roman"/>
                <w:color w:val="000000"/>
                <w:spacing w:val="-1"/>
                <w:sz w:val="24"/>
                <w:szCs w:val="24"/>
                <w:lang w:eastAsia="hr-HR"/>
              </w:rPr>
              <w:t>x?sec=2254</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 xml:space="preserve">Nova strategija ima za cilj uvesti financiranje nedovoljno zastupljenih skupina i potpore za studente s invaliditetom (mjere 6.1.2, 6.2.1-6.2.3, 6.4.1 -6.4.7 Strategije). </w:t>
            </w:r>
          </w:p>
          <w:p w:rsidR="009B2E82" w:rsidRPr="009B2E82" w:rsidRDefault="009B2E82" w:rsidP="009B2E82">
            <w:pPr>
              <w:shd w:val="clear" w:color="auto" w:fill="FFFFFF"/>
              <w:spacing w:line="230"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br/>
              <w:t xml:space="preserve">Nacionalna istraživanja provedena su vezano uz društveno-ekonomsku situaciju studentskog života u Hrvatskoj (EUROSTUDENT). Podaci se odnose na socijalni profil studenata a dostupni su na str. 30. </w:t>
            </w:r>
            <w:r w:rsidRPr="009B2E82">
              <w:rPr>
                <w:rFonts w:ascii="Times New Roman" w:hAnsi="Times New Roman" w:cs="Times New Roman"/>
                <w:color w:val="000000"/>
                <w:lang w:eastAsia="hr-HR"/>
              </w:rPr>
              <w:br/>
            </w:r>
          </w:p>
          <w:p w:rsidR="009B2E82" w:rsidRPr="009B2E82" w:rsidRDefault="009B2E82" w:rsidP="009B2E82">
            <w:pPr>
              <w:shd w:val="clear" w:color="auto" w:fill="FFFFFF"/>
              <w:spacing w:line="230" w:lineRule="exact"/>
              <w:jc w:val="both"/>
              <w:rPr>
                <w:rFonts w:ascii="Times New Roman" w:hAnsi="Times New Roman" w:cs="Times New Roman"/>
                <w:color w:val="000000"/>
                <w:lang w:eastAsia="hr-HR"/>
              </w:rPr>
            </w:pPr>
            <w:r w:rsidRPr="009B2E82">
              <w:rPr>
                <w:rFonts w:ascii="Times New Roman" w:hAnsi="Times New Roman" w:cs="Times New Roman"/>
                <w:color w:val="000000"/>
                <w:lang w:eastAsia="hr-HR"/>
              </w:rPr>
              <w:t xml:space="preserve">Nova strategija ima za cilj uvesti financiranje nedovoljno zastupljenih skupina i potpore za studente s invaliditetom (mjere 6.1.2, 6.2.1-6.2.3, 6.4.1 -6.4.7 Strategije). </w:t>
            </w:r>
          </w:p>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br/>
              <w:t>Nacionalna zaklada za potporu učeničkom i studentskom standardu daje godišnje stipendije različitim kategorijama studenata (uključujući i studente s invaliditetom, romsku manjinsku skupinu studenata, studente korisnike prava socijalne skrbi, itd.).</w:t>
            </w:r>
          </w:p>
          <w:p w:rsidR="009B2E82" w:rsidRPr="009B2E82" w:rsidRDefault="009B2E82" w:rsidP="009B2E82">
            <w:pPr>
              <w:shd w:val="clear" w:color="auto" w:fill="FFFFFF"/>
              <w:spacing w:line="230" w:lineRule="exact"/>
              <w:jc w:val="both"/>
              <w:rPr>
                <w:rFonts w:ascii="Times New Roman" w:hAnsi="Times New Roman" w:cs="Times New Roman"/>
                <w:lang w:eastAsia="hr-HR"/>
              </w:rPr>
            </w:pPr>
          </w:p>
        </w:tc>
      </w:tr>
      <w:tr w:rsidR="009B2E82" w:rsidRPr="009B2E82" w:rsidTr="009B2E82">
        <w:trPr>
          <w:trHeight w:hRule="exact" w:val="184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lang w:eastAsia="hr-HR"/>
              </w:rPr>
            </w:pPr>
            <w:r w:rsidRPr="009B2E82">
              <w:rPr>
                <w:rFonts w:ascii="Times New Roman" w:hAnsi="Times New Roman" w:cs="Times New Roman"/>
                <w:color w:val="000000"/>
                <w:spacing w:val="1"/>
                <w:lang w:eastAsia="hr-HR"/>
              </w:rPr>
              <w:t>T.10.2 - Visoko obrazovanje: postojanje nacionalnog  ili regionalnog strateškog okvira politike za povećanje udjela osoba s tercijarnim obrazovanjem te njegove kakvoće i učinkovitosti sukladno članku 165. Ugovora o funkcioniranju Europske unije</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62"/>
              <w:rPr>
                <w:rFonts w:ascii="Times New Roman" w:hAnsi="Times New Roman" w:cs="Times New Roman"/>
                <w:lang w:eastAsia="hr-HR"/>
              </w:rPr>
            </w:pPr>
            <w:r w:rsidRPr="009B2E82">
              <w:rPr>
                <w:rFonts w:ascii="Times New Roman" w:hAnsi="Times New Roman" w:cs="Times New Roman"/>
                <w:color w:val="000000"/>
                <w:spacing w:val="-1"/>
                <w:lang w:eastAsia="hr-HR"/>
              </w:rPr>
              <w:t>4 -</w:t>
            </w:r>
            <w:r w:rsidRPr="009B2E82">
              <w:rPr>
                <w:rFonts w:ascii="Times New Roman" w:hAnsi="Times New Roman" w:cs="Times New Roman"/>
                <w:snapToGrid w:val="0"/>
                <w:sz w:val="24"/>
                <w:lang w:eastAsia="en-GB"/>
              </w:rPr>
              <w:t>s</w:t>
            </w:r>
            <w:r w:rsidRPr="009B2E82">
              <w:rPr>
                <w:rFonts w:ascii="Times New Roman" w:hAnsi="Times New Roman" w:cs="Times New Roman"/>
                <w:color w:val="000000"/>
                <w:spacing w:val="-1"/>
                <w:lang w:eastAsia="hr-HR"/>
              </w:rPr>
              <w:t>manjuje stopa prekida studija/poboljšava stopa završetka studija;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 xml:space="preserve">Socijalna uključivost visokog obrazovanja u Hrvatskoj, autori: Thomas Farnell,   Teo   Matković,   Karin Doolan,   Mirna   Cvitan,    2014 (Institut za razvoj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Preliminarna analiza pokazuje da su glavni razlozi prekida studija nedostatak odgovarajućih kompetencija po ulasku u sustav visokog obrazovanja, pad motivacije studenta ili nedovoljna sredstva za studij.</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450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obrazovanja). Izvješće je dostupno  na:</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http://www.iro.hr/hr/publikacije/socijalna-ukljucivost-</w:t>
            </w:r>
            <w:r w:rsidRPr="009B2E82">
              <w:rPr>
                <w:rFonts w:ascii="Times New Roman" w:hAnsi="Times New Roman" w:cs="Times New Roman"/>
                <w:color w:val="000000"/>
                <w:spacing w:val="-2"/>
                <w:sz w:val="24"/>
                <w:szCs w:val="24"/>
                <w:lang w:eastAsia="hr-HR"/>
              </w:rPr>
              <w:t>visokog-obrazovanja-2014/</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Strategija znanosti, obrazovanja i tehnologije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Ciljane aktivnosti za najranjivije kategorije studenata, kao i za one kod kojih postoji rizik od prekida studija predviđene su u sklopu sljedećih mjera: razvoj i provedba izvanrednih studija, osnivanje centara za podršku studentima u visokom obrazovanju, razvoj i provedba usluge savjetovanja u području profesionalne orijentacije na razini srednjoškolskog i visokoškolskog obrazovanja, ulaganja u studentske smještajne objekte s prioritetom osiguranja dostupnosti domova studentima koji su socijalno i ekonomski u nepovoljnom položaju te ciljana politika stipendiranja putem Nacionalne zaklade za potporu učeničkom i studentskom standardu.</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417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lang w:eastAsia="hr-HR"/>
              </w:rPr>
            </w:pPr>
            <w:r w:rsidRPr="009B2E82">
              <w:rPr>
                <w:rFonts w:ascii="Times New Roman" w:hAnsi="Times New Roman" w:cs="Times New Roman"/>
                <w:color w:val="000000"/>
                <w:spacing w:val="1"/>
                <w:lang w:eastAsia="hr-HR"/>
              </w:rPr>
              <w:t>T.10.2 - Visoko obrazovanje: postojanje nacionalnog  ili regionalnog strateškog okvira politike za povećanje udjela osoba s tercijarnim obrazovanjem te njegove kakvoće i učinkovitosti sukladno članku 165. Ugovora o funkcioniranju Europske unije</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78"/>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5 - potiče osmišljanje inovativnih sadržaja i programa;</w:t>
            </w:r>
          </w:p>
          <w:p w:rsidR="009B2E82" w:rsidRPr="009B2E82" w:rsidRDefault="009B2E82" w:rsidP="009B2E82">
            <w:pPr>
              <w:shd w:val="clear" w:color="auto" w:fill="FFFFFF"/>
              <w:spacing w:line="230" w:lineRule="exact"/>
              <w:ind w:right="278"/>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Strategija znanosti, obrazovanja i tehnologije </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Zakon o Hrvatskom kvalifikacijskom okviru (NN, 22/2013)</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Ekonomski program Republike Hrvatske 2013.</w:t>
            </w:r>
            <w:r w:rsidRPr="009B2E82">
              <w:rPr>
                <w:rFonts w:ascii="Times New Roman" w:hAnsi="Times New Roman" w:cs="Times New Roman"/>
                <w:color w:val="000000"/>
                <w:spacing w:val="-4"/>
                <w:sz w:val="24"/>
                <w:szCs w:val="24"/>
                <w:lang w:eastAsia="hr-HR"/>
              </w:rPr>
              <w:t xml:space="preserve">: </w:t>
            </w:r>
            <w:r w:rsidRPr="009B2E82">
              <w:rPr>
                <w:rFonts w:ascii="Times New Roman" w:hAnsi="Times New Roman" w:cs="Times New Roman"/>
                <w:color w:val="000000"/>
                <w:sz w:val="24"/>
                <w:szCs w:val="24"/>
                <w:lang w:eastAsia="hr-HR"/>
              </w:rPr>
              <w:t>http://www.mfin.hr/adminmax/d</w:t>
            </w:r>
            <w:r w:rsidRPr="009B2E82">
              <w:rPr>
                <w:rFonts w:ascii="Times New Roman" w:hAnsi="Times New Roman" w:cs="Times New Roman"/>
                <w:color w:val="000000"/>
                <w:spacing w:val="-3"/>
                <w:sz w:val="24"/>
                <w:szCs w:val="24"/>
                <w:lang w:eastAsia="hr-HR"/>
              </w:rPr>
              <w:t>ocs/2013%20Economic%20Prog</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Zakon o Hrvatskom kvalifikacijskom okviru (HKO) uspostavlja potreban zakonodavni i institucionalni okvir za daljnji razvoj i provedbu HKO-a, kao i za referenciranje i samo-certificiranje HKO-a a obzirom na Europski kvalifikacijski okvir i Europsko područje visokog obrazovanja. Na temelju odredbi Zakona, osiguravanje i razvoj kvalitete u znanosti i visokom obrazovanju putem postupaka inicijalne akreditacije, ponovne akreditacije, tematskog vrednovanja i statusa utvrđenog vanjskom prosudbom sustava osiguravanja kvalitete aktivnosti su koje provodi i organizira Agencija</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273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ramme%20of%20Croatia.pdf</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Nacionalni program reformi za  2014</w:t>
            </w:r>
            <w:r w:rsidRPr="009B2E82">
              <w:rPr>
                <w:rFonts w:ascii="Times New Roman" w:hAnsi="Times New Roman" w:cs="Times New Roman"/>
                <w:color w:val="000000"/>
                <w:spacing w:val="-5"/>
                <w:sz w:val="24"/>
                <w:szCs w:val="24"/>
                <w:lang w:eastAsia="hr-HR"/>
              </w:rPr>
              <w:t>.</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Zakon o osiguravanju kvalitete u znanosti i visokom obrazovanju</w:t>
            </w:r>
            <w:r w:rsidRPr="009B2E82">
              <w:rPr>
                <w:rFonts w:ascii="Times New Roman" w:hAnsi="Times New Roman" w:cs="Times New Roman"/>
                <w:color w:val="000000"/>
                <w:spacing w:val="7"/>
                <w:sz w:val="24"/>
                <w:szCs w:val="24"/>
                <w:lang w:eastAsia="hr-HR"/>
              </w:rPr>
              <w:t xml:space="preserve"> </w:t>
            </w:r>
            <w:r w:rsidRPr="009B2E82">
              <w:rPr>
                <w:rFonts w:ascii="Times New Roman" w:hAnsi="Times New Roman" w:cs="Times New Roman"/>
                <w:color w:val="000000"/>
                <w:spacing w:val="-3"/>
                <w:sz w:val="24"/>
                <w:szCs w:val="24"/>
                <w:lang w:eastAsia="hr-HR"/>
              </w:rPr>
              <w:t>(NN 45/09).</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color w:val="000000"/>
                <w:spacing w:val="5"/>
                <w:lang w:eastAsia="hr-HR"/>
              </w:rPr>
            </w:pPr>
            <w:r w:rsidRPr="009B2E82">
              <w:rPr>
                <w:rFonts w:ascii="Times New Roman" w:hAnsi="Times New Roman" w:cs="Times New Roman"/>
                <w:color w:val="000000"/>
                <w:spacing w:val="5"/>
                <w:lang w:eastAsia="hr-HR"/>
              </w:rPr>
              <w:t xml:space="preserve">za znanost i visoko obrazovanje, (HAZVO) kao javna ustanova Republike Hrvatske s ciljem osiguravanja kvalitete i razvoja znanosti i visokog obrazovanja, kao i druge ustanove u Republici Hrvatskoj koji za zadatak imaju osiguravanje kvalitete i razvoj znanosti i visokog obrazovanja. </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r w:rsidR="009B2E82" w:rsidRPr="009B2E82" w:rsidTr="009B2E82">
        <w:trPr>
          <w:trHeight w:hRule="exact" w:val="486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lang w:eastAsia="hr-HR"/>
              </w:rPr>
            </w:pPr>
            <w:r w:rsidRPr="009B2E82">
              <w:rPr>
                <w:rFonts w:ascii="Times New Roman" w:hAnsi="Times New Roman" w:cs="Times New Roman"/>
                <w:color w:val="000000"/>
                <w:spacing w:val="1"/>
                <w:lang w:eastAsia="hr-HR"/>
              </w:rPr>
              <w:t>T.10.2 - Visoko obrazovanje: postojanje nacionalnog  ili regionalnog strateškog okvira politike za povećanje udjela osoba s tercijarnim obrazovanjem te njegove kakvoće i učinkovitosti sukladno članku 165. Ugovora o funkcioniranju Europske unije</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68"/>
              <w:rPr>
                <w:rFonts w:ascii="Times New Roman" w:hAnsi="Times New Roman" w:cs="Times New Roman"/>
                <w:lang w:eastAsia="hr-HR"/>
              </w:rPr>
            </w:pPr>
            <w:r w:rsidRPr="009B2E82">
              <w:rPr>
                <w:rFonts w:ascii="Times New Roman" w:hAnsi="Times New Roman" w:cs="Times New Roman"/>
                <w:color w:val="000000"/>
                <w:spacing w:val="-1"/>
                <w:lang w:eastAsia="hr-HR"/>
              </w:rPr>
              <w:t>6 - Mjere za povećanje zapošljivosti i poduzetništva kojima se: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Strategiju znanosti, obrazovanja i tehnologije </w:t>
            </w:r>
            <w:r w:rsidRPr="009B2E82">
              <w:rPr>
                <w:rFonts w:ascii="Times New Roman" w:hAnsi="Times New Roman" w:cs="Times New Roman"/>
                <w:color w:val="000000"/>
                <w:spacing w:val="1"/>
                <w:sz w:val="24"/>
                <w:szCs w:val="24"/>
                <w:lang w:eastAsia="hr-HR"/>
              </w:rPr>
              <w:t xml:space="preserve">  usvojila je </w:t>
            </w:r>
            <w:r w:rsidRPr="009B2E82">
              <w:rPr>
                <w:rFonts w:ascii="Times New Roman" w:hAnsi="Times New Roman" w:cs="Times New Roman"/>
                <w:color w:val="000000"/>
                <w:spacing w:val="3"/>
                <w:sz w:val="24"/>
                <w:szCs w:val="24"/>
                <w:lang w:eastAsia="hr-HR"/>
              </w:rPr>
              <w:t xml:space="preserve">Vlada Republike Hrvatske </w:t>
            </w:r>
            <w:r w:rsidRPr="009B2E82">
              <w:rPr>
                <w:rFonts w:ascii="Times New Roman" w:hAnsi="Times New Roman" w:cs="Times New Roman"/>
                <w:color w:val="000000"/>
                <w:spacing w:val="2"/>
                <w:sz w:val="24"/>
                <w:szCs w:val="24"/>
                <w:lang w:eastAsia="hr-HR"/>
              </w:rPr>
              <w:t xml:space="preserve"> početkom srpnja </w:t>
            </w:r>
            <w:r w:rsidRPr="009B2E82">
              <w:rPr>
                <w:rFonts w:ascii="Times New Roman" w:hAnsi="Times New Roman" w:cs="Times New Roman"/>
                <w:color w:val="000000"/>
                <w:spacing w:val="-3"/>
                <w:sz w:val="24"/>
                <w:szCs w:val="24"/>
                <w:lang w:eastAsia="hr-HR"/>
              </w:rPr>
              <w:t>2014.:</w:t>
            </w:r>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 xml:space="preserve">https://vlada.gov.hr/UserDocsIm </w:t>
            </w:r>
            <w:r w:rsidRPr="009B2E82">
              <w:rPr>
                <w:rFonts w:ascii="Times New Roman" w:hAnsi="Times New Roman" w:cs="Times New Roman"/>
                <w:color w:val="000000"/>
                <w:spacing w:val="-5"/>
                <w:sz w:val="24"/>
                <w:szCs w:val="24"/>
                <w:lang w:eastAsia="hr-HR"/>
              </w:rPr>
              <w:t>ages//Sjednice/2014/172%20sjed</w:t>
            </w:r>
            <w:r w:rsidRPr="009B2E82">
              <w:rPr>
                <w:rFonts w:ascii="Times New Roman" w:hAnsi="Times New Roman" w:cs="Times New Roman"/>
                <w:color w:val="000000"/>
                <w:spacing w:val="-1"/>
                <w:sz w:val="24"/>
                <w:szCs w:val="24"/>
                <w:lang w:eastAsia="hr-HR"/>
              </w:rPr>
              <w:t>nica%20Vlade//l 72%20-</w:t>
            </w:r>
            <w:r w:rsidRPr="009B2E82">
              <w:rPr>
                <w:rFonts w:ascii="Times New Roman" w:hAnsi="Times New Roman" w:cs="Times New Roman"/>
                <w:color w:val="000000"/>
                <w:spacing w:val="2"/>
                <w:sz w:val="24"/>
                <w:szCs w:val="24"/>
                <w:lang w:eastAsia="hr-HR"/>
              </w:rPr>
              <w:t>201.pdf</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6"/>
                <w:sz w:val="24"/>
                <w:szCs w:val="24"/>
                <w:lang w:eastAsia="hr-HR"/>
              </w:rPr>
              <w:t xml:space="preserve">Podaci vezani uz akreditaciju studijskih programa dostupni su na: </w:t>
            </w:r>
            <w:r w:rsidRPr="009B2E82">
              <w:rPr>
                <w:rFonts w:ascii="Times New Roman" w:hAnsi="Times New Roman" w:cs="Times New Roman"/>
                <w:color w:val="000000"/>
                <w:spacing w:val="-1"/>
                <w:sz w:val="24"/>
                <w:szCs w:val="24"/>
                <w:lang w:eastAsia="hr-HR"/>
              </w:rPr>
              <w:t xml:space="preserve">https://www.azvo.hr/index.ph </w:t>
            </w:r>
            <w:r w:rsidRPr="009B2E82">
              <w:rPr>
                <w:rFonts w:ascii="Times New Roman" w:hAnsi="Times New Roman" w:cs="Times New Roman"/>
                <w:color w:val="000000"/>
                <w:spacing w:val="-3"/>
                <w:sz w:val="24"/>
                <w:szCs w:val="24"/>
                <w:lang w:eastAsia="hr-HR"/>
              </w:rPr>
              <w:t>p/en/vrednovanja/postupci-</w:t>
            </w:r>
            <w:r w:rsidRPr="009B2E82">
              <w:rPr>
                <w:rFonts w:ascii="Arial" w:eastAsia="Times New Roman" w:hAnsi="Arial" w:cs="Arial"/>
                <w:sz w:val="20"/>
                <w:szCs w:val="20"/>
                <w:lang w:eastAsia="hr-HR"/>
              </w:rPr>
              <w:t xml:space="preserve"> </w:t>
            </w:r>
            <w:r w:rsidRPr="009B2E82">
              <w:rPr>
                <w:rFonts w:ascii="Times New Roman" w:hAnsi="Times New Roman" w:cs="Times New Roman"/>
                <w:color w:val="000000"/>
                <w:spacing w:val="-3"/>
                <w:sz w:val="24"/>
                <w:szCs w:val="24"/>
                <w:lang w:eastAsia="hr-HR"/>
              </w:rPr>
              <w:t>vrednovanja-u-visokomobrazovanju/inicijalna-akreditacijastudijskih-programa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iCs/>
                <w:lang w:eastAsia="hr-HR"/>
              </w:rPr>
            </w:pPr>
            <w:r w:rsidRPr="009B2E82">
              <w:rPr>
                <w:rFonts w:ascii="Times New Roman" w:hAnsi="Times New Roman" w:cs="Times New Roman"/>
                <w:lang w:eastAsia="hr-HR"/>
              </w:rPr>
              <w:t xml:space="preserve">Agencija za znanost i visoko obrazovanje provodi dio postupka inicijalne akreditacije visokoškolskih ustanova, sukladno Zakonu o osiguravanju kvalitete u znanosti i visokom obrazovanju (NN 45/09) i </w:t>
            </w:r>
            <w:r w:rsidRPr="009B2E82">
              <w:rPr>
                <w:rFonts w:ascii="Times New Roman" w:hAnsi="Times New Roman" w:cs="Times New Roman"/>
                <w:iCs/>
                <w:lang w:eastAsia="hr-HR"/>
              </w:rPr>
              <w:t>Pravilniku o sadržaju dopusnice te uvjetima za izdavanje dopusnice za obavljanje djelatnosti visokog obrazovanja, izvođenje studijskog programa i reakreditaciju visokih učilišta (NN 24/2010). Inicijalna akreditacija provodi se u skladu s Postupkom inicijalne akreditacije za obavljanje djelatnosti visokog obrazovanja. Neki od kriterija u vrednovanju studijskih programa uključuju: opravdanost pokretanja</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232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ind w:right="139"/>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studija s obzirom na potrebe tržišta rada u javnom i privatnom sektoru; odnos prema potrebama lokalne zajednice; osigurava li studij stjecanje stručnih kompetencija, uključujući i znanja, vještine i metode zaključivanja, itd.</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539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lang w:eastAsia="hr-HR"/>
              </w:rPr>
            </w:pPr>
            <w:r w:rsidRPr="009B2E82">
              <w:rPr>
                <w:rFonts w:ascii="Times New Roman" w:hAnsi="Times New Roman" w:cs="Times New Roman"/>
                <w:color w:val="000000"/>
                <w:spacing w:val="1"/>
                <w:lang w:eastAsia="hr-HR"/>
              </w:rPr>
              <w:t>T.10.2 - Visoko obrazovanje: postojanje nacionalnog  ili regionalnog strateškog okvira politike za povećanje udjela osoba s tercijarnim obrazovanjem te njegove kakvoće i učinkovitosti sukladno članku 165. Ugovora o funkcioniranju Europske unije</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432"/>
              <w:rPr>
                <w:rFonts w:ascii="Times New Roman" w:hAnsi="Times New Roman" w:cs="Times New Roman"/>
                <w:color w:val="000000"/>
                <w:spacing w:val="-1"/>
                <w:lang w:eastAsia="hr-HR"/>
              </w:rPr>
            </w:pPr>
            <w:r w:rsidRPr="009B2E82">
              <w:rPr>
                <w:rFonts w:ascii="Times New Roman" w:hAnsi="Times New Roman" w:cs="Times New Roman"/>
                <w:color w:val="000000"/>
                <w:lang w:eastAsia="hr-HR"/>
              </w:rPr>
              <w:t>7 -</w:t>
            </w:r>
            <w:r w:rsidRPr="009B2E82">
              <w:rPr>
                <w:rFonts w:ascii="Times New Roman" w:hAnsi="Times New Roman" w:cs="Times New Roman"/>
                <w:color w:val="000000"/>
                <w:spacing w:val="-1"/>
                <w:lang w:eastAsia="hr-HR"/>
              </w:rPr>
              <w:t xml:space="preserve"> potiče razvoj “transverzalnih vještina”, što uključuje i poduzetništvo u svim programima visokog obrazovanja; </w:t>
            </w:r>
          </w:p>
          <w:p w:rsidR="009B2E82" w:rsidRPr="009B2E82" w:rsidRDefault="009B2E82" w:rsidP="009B2E82">
            <w:pPr>
              <w:shd w:val="clear" w:color="auto" w:fill="FFFFFF"/>
              <w:spacing w:line="230" w:lineRule="exact"/>
              <w:ind w:right="432"/>
              <w:rPr>
                <w:rFonts w:ascii="Times New Roman" w:hAnsi="Times New Roman" w:cs="Times New Roman"/>
                <w:color w:val="000000"/>
                <w:spacing w:val="-1"/>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rPr>
                <w:rFonts w:ascii="Times New Roman" w:hAnsi="Times New Roman" w:cs="Times New Roman"/>
                <w:color w:val="000000"/>
                <w:spacing w:val="-3"/>
                <w:sz w:val="24"/>
                <w:szCs w:val="24"/>
                <w:lang w:eastAsia="hr-HR"/>
              </w:rPr>
            </w:pPr>
            <w:r w:rsidRPr="009B2E82">
              <w:rPr>
                <w:rFonts w:ascii="Times New Roman" w:hAnsi="Times New Roman" w:cs="Times New Roman"/>
                <w:color w:val="000000"/>
                <w:spacing w:val="-3"/>
                <w:sz w:val="24"/>
                <w:szCs w:val="24"/>
                <w:lang w:eastAsia="hr-HR"/>
              </w:rPr>
              <w:t>Strategiju znanosti, obrazovanja i tehnologije usvojila je Vlada Republike Hrvatske  početkom srpnja 2014.:</w:t>
            </w:r>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https://vlada.gov.hr/UserDocsIm</w:t>
            </w:r>
            <w:r w:rsidRPr="009B2E82">
              <w:rPr>
                <w:rFonts w:ascii="Times New Roman" w:hAnsi="Times New Roman" w:cs="Times New Roman"/>
                <w:color w:val="000000"/>
                <w:spacing w:val="-5"/>
                <w:sz w:val="24"/>
                <w:szCs w:val="24"/>
                <w:lang w:eastAsia="hr-HR"/>
              </w:rPr>
              <w:t>ages//Sjednice/2014/172%20sjed</w:t>
            </w:r>
            <w:r w:rsidRPr="009B2E82">
              <w:rPr>
                <w:rFonts w:ascii="Times New Roman" w:hAnsi="Times New Roman" w:cs="Times New Roman"/>
                <w:color w:val="000000"/>
                <w:spacing w:val="-1"/>
                <w:sz w:val="24"/>
                <w:szCs w:val="24"/>
                <w:lang w:eastAsia="hr-HR"/>
              </w:rPr>
              <w:t>nica%20Vlade//l72%20-</w:t>
            </w:r>
            <w:r w:rsidRPr="009B2E82">
              <w:rPr>
                <w:rFonts w:ascii="Times New Roman" w:hAnsi="Times New Roman" w:cs="Times New Roman"/>
                <w:color w:val="000000"/>
                <w:spacing w:val="2"/>
                <w:sz w:val="24"/>
                <w:szCs w:val="24"/>
                <w:lang w:eastAsia="hr-HR"/>
              </w:rPr>
              <w:t>%201.pdf</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6"/>
                <w:sz w:val="24"/>
                <w:szCs w:val="24"/>
                <w:lang w:eastAsia="hr-HR"/>
              </w:rPr>
              <w:t>Podaci vezani uz akreditaciju studijskih programa dostupni su na</w:t>
            </w:r>
            <w:r w:rsidRPr="009B2E82">
              <w:rPr>
                <w:rFonts w:ascii="Times New Roman" w:hAnsi="Times New Roman" w:cs="Times New Roman"/>
                <w:color w:val="000000"/>
                <w:spacing w:val="3"/>
                <w:sz w:val="24"/>
                <w:szCs w:val="24"/>
                <w:lang w:eastAsia="hr-HR"/>
              </w:rPr>
              <w:t xml:space="preserve">: </w:t>
            </w:r>
            <w:r w:rsidRPr="009B2E82">
              <w:rPr>
                <w:rFonts w:ascii="Times New Roman" w:hAnsi="Times New Roman" w:cs="Times New Roman"/>
                <w:color w:val="000000"/>
                <w:spacing w:val="-9"/>
                <w:sz w:val="24"/>
                <w:szCs w:val="24"/>
                <w:lang w:eastAsia="hr-HR"/>
              </w:rPr>
              <w:t>http s: //www.azvo.hr/index.php/e</w:t>
            </w:r>
            <w:r w:rsidRPr="009B2E82">
              <w:rPr>
                <w:rFonts w:ascii="Times New Roman" w:hAnsi="Times New Roman" w:cs="Times New Roman"/>
                <w:color w:val="000000"/>
                <w:spacing w:val="-3"/>
                <w:sz w:val="24"/>
                <w:szCs w:val="24"/>
                <w:lang w:eastAsia="hr-HR"/>
              </w:rPr>
              <w:t>n/vrednovanja/postupci-vrednovanja-u-visokom-obrazovanju/inicijalna-</w:t>
            </w:r>
            <w:r w:rsidRPr="009B2E82">
              <w:rPr>
                <w:rFonts w:ascii="Times New Roman" w:hAnsi="Times New Roman" w:cs="Times New Roman"/>
                <w:color w:val="000000"/>
                <w:spacing w:val="-4"/>
                <w:sz w:val="24"/>
                <w:szCs w:val="24"/>
                <w:lang w:eastAsia="hr-HR"/>
              </w:rPr>
              <w:t>akreditacij a-studijskih-programa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Ovaj konkretni problem rješavat će se kroz provedbu mjera iz Strategije, kao što su: unapređenje studijskih programa kroz dosljednu provedbu Bolonjskog procesa, usklađivanje broja i profila studijskih programa s potrebama tržišta rada (osiguravajući integraciju i veći opseg transverzalnih vještina u studijskim programima), poboljšanje studentskog standarda s fokusom na socijalnoj dimenziji studiranja; internacionalizacija visokog obrazovanja. Detaljnije mjere navedene su Strategiji - odjeljak: Visoko školstvo - str. 102.-103. (mjere br.: 1.1.1., 1.2.1. i 1.2.2.).</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84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r>
      <w:tr w:rsidR="009B2E82" w:rsidRPr="009B2E82" w:rsidTr="009B2E82">
        <w:trPr>
          <w:trHeight w:val="666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67"/>
              <w:rPr>
                <w:rFonts w:ascii="Times New Roman" w:hAnsi="Times New Roman" w:cs="Times New Roman"/>
                <w:lang w:eastAsia="hr-HR"/>
              </w:rPr>
            </w:pPr>
            <w:r w:rsidRPr="009B2E82">
              <w:rPr>
                <w:rFonts w:ascii="Times New Roman" w:hAnsi="Times New Roman" w:cs="Times New Roman"/>
                <w:color w:val="000000"/>
                <w:spacing w:val="1"/>
                <w:lang w:eastAsia="hr-HR"/>
              </w:rPr>
              <w:t>T.10.2 - Visoko obrazovanje: postojanje nacionalnog  ili regionalnog strateškog okvira politike za povećanje udjela osoba s tercijarnim obrazovanjem te njegove kakvoće i učinkovitosti sukladno članku 165. Ugovora o funkcioniranju Europske unije</w:t>
            </w:r>
            <w:r w:rsidRPr="009B2E82">
              <w:rPr>
                <w:rFonts w:ascii="Times New Roman" w:hAnsi="Times New Roman" w:cs="Times New Roman"/>
                <w:color w:val="000000"/>
                <w:spacing w:val="-1"/>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16"/>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8 - </w:t>
            </w:r>
            <w:r w:rsidRPr="009B2E82">
              <w:rPr>
                <w:rFonts w:ascii="Times New Roman" w:hAnsi="Times New Roman" w:cs="Times New Roman"/>
                <w:lang w:eastAsia="hr-HR"/>
              </w:rPr>
              <w:t>smanjuju spolne razlike u pogledu akademskih i strukovnih odabira.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jc w:val="both"/>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 xml:space="preserve">Socijalna i ekonomska slika </w:t>
            </w:r>
            <w:r w:rsidRPr="009B2E82">
              <w:rPr>
                <w:rFonts w:ascii="Times New Roman" w:hAnsi="Times New Roman" w:cs="Times New Roman"/>
                <w:color w:val="000000"/>
                <w:sz w:val="24"/>
                <w:szCs w:val="24"/>
                <w:lang w:eastAsia="hr-HR"/>
              </w:rPr>
              <w:t xml:space="preserve">studentskog života u Hrvatskoj: nacionalno izvješće istraživanja EUROSTUDENT za Hrvatsku, </w:t>
            </w:r>
            <w:r w:rsidRPr="009B2E82">
              <w:rPr>
                <w:rFonts w:ascii="Times New Roman" w:hAnsi="Times New Roman" w:cs="Times New Roman"/>
                <w:color w:val="000000"/>
                <w:spacing w:val="57"/>
                <w:sz w:val="24"/>
                <w:szCs w:val="24"/>
                <w:lang w:eastAsia="hr-HR"/>
              </w:rPr>
              <w:t xml:space="preserve">Institut za razvoj </w:t>
            </w:r>
            <w:r w:rsidRPr="009B2E82">
              <w:rPr>
                <w:rFonts w:ascii="Times New Roman" w:hAnsi="Times New Roman" w:cs="Times New Roman"/>
                <w:color w:val="000000"/>
                <w:spacing w:val="6"/>
                <w:sz w:val="24"/>
                <w:szCs w:val="24"/>
                <w:lang w:eastAsia="hr-HR"/>
              </w:rPr>
              <w:t xml:space="preserve">obrazovanja, Zagreb 2011. </w:t>
            </w:r>
            <w:r w:rsidRPr="009B2E82">
              <w:rPr>
                <w:rFonts w:ascii="Times New Roman" w:hAnsi="Times New Roman" w:cs="Times New Roman"/>
                <w:color w:val="000000"/>
                <w:sz w:val="24"/>
                <w:szCs w:val="24"/>
                <w:lang w:eastAsia="hr-HR"/>
              </w:rPr>
              <w:t xml:space="preserve">Izvješće je dostupno na: </w:t>
            </w:r>
            <w:r w:rsidRPr="009B2E82">
              <w:rPr>
                <w:rFonts w:ascii="Times New Roman" w:hAnsi="Times New Roman" w:cs="Times New Roman"/>
                <w:color w:val="000000"/>
                <w:spacing w:val="-2"/>
                <w:sz w:val="24"/>
                <w:szCs w:val="24"/>
                <w:lang w:eastAsia="hr-HR"/>
              </w:rPr>
              <w:t xml:space="preserve">http://public.mzos.hr/Default.asp </w:t>
            </w:r>
            <w:r w:rsidRPr="009B2E82">
              <w:rPr>
                <w:rFonts w:ascii="Times New Roman" w:hAnsi="Times New Roman" w:cs="Times New Roman"/>
                <w:color w:val="000000"/>
                <w:spacing w:val="-1"/>
                <w:sz w:val="24"/>
                <w:szCs w:val="24"/>
                <w:lang w:eastAsia="hr-HR"/>
              </w:rPr>
              <w:t>x?sec=2254</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Besplatno obrazovanje u javnim ustanovama visokoškolskog obrazovanja osigurano je za uspješne i redovne studente akademskih godina 2012./2013., 2013./2014. i 2014./2015. Subvencioniranje troškova studija za redovne studente olakšava pristup sveučilišnom obrazovanju. Uz to, Nacionalna zaklada za potporu učeničkom i studentskom standardu daje godišnje stipendije različitim kategorijama studenata (uključujući i studente s invaliditetom, studente pripadnike romske manjinske skupine, studente korisnike prava iz socijalne skrbi, itd.).  Poseban prioritet u razvoju visokog obrazovanja dan je povećanju broja osoba sa završenim studijem u tehničkim, biomedicinskim, biotehničkim i prirodoznanstvenim područjima  (znanost, tehnologija, inženjerstvo i matematika), području informacija i komunikacija i interdisciplinarnim studijima koji su vezani uz ta područja. Spolna nejednakost trenutno nije prepoznata kao problem koji je potrebno rješavati.</w:t>
            </w:r>
          </w:p>
        </w:tc>
      </w:tr>
      <w:tr w:rsidR="009B2E82" w:rsidRPr="009B2E82" w:rsidTr="009B2E82">
        <w:trPr>
          <w:trHeight w:hRule="exact" w:val="150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4"/>
              <w:rPr>
                <w:rFonts w:ascii="Times New Roman" w:hAnsi="Times New Roman" w:cs="Times New Roman"/>
                <w:lang w:eastAsia="hr-HR"/>
              </w:rPr>
            </w:pPr>
            <w:r w:rsidRPr="009B2E82">
              <w:rPr>
                <w:rFonts w:ascii="Times New Roman" w:hAnsi="Times New Roman" w:cs="Times New Roman"/>
                <w:color w:val="000000"/>
                <w:spacing w:val="1"/>
                <w:lang w:eastAsia="hr-HR"/>
              </w:rPr>
              <w:lastRenderedPageBreak/>
              <w:t>T.10.3 - Cjeloživotno učenje (CU): Postojanje nacionalnog ili regionalnog strateškog okvira politike za cjeloživotno učenje sukladno članku 165. Ugovora o funkcioniranju Europske unije.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54"/>
              <w:rPr>
                <w:rFonts w:ascii="Times New Roman" w:hAnsi="Times New Roman" w:cs="Times New Roman"/>
                <w:lang w:eastAsia="hr-HR"/>
              </w:rPr>
            </w:pPr>
            <w:r w:rsidRPr="009B2E82">
              <w:rPr>
                <w:rFonts w:ascii="Times New Roman" w:hAnsi="Times New Roman" w:cs="Times New Roman"/>
                <w:color w:val="000000"/>
                <w:spacing w:val="-1"/>
                <w:lang w:eastAsia="hr-HR"/>
              </w:rPr>
              <w:t>1 - Postoji nacionalni ili regionalni strateški okvir politike za cjeloživotno učenje koji sadrži mjere: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ind w:right="10"/>
              <w:jc w:val="both"/>
              <w:rPr>
                <w:rFonts w:ascii="Times New Roman" w:hAnsi="Times New Roman" w:cs="Times New Roman"/>
                <w:lang w:eastAsia="hr-HR"/>
              </w:rPr>
            </w:pPr>
            <w:r w:rsidRPr="009B2E82">
              <w:rPr>
                <w:rFonts w:ascii="Times New Roman" w:hAnsi="Times New Roman" w:cs="Times New Roman"/>
                <w:color w:val="000000"/>
                <w:spacing w:val="4"/>
                <w:sz w:val="24"/>
                <w:szCs w:val="24"/>
                <w:lang w:eastAsia="hr-HR"/>
              </w:rPr>
              <w:t xml:space="preserve">Strategija znanosti, obrazovanja i tehnologije </w:t>
            </w:r>
            <w:r w:rsidRPr="009B2E82">
              <w:rPr>
                <w:rFonts w:ascii="Times New Roman" w:hAnsi="Times New Roman" w:cs="Times New Roman"/>
                <w:color w:val="000000"/>
                <w:spacing w:val="-5"/>
                <w:sz w:val="24"/>
                <w:szCs w:val="24"/>
                <w:lang w:eastAsia="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Nacrt Strategije znanosti, obrazovanja i tehnologije obuhvaća relevantne intervencije i mjere u sljedećim područjima: cjeloživotno učenje,</w:t>
            </w: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520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ind w:right="72"/>
              <w:rPr>
                <w:rFonts w:ascii="Times New Roman" w:hAnsi="Times New Roman" w:cs="Times New Roman"/>
                <w:color w:val="000000"/>
                <w:spacing w:val="2"/>
                <w:sz w:val="24"/>
                <w:szCs w:val="24"/>
                <w:lang w:eastAsia="hr-HR"/>
              </w:rPr>
            </w:pPr>
            <w:r w:rsidRPr="009B2E82">
              <w:rPr>
                <w:rFonts w:ascii="Times New Roman" w:hAnsi="Times New Roman" w:cs="Times New Roman"/>
                <w:color w:val="000000"/>
                <w:sz w:val="24"/>
                <w:szCs w:val="24"/>
                <w:lang w:eastAsia="hr-HR"/>
              </w:rPr>
              <w:t>https://vlada.gov.hr/UserDocsI</w:t>
            </w:r>
            <w:r w:rsidRPr="009B2E82">
              <w:rPr>
                <w:rFonts w:ascii="Times New Roman" w:hAnsi="Times New Roman" w:cs="Times New Roman"/>
                <w:color w:val="000000"/>
                <w:spacing w:val="-5"/>
                <w:sz w:val="24"/>
                <w:szCs w:val="24"/>
                <w:lang w:eastAsia="hr-HR"/>
              </w:rPr>
              <w:t>mages//Sjednice/2014/172%20sj</w:t>
            </w:r>
            <w:r w:rsidRPr="009B2E82">
              <w:rPr>
                <w:rFonts w:ascii="Times New Roman" w:hAnsi="Times New Roman" w:cs="Times New Roman"/>
                <w:color w:val="000000"/>
                <w:spacing w:val="-1"/>
                <w:sz w:val="24"/>
                <w:szCs w:val="24"/>
                <w:lang w:eastAsia="hr-HR"/>
              </w:rPr>
              <w:t>ednica%20Vlade//l 72%20-</w:t>
            </w:r>
            <w:r w:rsidRPr="009B2E82">
              <w:rPr>
                <w:rFonts w:ascii="Times New Roman" w:hAnsi="Times New Roman" w:cs="Times New Roman"/>
                <w:color w:val="000000"/>
                <w:spacing w:val="2"/>
                <w:sz w:val="24"/>
                <w:szCs w:val="24"/>
                <w:lang w:eastAsia="hr-HR"/>
              </w:rPr>
              <w:t>%201.pdf</w:t>
            </w:r>
          </w:p>
          <w:p w:rsidR="009B2E82" w:rsidRPr="009B2E82" w:rsidRDefault="009B2E82" w:rsidP="009B2E82">
            <w:pPr>
              <w:shd w:val="clear" w:color="auto" w:fill="FFFFFF"/>
              <w:spacing w:line="278" w:lineRule="exact"/>
              <w:ind w:right="72"/>
              <w:rPr>
                <w:rFonts w:ascii="Times New Roman" w:hAnsi="Times New Roman" w:cs="Times New Roman"/>
                <w:color w:val="000000"/>
                <w:spacing w:val="2"/>
                <w:sz w:val="24"/>
                <w:szCs w:val="24"/>
                <w:lang w:eastAsia="hr-HR"/>
              </w:rPr>
            </w:pPr>
          </w:p>
          <w:p w:rsidR="009B2E82" w:rsidRPr="009B2E82" w:rsidRDefault="009B2E82" w:rsidP="009B2E82">
            <w:pPr>
              <w:shd w:val="clear" w:color="auto" w:fill="FFFFFF"/>
              <w:spacing w:line="278" w:lineRule="exact"/>
              <w:ind w:right="72"/>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odgoj i obrazovanje u ranom djetinjstvu, predtercijarno obrazovanje, visoko obrazovanje i obrazovanje odraslih. Nacrt Strategije već uključuje i akcijski plan za provedbu svake utvrđene mjere (u akcijskom su planu navedene odgovorne  institucije  za provedbu svake mjere, kao i rokovi i pokazatelji uspjeha).</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Strategija uvodi cjeloživotno obrazovanje kao integrirano načelo na kojem bi se trebalo zasnivati cjelokupno obrazovanje. Ovo načelo obuhvaća učenje u svim životnim fazama i u svim oblicima, uključujući formalne programe obrazovanja, ali i nenamjerno i neorganizirano stjecanje znanja i vještina (str. 14.-24.).</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277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4"/>
              <w:rPr>
                <w:rFonts w:ascii="Times New Roman" w:hAnsi="Times New Roman" w:cs="Times New Roman"/>
                <w:color w:val="000000"/>
                <w:spacing w:val="-5"/>
                <w:lang w:eastAsia="hr-HR"/>
              </w:rPr>
            </w:pPr>
            <w:r w:rsidRPr="009B2E82">
              <w:rPr>
                <w:rFonts w:ascii="Times New Roman" w:hAnsi="Times New Roman" w:cs="Times New Roman"/>
                <w:color w:val="000000"/>
                <w:spacing w:val="1"/>
                <w:lang w:eastAsia="hr-HR"/>
              </w:rPr>
              <w:t>T.10.3 - Cjeloživotno učenje (CU): Postojanje nacionalnog ili regionalnog strateškog okvira politike za cjeloživotno učenje sukladno članku 165. Ugovora o funkcioniranju Europske unije.</w:t>
            </w:r>
          </w:p>
          <w:p w:rsidR="009B2E82" w:rsidRPr="009B2E82" w:rsidRDefault="009B2E82" w:rsidP="009B2E82">
            <w:pPr>
              <w:shd w:val="clear" w:color="auto" w:fill="FFFFFF"/>
              <w:spacing w:line="230" w:lineRule="exact"/>
              <w:ind w:right="24"/>
              <w:rPr>
                <w:rFonts w:ascii="Times New Roman" w:hAnsi="Times New Roman" w:cs="Times New Roman"/>
                <w:color w:val="000000"/>
                <w:spacing w:val="-5"/>
                <w:lang w:eastAsia="hr-HR"/>
              </w:rPr>
            </w:pPr>
          </w:p>
          <w:p w:rsidR="009B2E82" w:rsidRPr="009B2E82" w:rsidRDefault="009B2E82" w:rsidP="009B2E82">
            <w:pPr>
              <w:shd w:val="clear" w:color="auto" w:fill="FFFFFF"/>
              <w:spacing w:line="230" w:lineRule="exact"/>
              <w:ind w:right="24"/>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38"/>
              <w:rPr>
                <w:rFonts w:ascii="Times New Roman" w:hAnsi="Times New Roman" w:cs="Times New Roman"/>
                <w:color w:val="000000"/>
                <w:spacing w:val="-1"/>
                <w:lang w:eastAsia="hr-HR"/>
              </w:rPr>
            </w:pPr>
            <w:r w:rsidRPr="009B2E82">
              <w:rPr>
                <w:rFonts w:ascii="Times New Roman" w:hAnsi="Times New Roman" w:cs="Times New Roman"/>
                <w:color w:val="000000"/>
                <w:lang w:eastAsia="hr-HR"/>
              </w:rPr>
              <w:t>2 – za podršku razvoju i povezivanju usluga za CU uključujući njihovu provedbu i unapređenje vještina povezanih s njima (npr. vrednovanje, usmjeravanje, obrazovanje i obuka) i omogućavanje</w:t>
            </w:r>
            <w:r w:rsidRPr="009B2E82">
              <w:rPr>
                <w:rFonts w:ascii="Times New Roman" w:hAnsi="Times New Roman" w:cs="Times New Roman"/>
                <w:snapToGrid w:val="0"/>
                <w:sz w:val="24"/>
                <w:szCs w:val="24"/>
                <w:lang w:eastAsia="en-GB"/>
              </w:rPr>
              <w:t xml:space="preserve"> </w:t>
            </w:r>
            <w:r w:rsidRPr="009B2E82">
              <w:rPr>
                <w:rFonts w:ascii="Times New Roman" w:hAnsi="Times New Roman" w:cs="Times New Roman"/>
                <w:color w:val="000000"/>
                <w:spacing w:val="-1"/>
                <w:lang w:eastAsia="hr-HR"/>
              </w:rPr>
              <w:t>uključenosti relevantnih dionika i partnerstva s njima;</w:t>
            </w:r>
          </w:p>
          <w:p w:rsidR="009B2E82" w:rsidRPr="009B2E82" w:rsidRDefault="009B2E82" w:rsidP="009B2E82">
            <w:pPr>
              <w:shd w:val="clear" w:color="auto" w:fill="FFFFFF"/>
              <w:spacing w:line="230" w:lineRule="exact"/>
              <w:ind w:right="38"/>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Strategija znanosti, obrazovanja i tehnologije </w:t>
            </w:r>
          </w:p>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Zakon o HKO-u (NN 22/2013)</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Državni pedagoški standard predškolskog odgoja i naobrazbe  (NN 63/08)</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Neki od ciljeva navedenih u Strategiji (poglavlje o CU-u, str. 14., 22.) obuhvaćaju razvoj sustava za vrednovanje formalnog i neformalnog učenja. Jedan je od ciljeva, kao što je navedeno u Strategiji (odjeljak Cjeloživotno učenje), integriranje politike cjeloživotnog učenja s ciljevima socijalnog, ekonomskog, regionalnog i kulturnog razvoja kao i politikama zapošljavanja</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439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63/08)</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 xml:space="preserve">Državni pedagoški standard osnovnoškolskog sustava odgoja i obrazovanja </w:t>
            </w:r>
            <w:r w:rsidRPr="009B2E82">
              <w:rPr>
                <w:rFonts w:ascii="Times New Roman" w:hAnsi="Times New Roman" w:cs="Times New Roman"/>
                <w:color w:val="000000"/>
                <w:spacing w:val="1"/>
                <w:sz w:val="24"/>
                <w:szCs w:val="24"/>
                <w:lang w:eastAsia="hr-HR"/>
              </w:rPr>
              <w:t xml:space="preserve">(NN </w:t>
            </w:r>
            <w:r w:rsidRPr="009B2E82">
              <w:rPr>
                <w:rFonts w:ascii="Times New Roman" w:hAnsi="Times New Roman" w:cs="Times New Roman"/>
                <w:color w:val="000000"/>
                <w:spacing w:val="-3"/>
                <w:sz w:val="24"/>
                <w:szCs w:val="24"/>
                <w:lang w:eastAsia="hr-HR"/>
              </w:rPr>
              <w:t>63/08)</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 xml:space="preserve">Državni pedagoški standard srednjoškolskog sustava odgoja i obrazovanja </w:t>
            </w:r>
            <w:r w:rsidRPr="009B2E82">
              <w:rPr>
                <w:rFonts w:ascii="Times New Roman" w:hAnsi="Times New Roman" w:cs="Times New Roman"/>
                <w:color w:val="000000"/>
                <w:spacing w:val="-1"/>
                <w:sz w:val="24"/>
                <w:szCs w:val="24"/>
                <w:lang w:eastAsia="hr-HR"/>
              </w:rPr>
              <w:t xml:space="preserve">(NN </w:t>
            </w:r>
            <w:r w:rsidRPr="009B2E82">
              <w:rPr>
                <w:rFonts w:ascii="Times New Roman" w:hAnsi="Times New Roman" w:cs="Times New Roman"/>
                <w:color w:val="000000"/>
                <w:spacing w:val="-3"/>
                <w:sz w:val="24"/>
                <w:szCs w:val="24"/>
                <w:lang w:eastAsia="hr-HR"/>
              </w:rPr>
              <w:t>63/08)</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i socijalne skrbi. U tom smislu, jednom od mjera u nacrtu Strategije predviđen je razvoj baze podataka kao i sustava za evidentiranje i analiziranje ljudskih resursa (u suradnji s drugim nadležnim ministarstvima i državnim agencijama). Također je predviđeno da se razvijaju modeli i instrumenti za predviđanje budućih potreba za vještinama i kvalifikacijama u skladu s razvojnim ciljevima, demografskim i migracijskim promjenama (u suradnji s drugim nadležnim ministarstvima i državnim agencijama).</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371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4"/>
              <w:rPr>
                <w:rFonts w:ascii="Times New Roman" w:hAnsi="Times New Roman" w:cs="Times New Roman"/>
                <w:lang w:eastAsia="hr-HR"/>
              </w:rPr>
            </w:pPr>
            <w:r w:rsidRPr="009B2E82">
              <w:rPr>
                <w:rFonts w:ascii="Times New Roman" w:hAnsi="Times New Roman" w:cs="Times New Roman"/>
                <w:color w:val="000000"/>
                <w:spacing w:val="1"/>
                <w:lang w:eastAsia="hr-HR"/>
              </w:rPr>
              <w:t>T.10.3 - Cjeloživotno učenje (CU): Postojanje nacionalnog ili regionalnog strateškog okvira politike za cjeloživotno učenje sukladno članku 165. Ugovora o funkcioniranju Europske unije</w:t>
            </w:r>
            <w:r w:rsidRPr="009B2E82">
              <w:rPr>
                <w:rFonts w:ascii="Times New Roman" w:hAnsi="Times New Roman" w:cs="Times New Roman"/>
                <w:color w:val="000000"/>
                <w:spacing w:val="-5"/>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77"/>
              <w:rPr>
                <w:rFonts w:ascii="Times New Roman" w:hAnsi="Times New Roman" w:cs="Times New Roman"/>
                <w:color w:val="000000"/>
                <w:lang w:eastAsia="hr-HR"/>
              </w:rPr>
            </w:pPr>
            <w:r w:rsidRPr="009B2E82">
              <w:rPr>
                <w:rFonts w:ascii="Times New Roman" w:hAnsi="Times New Roman" w:cs="Times New Roman"/>
                <w:color w:val="000000"/>
                <w:spacing w:val="-1"/>
                <w:lang w:eastAsia="hr-HR"/>
              </w:rPr>
              <w:t xml:space="preserve">3 - </w:t>
            </w:r>
            <w:r w:rsidRPr="009B2E82">
              <w:rPr>
                <w:rFonts w:ascii="Times New Roman" w:hAnsi="Times New Roman" w:cs="Times New Roman"/>
                <w:color w:val="000000"/>
                <w:lang w:eastAsia="hr-HR"/>
              </w:rPr>
              <w:t xml:space="preserve"> za djelotvorno pružanje usluga razvoja vještina za različite ciljane skupine gdje su one prepoznate kao prioriteti u nacionalnom ili regionalnom strateškom okviru politike (na primjer: mlade u strukovnoj izobrazbi, odrasle, žene koje se vraćaju na tržište rada, nekvalificirane i starije radnike, migrante te druge skupine u nepovoljnom položaju, posebice osobe s invaliditetom); </w:t>
            </w:r>
          </w:p>
          <w:p w:rsidR="009B2E82" w:rsidRPr="009B2E82" w:rsidRDefault="009B2E82" w:rsidP="009B2E82">
            <w:pPr>
              <w:shd w:val="clear" w:color="auto" w:fill="FFFFFF"/>
              <w:spacing w:line="230" w:lineRule="exact"/>
              <w:ind w:right="77"/>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Strategija znanosti, obrazovanja i tehnologije </w:t>
            </w:r>
          </w:p>
          <w:p w:rsidR="009B2E82" w:rsidRPr="009B2E82" w:rsidRDefault="009B2E82" w:rsidP="009B2E82">
            <w:pPr>
              <w:shd w:val="clear" w:color="auto" w:fill="FFFFFF"/>
              <w:spacing w:line="269"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Zakon o strukovnom obrazovanju  </w:t>
            </w:r>
            <w:r w:rsidRPr="009B2E82">
              <w:rPr>
                <w:rFonts w:ascii="Times New Roman" w:hAnsi="Times New Roman" w:cs="Times New Roman"/>
                <w:color w:val="000000"/>
                <w:spacing w:val="-1"/>
                <w:sz w:val="24"/>
                <w:szCs w:val="24"/>
                <w:lang w:eastAsia="hr-HR"/>
              </w:rPr>
              <w:t>(NN 30/09)</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Strategija već sadrži akcijski plan za provođenje svake utvrđene mjere (akcijski plan sadrži popis odgovornih ustanova za provođenje svake pojedine mjere kao i vremenski raspored i pokazatelje uspjeha). Prema tome, u različitim dijelovima Strategije navedene su mjere za odgovarajuće ciljne skupine: učenici/studenti na svim razinama obrazovanja, uključujući učenike/studente u nepovoljnom položaju, odrasle i učitelje/profesore. U poglavlju Obrazovanje odraslih, str. 138., navedene su sljedeće mjere: </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335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razvoj novih profesionalnih i kvalifikacijskih standarda u skladu s potrebama tržišta rada, provedba novih verificiranih programa u poljima koja su od strateške važnosti za Hrvatsku, razvoj i provedba prioritetnih programa formalnog i neformalnog učenja za građane bez osnovnoškolskog obrazovanja ili s nižim razinama obrazovanja, za socijalno ugrožene i marginalizirane građane te za osobe s posebnim potrebama, starije građane i migrante.</w:t>
            </w:r>
          </w:p>
        </w:tc>
      </w:tr>
      <w:tr w:rsidR="009B2E82" w:rsidRPr="009B2E82" w:rsidTr="009B2E82">
        <w:trPr>
          <w:trHeight w:hRule="exact" w:val="461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4"/>
              <w:rPr>
                <w:rFonts w:ascii="Times New Roman" w:hAnsi="Times New Roman" w:cs="Times New Roman"/>
                <w:lang w:eastAsia="hr-HR"/>
              </w:rPr>
            </w:pPr>
            <w:r w:rsidRPr="009B2E82">
              <w:rPr>
                <w:rFonts w:ascii="Times New Roman" w:hAnsi="Times New Roman" w:cs="Times New Roman"/>
                <w:color w:val="000000"/>
                <w:spacing w:val="1"/>
                <w:lang w:eastAsia="hr-HR"/>
              </w:rPr>
              <w:t>T.10.3 - Cjeloživotno učenje (CU): Postojanje nacionalnog ili regionalnog strateškog okvira politike za cjeloživotno učenje sukladno članku 165. Ugovora o funkcioniranju Europske unije</w:t>
            </w:r>
            <w:r w:rsidRPr="009B2E82">
              <w:rPr>
                <w:rFonts w:ascii="Times New Roman" w:hAnsi="Times New Roman" w:cs="Times New Roman"/>
                <w:color w:val="000000"/>
                <w:spacing w:val="-5"/>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29"/>
              <w:rPr>
                <w:rFonts w:ascii="Times New Roman" w:hAnsi="Times New Roman" w:cs="Times New Roman"/>
                <w:lang w:eastAsia="hr-HR"/>
              </w:rPr>
            </w:pPr>
            <w:r w:rsidRPr="009B2E82">
              <w:rPr>
                <w:rFonts w:ascii="Times New Roman" w:hAnsi="Times New Roman" w:cs="Times New Roman"/>
                <w:color w:val="000000"/>
                <w:lang w:eastAsia="hr-HR"/>
              </w:rPr>
              <w:t>4 -</w:t>
            </w:r>
            <w:r w:rsidRPr="009B2E82">
              <w:rPr>
                <w:rFonts w:ascii="Times New Roman" w:hAnsi="Times New Roman" w:cs="Times New Roman"/>
                <w:lang w:eastAsia="hr-HR"/>
              </w:rPr>
              <w:t xml:space="preserve">mjere za širenje pristupa cjeloživotnom učenju koje uključuju i djelotvornu primjenu transparentnih instrumenata (Europski kvalifikacijski okvir, Nacionalni kvalifikacijski okvir, </w:t>
            </w:r>
            <w:r w:rsidRPr="009B2E82">
              <w:rPr>
                <w:rFonts w:ascii="Times New Roman" w:hAnsi="Times New Roman" w:cs="Times New Roman"/>
                <w:iCs/>
                <w:lang w:eastAsia="hr-HR"/>
              </w:rPr>
              <w:t>Europski sustav</w:t>
            </w:r>
            <w:r w:rsidRPr="009B2E82">
              <w:rPr>
                <w:rFonts w:ascii="Times New Roman" w:hAnsi="Times New Roman" w:cs="Times New Roman"/>
                <w:lang w:eastAsia="hr-HR"/>
              </w:rPr>
              <w:t xml:space="preserve"> kreditnih </w:t>
            </w:r>
            <w:r w:rsidRPr="009B2E82">
              <w:rPr>
                <w:rFonts w:ascii="Times New Roman" w:hAnsi="Times New Roman" w:cs="Times New Roman"/>
                <w:iCs/>
                <w:lang w:eastAsia="hr-HR"/>
              </w:rPr>
              <w:t>bodova za strukovno obrazovanje</w:t>
            </w:r>
            <w:r w:rsidRPr="009B2E82">
              <w:rPr>
                <w:rFonts w:ascii="Times New Roman" w:hAnsi="Times New Roman" w:cs="Times New Roman"/>
                <w:lang w:eastAsia="hr-HR"/>
              </w:rPr>
              <w:t xml:space="preserve"> i osposobljavanje, Europski referentni okvir za osiguranje kvalitete u strukovnom obrazovanju i osposobljavanju);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z w:val="24"/>
                <w:szCs w:val="24"/>
                <w:lang w:eastAsia="hr-HR"/>
              </w:rPr>
            </w:pPr>
            <w:r w:rsidRPr="009B2E82">
              <w:rPr>
                <w:rFonts w:ascii="Times New Roman" w:hAnsi="Times New Roman" w:cs="Times New Roman"/>
                <w:color w:val="000000"/>
                <w:sz w:val="24"/>
                <w:szCs w:val="24"/>
                <w:lang w:eastAsia="hr-HR"/>
              </w:rPr>
              <w:t>Hrvatski zakon o kvalifikacijskom okviru (NN 22/2013)</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Pravilnik o registru HKO-a stupio je na snagu  22. svibnja 2014. (NN 62/14):</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http://narodne-</w:t>
            </w:r>
            <w:r w:rsidRPr="009B2E82">
              <w:rPr>
                <w:rFonts w:ascii="Times New Roman" w:hAnsi="Times New Roman" w:cs="Times New Roman"/>
                <w:color w:val="000000"/>
                <w:spacing w:val="-2"/>
                <w:sz w:val="24"/>
                <w:szCs w:val="24"/>
                <w:lang w:eastAsia="hr-HR"/>
              </w:rPr>
              <w:t>novine.nn.hr/default.aspx</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Neki od ciljeva opisani u Strategiji (poglavlje Cjeloživotno učenje, str. 14.) obuhvaćaju razvoj sustava za cjeloživotno osobno i profesionalno usmjeravanje, uzimajući u obzir specifičnosti svake razine obrazovanja, kao i razvoj sustava za vrednovanje formalnog i neformalnog učenja. Pravilnik za priznavanje i vrednovanje neformalnog i informalnog učenja je u postupku izrade. Pravilnikom će se po prvi put utvrditi sustav priznavanja neformalnog i informalnog učenja u cijeloj zemlji. Pravilnik o priznavanju i vrednovanju neformalnog i informalnog učenja planira se donijeti 2014., dok će IT sustav za održavanje</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289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r w:rsidRPr="009B2E82">
              <w:rPr>
                <w:rFonts w:ascii="Times New Roman" w:hAnsi="Times New Roman" w:cs="Times New Roman"/>
                <w:lang w:eastAsia="hr-HR"/>
              </w:rPr>
              <w:t xml:space="preserve">registra HKO-a, u koji će biti uneseni prvi kvalifikacijski i profesionalni standardi, bit će uspostavljen 2015. </w:t>
            </w:r>
            <w:r w:rsidRPr="009B2E82">
              <w:rPr>
                <w:rFonts w:ascii="Times New Roman" w:hAnsi="Times New Roman" w:cs="Times New Roman"/>
                <w:lang w:eastAsia="hr-HR"/>
              </w:rPr>
              <w:br/>
            </w:r>
          </w:p>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r w:rsidRPr="009B2E82">
              <w:rPr>
                <w:rFonts w:ascii="Times New Roman" w:hAnsi="Times New Roman" w:cs="Times New Roman"/>
                <w:lang w:eastAsia="hr-HR"/>
              </w:rPr>
              <w:t>Pravilnik će biti usko povezan s Pravilnikom o Registru HKO-a, kao jedinim sustavom kvalifikacija koji će biti uključen u HKO, a temeljem kojeg će se kvalifikacije moći steći na neformalan i informalan način.</w:t>
            </w:r>
          </w:p>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p>
        </w:tc>
      </w:tr>
      <w:tr w:rsidR="009B2E82" w:rsidRPr="009B2E82" w:rsidTr="009B2E82">
        <w:trPr>
          <w:trHeight w:hRule="exact" w:val="474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24"/>
              <w:rPr>
                <w:rFonts w:ascii="Times New Roman" w:hAnsi="Times New Roman" w:cs="Times New Roman"/>
                <w:lang w:eastAsia="hr-HR"/>
              </w:rPr>
            </w:pPr>
            <w:r w:rsidRPr="009B2E82">
              <w:rPr>
                <w:rFonts w:ascii="Times New Roman" w:hAnsi="Times New Roman" w:cs="Times New Roman"/>
                <w:color w:val="000000"/>
                <w:spacing w:val="1"/>
                <w:lang w:eastAsia="hr-HR"/>
              </w:rPr>
              <w:t>T.10.3 - Cjeloživotno učenje (CU): Postojanje nacionalnog ili regionalnog strateškog okvira politike za cjeloživotno učenje sukladno članku 165. Ugovora o funkcioniranju Europske unije</w:t>
            </w:r>
            <w:r w:rsidRPr="009B2E82">
              <w:rPr>
                <w:rFonts w:ascii="Times New Roman" w:hAnsi="Times New Roman" w:cs="Times New Roman"/>
                <w:color w:val="000000"/>
                <w:spacing w:val="-5"/>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3"/>
              <w:rPr>
                <w:rFonts w:ascii="Times New Roman" w:hAnsi="Times New Roman" w:cs="Times New Roman"/>
                <w:color w:val="000000"/>
                <w:lang w:eastAsia="hr-HR"/>
              </w:rPr>
            </w:pPr>
            <w:r w:rsidRPr="009B2E82">
              <w:rPr>
                <w:rFonts w:ascii="Times New Roman" w:hAnsi="Times New Roman" w:cs="Times New Roman"/>
                <w:color w:val="000000"/>
                <w:lang w:eastAsia="hr-HR"/>
              </w:rPr>
              <w:t>5 – za povećanje relevantnosti obrazovanja i naobrazbe na tržištu rada i njihovo prilagođavanje potrebama prepoznatih ciljanih skupina (npr. mladi u strukovnoj izobrazbi, odrasli, žene</w:t>
            </w:r>
            <w:r w:rsidRPr="009B2E82">
              <w:rPr>
                <w:rFonts w:ascii="Times New Roman" w:hAnsi="Times New Roman" w:cs="Times New Roman"/>
                <w:b/>
                <w:color w:val="000000"/>
                <w:lang w:eastAsia="hr-HR"/>
              </w:rPr>
              <w:t xml:space="preserve"> </w:t>
            </w:r>
            <w:r w:rsidRPr="009B2E82">
              <w:rPr>
                <w:rFonts w:ascii="Times New Roman" w:hAnsi="Times New Roman" w:cs="Times New Roman"/>
                <w:color w:val="000000"/>
                <w:lang w:eastAsia="hr-HR"/>
              </w:rPr>
              <w:t>koje se vraćaju na tržište rada, nekvalificirani i stariji radnici, migranti te druge skupine u nepovoljnom položaju, posebice osobe s invaliditetom),</w:t>
            </w:r>
          </w:p>
          <w:p w:rsidR="009B2E82" w:rsidRPr="009B2E82" w:rsidRDefault="009B2E82" w:rsidP="009B2E82">
            <w:pPr>
              <w:shd w:val="clear" w:color="auto" w:fill="FFFFFF"/>
              <w:spacing w:line="226" w:lineRule="exact"/>
              <w:ind w:right="53"/>
              <w:rPr>
                <w:rFonts w:ascii="Times New Roman" w:hAnsi="Times New Roman" w:cs="Times New Roman"/>
                <w:color w:val="000000"/>
                <w:lang w:eastAsia="hr-HR"/>
              </w:rPr>
            </w:pPr>
          </w:p>
          <w:p w:rsidR="009B2E82" w:rsidRPr="009B2E82" w:rsidRDefault="009B2E82" w:rsidP="009B2E82">
            <w:pPr>
              <w:shd w:val="clear" w:color="auto" w:fill="FFFFFF"/>
              <w:spacing w:line="226" w:lineRule="exact"/>
              <w:ind w:right="53"/>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69" w:lineRule="exact"/>
              <w:rPr>
                <w:rFonts w:ascii="Times New Roman" w:hAnsi="Times New Roman" w:cs="Times New Roman"/>
                <w:color w:val="000000"/>
                <w:sz w:val="24"/>
                <w:szCs w:val="24"/>
                <w:lang w:eastAsia="hr-HR"/>
              </w:rPr>
            </w:pPr>
            <w:r w:rsidRPr="009B2E82">
              <w:rPr>
                <w:rFonts w:ascii="Times New Roman" w:hAnsi="Times New Roman" w:cs="Times New Roman"/>
                <w:color w:val="000000"/>
                <w:sz w:val="24"/>
                <w:szCs w:val="24"/>
                <w:lang w:eastAsia="hr-HR"/>
              </w:rPr>
              <w:t>Zakon o Hrvatskom kvalifikacijskom okviru (NN 22/2013)</w:t>
            </w:r>
          </w:p>
          <w:p w:rsidR="009B2E82" w:rsidRPr="009B2E82" w:rsidRDefault="009B2E82" w:rsidP="009B2E82">
            <w:pPr>
              <w:shd w:val="clear" w:color="auto" w:fill="FFFFFF"/>
              <w:spacing w:line="269" w:lineRule="exact"/>
              <w:rPr>
                <w:rFonts w:ascii="Times New Roman" w:hAnsi="Times New Roman" w:cs="Times New Roman"/>
                <w:color w:val="000000"/>
                <w:sz w:val="24"/>
                <w:szCs w:val="24"/>
                <w:lang w:eastAsia="hr-HR"/>
              </w:rPr>
            </w:pPr>
            <w:r w:rsidRPr="009B2E82">
              <w:rPr>
                <w:rFonts w:ascii="Times New Roman" w:hAnsi="Times New Roman" w:cs="Times New Roman"/>
                <w:color w:val="000000"/>
                <w:sz w:val="24"/>
                <w:szCs w:val="24"/>
                <w:lang w:eastAsia="hr-HR"/>
              </w:rPr>
              <w:t>Pravilnik o registru HKO-a stupio je na snagu  22. svibnja 2014. (NN 62/14):</w:t>
            </w:r>
          </w:p>
          <w:p w:rsidR="009B2E82" w:rsidRPr="009B2E82" w:rsidRDefault="009B2E82" w:rsidP="009B2E82">
            <w:pPr>
              <w:shd w:val="clear" w:color="auto" w:fill="FFFFFF"/>
              <w:spacing w:line="269"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http://narodne-novine.nn.hr/default.aspx</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HKO će rezultirati višim stupnjem zapošljivosti, što će omogućiti povezivanje i uspoređivanje s drugim obrazovnim sustavima u Europi. Usvajanje Pravilnika o priznavanju i vrednovanju neformalnog i informalnog učenja planirano je u 2014., dok će se IT sustav za održavanje registra HKO-a, u kojem će biti uneseni prvi kvalifikacijski i profesionalni standardi, uspostaviti 2015. U Zakonu o HKO-u, članak 9. (NN 22/2013), imenovana su različita tijela i dionici koji su uključeni u razvoj i provedbu HKO-a: Nacionalno vijeće za razvoj ljudskih potencijala, ministarstvo nadležno za obrazovanje i znanost, ministarstvo nadležno</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28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jc w:val="both"/>
              <w:rPr>
                <w:rFonts w:ascii="Times New Roman" w:hAnsi="Times New Roman" w:cs="Times New Roman"/>
                <w:lang w:eastAsia="hr-HR"/>
              </w:rPr>
            </w:pPr>
            <w:r w:rsidRPr="009B2E82">
              <w:rPr>
                <w:rFonts w:ascii="Times New Roman" w:hAnsi="Times New Roman" w:cs="Times New Roman"/>
                <w:lang w:eastAsia="hr-HR"/>
              </w:rPr>
              <w:t>za rad, ministarstvo nadležno za regionalni razvoj i sektorska vijeća. U članku 10. i 12. opisane su sastavnice Nacionalnog vijeća i sektorskih vijeća.</w:t>
            </w:r>
          </w:p>
        </w:tc>
      </w:tr>
      <w:tr w:rsidR="009B2E82" w:rsidRPr="009B2E82" w:rsidTr="009B2E82">
        <w:trPr>
          <w:trHeight w:hRule="exact" w:val="455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9"/>
              <w:rPr>
                <w:rFonts w:ascii="Times New Roman" w:hAnsi="Times New Roman" w:cs="Times New Roman"/>
                <w:lang w:eastAsia="hr-HR"/>
              </w:rPr>
            </w:pPr>
            <w:r w:rsidRPr="009B2E82">
              <w:rPr>
                <w:rFonts w:ascii="Times New Roman" w:hAnsi="Times New Roman" w:cs="Times New Roman"/>
                <w:color w:val="000000"/>
                <w:spacing w:val="-1"/>
                <w:lang w:eastAsia="hr-HR"/>
              </w:rPr>
              <w:t>T. 10.4 – Postojanje nacionalnog ili regionalnog strateškog okvira politike za poboljšanje kvalitete sustava strukovnog obrazovanja i osposobljavanja u skladu s člankom 165. Ugovora o funkcioniranju Europske unije.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96"/>
              <w:rPr>
                <w:rFonts w:ascii="Times New Roman" w:hAnsi="Times New Roman" w:cs="Times New Roman"/>
                <w:lang w:eastAsia="hr-HR"/>
              </w:rPr>
            </w:pPr>
            <w:r w:rsidRPr="009B2E82">
              <w:rPr>
                <w:rFonts w:ascii="Times New Roman" w:hAnsi="Times New Roman" w:cs="Times New Roman"/>
                <w:color w:val="000000"/>
                <w:spacing w:val="-1"/>
                <w:lang w:eastAsia="hr-HR"/>
              </w:rPr>
              <w:t>1 - Postojanje nacionalnog ili regionalnog strateškog okvira politike za poboljšanje kvalitete sustava strukovnog obrazovanja i osposobljavanja u skladu s člankom 165. Ugovora o funkcioniranju Europske unije koji uključuje mjere za: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color w:val="000000"/>
                <w:spacing w:val="3"/>
                <w:sz w:val="24"/>
                <w:szCs w:val="24"/>
                <w:lang w:eastAsia="hr-HR"/>
              </w:rPr>
            </w:pPr>
            <w:r w:rsidRPr="009B2E82">
              <w:rPr>
                <w:rFonts w:ascii="Times New Roman" w:hAnsi="Times New Roman" w:cs="Times New Roman"/>
                <w:color w:val="000000"/>
                <w:spacing w:val="2"/>
                <w:sz w:val="24"/>
                <w:szCs w:val="24"/>
                <w:lang w:eastAsia="hr-HR"/>
              </w:rPr>
              <w:t xml:space="preserve">Strategiju znanosti, obrazovanja i tehnologije </w:t>
            </w:r>
            <w:r w:rsidRPr="009B2E82">
              <w:rPr>
                <w:rFonts w:ascii="Times New Roman" w:hAnsi="Times New Roman" w:cs="Times New Roman"/>
                <w:color w:val="000000"/>
                <w:spacing w:val="-1"/>
                <w:sz w:val="24"/>
                <w:szCs w:val="24"/>
                <w:lang w:eastAsia="hr-HR"/>
              </w:rPr>
              <w:t xml:space="preserve">usvojila je </w:t>
            </w:r>
            <w:r w:rsidRPr="009B2E82">
              <w:rPr>
                <w:rFonts w:ascii="Times New Roman" w:hAnsi="Times New Roman" w:cs="Times New Roman"/>
                <w:color w:val="000000"/>
                <w:spacing w:val="3"/>
                <w:sz w:val="24"/>
                <w:szCs w:val="24"/>
                <w:lang w:eastAsia="hr-HR"/>
              </w:rPr>
              <w:t xml:space="preserve">Vlada Republike Hrvatske početkom lipnja 2014. </w:t>
            </w:r>
          </w:p>
          <w:p w:rsidR="009B2E82" w:rsidRPr="009B2E82" w:rsidRDefault="009B2E82" w:rsidP="009B2E82">
            <w:pPr>
              <w:shd w:val="clear" w:color="auto" w:fill="FFFFFF"/>
              <w:spacing w:line="274" w:lineRule="exact"/>
              <w:rPr>
                <w:rFonts w:ascii="Times New Roman" w:hAnsi="Times New Roman" w:cs="Times New Roman"/>
                <w:i/>
                <w:lang w:eastAsia="hr-HR"/>
              </w:rPr>
            </w:pPr>
            <w:r w:rsidRPr="009B2E82">
              <w:rPr>
                <w:rFonts w:ascii="Times New Roman" w:hAnsi="Times New Roman" w:cs="Times New Roman"/>
                <w:i/>
                <w:lang w:eastAsia="hr-HR"/>
              </w:rPr>
              <w:t>Strategija znanosti, obrazovanja i tehnologije koju je usvojila Vlada Republike Hrvatske:</w:t>
            </w:r>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https://vlada.gov.hr/UserDocsIm</w:t>
            </w:r>
            <w:r w:rsidRPr="009B2E82">
              <w:rPr>
                <w:rFonts w:ascii="Times New Roman" w:hAnsi="Times New Roman" w:cs="Times New Roman"/>
                <w:color w:val="000000"/>
                <w:spacing w:val="-4"/>
                <w:sz w:val="24"/>
                <w:szCs w:val="24"/>
                <w:lang w:eastAsia="hr-HR"/>
              </w:rPr>
              <w:t>ages//Sjednice/2014/172%20sjednica%20 Vlade//172%20-</w:t>
            </w:r>
            <w:r w:rsidRPr="009B2E82">
              <w:rPr>
                <w:rFonts w:ascii="Times New Roman" w:hAnsi="Times New Roman" w:cs="Times New Roman"/>
                <w:color w:val="000000"/>
                <w:spacing w:val="2"/>
                <w:sz w:val="24"/>
                <w:szCs w:val="24"/>
                <w:lang w:eastAsia="hr-HR"/>
              </w:rPr>
              <w:t>%201.pdf</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color w:val="000000"/>
                <w:spacing w:val="1"/>
                <w:lang w:eastAsia="hr-HR"/>
              </w:rPr>
              <w:t>Nacrt Strategije znanosti, obrazovanja i tehnologije obuhvaća relevantne intervencije i mjere u sljedećim područjima: cjeloživotno učenje,</w:t>
            </w:r>
            <w:r w:rsidRPr="009B2E82">
              <w:rPr>
                <w:rFonts w:ascii="Times New Roman" w:hAnsi="Times New Roman" w:cs="Times New Roman"/>
                <w:color w:val="000000"/>
                <w:spacing w:val="5"/>
                <w:lang w:eastAsia="hr-HR"/>
              </w:rPr>
              <w:t xml:space="preserve"> </w:t>
            </w:r>
            <w:r w:rsidRPr="009B2E82">
              <w:rPr>
                <w:rFonts w:ascii="Times New Roman" w:hAnsi="Times New Roman" w:cs="Times New Roman"/>
                <w:color w:val="000000"/>
                <w:lang w:eastAsia="hr-HR"/>
              </w:rPr>
              <w:t>odgoj i obrazovanje u ranom djetinjstvu, predtercijarno obrazovanje, visoko obrazovanje i obrazovanje odraslih. Nacrt Strategije već uključuje i akcijski plan za provedbu svake utvrđene mjere (u akcijskom su planu navedene odgovorne  institucije  za provedbu svake mjere, kao i rokovi i pokazatelji uspjeha)</w:t>
            </w:r>
            <w:r w:rsidRPr="009B2E82">
              <w:rPr>
                <w:rFonts w:ascii="Times New Roman" w:hAnsi="Times New Roman" w:cs="Times New Roman"/>
                <w:color w:val="000000"/>
                <w:spacing w:val="-2"/>
                <w:lang w:eastAsia="hr-HR"/>
              </w:rPr>
              <w:t>.</w:t>
            </w:r>
          </w:p>
        </w:tc>
      </w:tr>
      <w:tr w:rsidR="009B2E82" w:rsidRPr="009B2E82" w:rsidTr="009B2E82">
        <w:trPr>
          <w:trHeight w:hRule="exact" w:val="289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9"/>
              <w:rPr>
                <w:rFonts w:ascii="Times New Roman" w:hAnsi="Times New Roman" w:cs="Times New Roman"/>
                <w:lang w:eastAsia="hr-HR"/>
              </w:rPr>
            </w:pPr>
            <w:r w:rsidRPr="009B2E82">
              <w:rPr>
                <w:rFonts w:ascii="Times New Roman" w:hAnsi="Times New Roman" w:cs="Times New Roman"/>
                <w:color w:val="000000"/>
                <w:spacing w:val="-1"/>
                <w:lang w:eastAsia="hr-HR"/>
              </w:rPr>
              <w:t>T. 10.4 – Postojanje nacionalnog ili regionalnog strateškog okvira politike za poboljšanje kvalitete sustava strukovnog obrazovanja i osposobljavanja u skladu s člankom 165. Ugovora o funkcioniranju Europske unije.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24"/>
              <w:rPr>
                <w:rFonts w:ascii="Times New Roman" w:hAnsi="Times New Roman" w:cs="Times New Roman"/>
                <w:color w:val="000000"/>
                <w:spacing w:val="-1"/>
                <w:lang w:eastAsia="hr-HR"/>
              </w:rPr>
            </w:pPr>
            <w:r w:rsidRPr="009B2E82">
              <w:rPr>
                <w:rFonts w:ascii="Times New Roman" w:hAnsi="Times New Roman" w:cs="Times New Roman"/>
                <w:color w:val="000000"/>
                <w:lang w:eastAsia="hr-HR"/>
              </w:rPr>
              <w:t>2 -</w:t>
            </w:r>
            <w:r w:rsidRPr="009B2E82">
              <w:rPr>
                <w:rFonts w:ascii="Times New Roman" w:hAnsi="Times New Roman" w:cs="Times New Roman"/>
                <w:color w:val="000000"/>
                <w:spacing w:val="-1"/>
                <w:lang w:eastAsia="hr-HR"/>
              </w:rPr>
              <w:t>poboljšanje relevantnosti sustava strukovnog obrazovanja i osposobljavanja na tržištu rada, u uskoj suradnji s relevantnim dionicima, uključujući i mehanizme predviđanja potražnje za vještinama, prilagodbu kurikuluma i jačanje različitih oblika učenja usmjerenog na rad;</w:t>
            </w:r>
          </w:p>
          <w:p w:rsidR="009B2E82" w:rsidRPr="009B2E82" w:rsidRDefault="009B2E82" w:rsidP="009B2E82">
            <w:pPr>
              <w:shd w:val="clear" w:color="auto" w:fill="FFFFFF"/>
              <w:spacing w:line="226" w:lineRule="exact"/>
              <w:ind w:right="24"/>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Zakon o strukovnom obrazovanju i osposobljavanju </w:t>
            </w:r>
            <w:r w:rsidRPr="009B2E82">
              <w:rPr>
                <w:rFonts w:ascii="Times New Roman" w:hAnsi="Times New Roman" w:cs="Times New Roman"/>
                <w:color w:val="000000"/>
                <w:spacing w:val="-1"/>
                <w:sz w:val="24"/>
                <w:szCs w:val="24"/>
                <w:lang w:eastAsia="hr-HR"/>
              </w:rPr>
              <w:t xml:space="preserve"> (NN 30/09)</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z w:val="24"/>
                <w:szCs w:val="24"/>
                <w:lang w:eastAsia="hr-HR"/>
              </w:rPr>
              <w:t>Strategija obrazovanja, znanosti i tehnologije</w:t>
            </w:r>
            <w:r w:rsidRPr="009B2E82">
              <w:rPr>
                <w:rFonts w:ascii="Times New Roman" w:hAnsi="Times New Roman" w:cs="Times New Roman"/>
                <w:color w:val="000000"/>
                <w:spacing w:val="-1"/>
                <w:sz w:val="24"/>
                <w:szCs w:val="24"/>
                <w:lang w:eastAsia="hr-HR"/>
              </w:rPr>
              <w:t>: https://vlada.gov.hr</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lang w:eastAsia="hr-HR"/>
              </w:rPr>
              <w:t>Na temelju odredbi čl. 14. Zakona o strukovnom obrazovanju i osposobljavanju, Nacionalno vijeće za strukovno obrazovanje ima 17 članova – predstavnika različitih nacionalnih organizacija dionika -Hrvatske udruge poslodavaca, Gospodarske komore, Obrtničke komore, sindikata, Ministarstva gospodarstva, Ministarstva socijalne politike i mladih, Hrvatskog zavoda za zapošljavanje,</w:t>
            </w:r>
          </w:p>
          <w:p w:rsidR="009B2E82" w:rsidRPr="009B2E82" w:rsidRDefault="009B2E82" w:rsidP="009B2E82">
            <w:pPr>
              <w:shd w:val="clear" w:color="auto" w:fill="FFFFFF"/>
              <w:spacing w:line="230"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329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8" w:lineRule="exact"/>
              <w:ind w:right="43"/>
              <w:rPr>
                <w:rFonts w:ascii="Times New Roman" w:hAnsi="Times New Roman" w:cs="Times New Roman"/>
                <w:lang w:eastAsia="hr-HR"/>
              </w:rPr>
            </w:pPr>
            <w:r w:rsidRPr="009B2E82">
              <w:rPr>
                <w:rFonts w:ascii="Times New Roman" w:hAnsi="Times New Roman" w:cs="Times New Roman"/>
                <w:color w:val="000000"/>
                <w:spacing w:val="-3"/>
                <w:sz w:val="24"/>
                <w:szCs w:val="24"/>
                <w:lang w:eastAsia="hr-HR"/>
              </w:rPr>
              <w:t>/UserDocsImages//Sjednice/201</w:t>
            </w:r>
            <w:r w:rsidRPr="009B2E82">
              <w:rPr>
                <w:rFonts w:ascii="Times New Roman" w:hAnsi="Times New Roman" w:cs="Times New Roman"/>
                <w:color w:val="000000"/>
                <w:spacing w:val="-5"/>
                <w:sz w:val="24"/>
                <w:szCs w:val="24"/>
                <w:lang w:eastAsia="hr-HR"/>
              </w:rPr>
              <w:t>4/172%20sjednica%20Vlade//l7</w:t>
            </w:r>
            <w:r w:rsidRPr="009B2E82">
              <w:rPr>
                <w:rFonts w:ascii="Times New Roman" w:hAnsi="Times New Roman" w:cs="Times New Roman"/>
                <w:color w:val="000000"/>
                <w:spacing w:val="1"/>
                <w:sz w:val="24"/>
                <w:szCs w:val="24"/>
                <w:lang w:eastAsia="hr-HR"/>
              </w:rPr>
              <w:t>2%20-%201.pdf</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color w:val="000000"/>
                <w:spacing w:val="8"/>
                <w:lang w:eastAsia="hr-HR"/>
              </w:rPr>
            </w:pPr>
            <w:r w:rsidRPr="009B2E82">
              <w:rPr>
                <w:rFonts w:ascii="Times New Roman" w:hAnsi="Times New Roman" w:cs="Times New Roman"/>
                <w:color w:val="000000"/>
                <w:spacing w:val="8"/>
                <w:lang w:eastAsia="hr-HR"/>
              </w:rPr>
              <w:t>strukovnih škola, visokoškolskih ustanova itd. Vijeće za strukovno obrazovanje predlaže obrazovne sektore, koordinira rad svih dionika u strukovnom obrazovanju i osposobljavanju, pokreće inicijative za donošenje izmjena i dopuna nastavnih planova i programa, predlaže mjere, aktivnosti i strategije razvoja u strukovnom obrazovanju, te ima i druge dužnosti u skladu s Odlukom o imenovanju.</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r w:rsidR="009B2E82" w:rsidRPr="009B2E82" w:rsidTr="009B2E82">
        <w:trPr>
          <w:trHeight w:hRule="exact" w:val="539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9"/>
              <w:rPr>
                <w:rFonts w:ascii="Times New Roman" w:hAnsi="Times New Roman" w:cs="Times New Roman"/>
                <w:lang w:eastAsia="hr-HR"/>
              </w:rPr>
            </w:pPr>
            <w:r w:rsidRPr="009B2E82">
              <w:rPr>
                <w:rFonts w:ascii="Times New Roman" w:hAnsi="Times New Roman" w:cs="Times New Roman"/>
                <w:color w:val="000000"/>
                <w:spacing w:val="-1"/>
                <w:lang w:eastAsia="hr-HR"/>
              </w:rPr>
              <w:t>T. 10.4 – Postojanje nacionalnog ili regionalnog strateškog okvira politike za poboljšanje kvalitete sustava strukovnog obrazovanja i osposobljavanja u skladu s člankom 165. Ugovora o funkcioniranju Europske unije.</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rPr>
                <w:rFonts w:ascii="Times New Roman" w:hAnsi="Times New Roman" w:cs="Times New Roman"/>
                <w:lang w:eastAsia="hr-HR"/>
              </w:rPr>
            </w:pPr>
            <w:r w:rsidRPr="009B2E82">
              <w:rPr>
                <w:rFonts w:ascii="Times New Roman" w:hAnsi="Times New Roman" w:cs="Times New Roman"/>
                <w:color w:val="000000"/>
                <w:lang w:eastAsia="hr-HR"/>
              </w:rPr>
              <w:t>3 – poboljšanje kvalitete i privlačnosti SOO-a kroz uspostavljanje nacionalnog pristupa za osiguravanje kvalitete SOO-a (na primjer, u skladu s Europskim referentnim okvirom za osiguranje kvalitete SOO-a) i primjena alata za transparentnost i priznavanje, na primjer, Europskog sustava kreditnih bodova u strukovnom obrazovanju i osposobljavanju</w:t>
            </w:r>
            <w:r w:rsidRPr="009B2E82">
              <w:rPr>
                <w:rFonts w:ascii="Times New Roman" w:hAnsi="Times New Roman" w:cs="Times New Roman"/>
                <w:color w:val="000000"/>
                <w:spacing w:val="-1"/>
                <w:lang w:eastAsia="hr-HR"/>
              </w:rPr>
              <w:t xml:space="preserve"> (ECVET).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Alat E-kvaliteta (SOO). </w:t>
            </w:r>
            <w:r w:rsidRPr="009B2E82">
              <w:rPr>
                <w:rFonts w:ascii="Times New Roman" w:hAnsi="Times New Roman" w:cs="Times New Roman"/>
                <w:color w:val="000000"/>
                <w:sz w:val="24"/>
                <w:szCs w:val="24"/>
                <w:lang w:eastAsia="hr-HR"/>
              </w:rPr>
              <w:t>Dostupan na: http://e-kvaliteta.asoo.hr/pages/public/lo</w:t>
            </w:r>
            <w:r w:rsidRPr="009B2E82">
              <w:rPr>
                <w:rFonts w:ascii="Times New Roman" w:hAnsi="Times New Roman" w:cs="Times New Roman"/>
                <w:color w:val="000000"/>
                <w:spacing w:val="-2"/>
                <w:sz w:val="24"/>
                <w:szCs w:val="24"/>
                <w:lang w:eastAsia="hr-HR"/>
              </w:rPr>
              <w:t>gin.xhtml</w:t>
            </w:r>
          </w:p>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Zakon o HKO-u  </w:t>
            </w:r>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Informacije vezane za novi kurikulum SOO-a dostupne su na</w:t>
            </w:r>
            <w:r w:rsidRPr="009B2E82">
              <w:rPr>
                <w:rFonts w:ascii="Times New Roman" w:hAnsi="Times New Roman" w:cs="Times New Roman"/>
                <w:color w:val="000000"/>
                <w:spacing w:val="-2"/>
                <w:sz w:val="24"/>
                <w:szCs w:val="24"/>
                <w:lang w:eastAsia="hr-HR"/>
              </w:rPr>
              <w:t>:</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7"/>
                <w:sz w:val="24"/>
                <w:szCs w:val="24"/>
                <w:lang w:eastAsia="hr-HR"/>
              </w:rPr>
              <w:t>http://www.asoo.hr/default.aspx?</w:t>
            </w:r>
            <w:r w:rsidRPr="009B2E82">
              <w:rPr>
                <w:rFonts w:ascii="Times New Roman" w:hAnsi="Times New Roman" w:cs="Times New Roman"/>
                <w:color w:val="000000"/>
                <w:spacing w:val="-2"/>
                <w:sz w:val="24"/>
                <w:szCs w:val="24"/>
                <w:lang w:eastAsia="hr-HR"/>
              </w:rPr>
              <w:t>id=1374</w:t>
            </w:r>
          </w:p>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color w:val="000000"/>
                <w:spacing w:val="-1"/>
                <w:sz w:val="24"/>
                <w:szCs w:val="24"/>
                <w:lang w:eastAsia="hr-HR"/>
              </w:rPr>
              <w:t>Zakon o strukovnom obrazovanju (30/2009)</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Značajan napredak s obzirom na razvoj osiguravanja kvalitete u strukovnom obrazovanju već je ostvaren, osobito razvojem alata za samovrednovanje ”E-kvaliteta”. Alat pruža pomoć strukovnim školama u njihovom procesu samovrednovanja, a njihovi rezultati samoprocjene unose se u njegovu bazu podataka. E-kvaliteta strogo slijedi pristup koji se koristi u razvoju Hrvatskog okvira za osiguranje kvalitete. Sadrži prioritetna područja koja su opisana u Okviru i omogućuje jednostavan postupak za unos rezultata pomoću ljestvice procjene od pet stupnjeva. Ovim se alatom Hrvatska pridružila drugim europskim zemljama u provedbi načela navedenih u Europskom referentnom okviru za osiguranje kvalitete (eng. </w:t>
            </w:r>
            <w:r w:rsidRPr="009B2E82">
              <w:rPr>
                <w:rFonts w:ascii="Times New Roman" w:eastAsia="Times New Roman" w:hAnsi="Times New Roman" w:cs="Times New Roman"/>
                <w:i/>
                <w:iCs/>
                <w:sz w:val="20"/>
                <w:szCs w:val="20"/>
                <w:lang w:eastAsia="hr-HR"/>
              </w:rPr>
              <w:t>European Quality Assurance Reference Framework, EQARF</w:t>
            </w:r>
            <w:r w:rsidRPr="009B2E82">
              <w:rPr>
                <w:rFonts w:ascii="Times New Roman" w:hAnsi="Times New Roman" w:cs="Times New Roman"/>
                <w:lang w:eastAsia="hr-HR"/>
              </w:rPr>
              <w:t>).</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230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rPr>
                <w:rFonts w:ascii="Times New Roman" w:hAnsi="Times New Roman" w:cs="Times New Roman"/>
                <w:lang w:eastAsia="hr-HR"/>
              </w:rPr>
            </w:pPr>
            <w:r w:rsidRPr="009B2E82">
              <w:rPr>
                <w:rFonts w:ascii="Times New Roman" w:hAnsi="Times New Roman" w:cs="Times New Roman"/>
                <w:color w:val="000000"/>
                <w:spacing w:val="5"/>
                <w:lang w:eastAsia="hr-HR"/>
              </w:rPr>
              <w:t xml:space="preserve">Alat E-kvaliteta (SOO) dostupan je na: at: </w:t>
            </w:r>
            <w:r w:rsidRPr="009B2E82">
              <w:rPr>
                <w:rFonts w:ascii="Times New Roman" w:hAnsi="Times New Roman" w:cs="Times New Roman"/>
                <w:color w:val="000000"/>
                <w:spacing w:val="-1"/>
                <w:lang w:eastAsia="hr-HR"/>
              </w:rPr>
              <w:t xml:space="preserve">http://e-kvaliteta.asoo.hr/pages/public/login.xht </w:t>
            </w:r>
            <w:r w:rsidRPr="009B2E82">
              <w:rPr>
                <w:rFonts w:ascii="Times New Roman" w:hAnsi="Times New Roman" w:cs="Times New Roman"/>
                <w:color w:val="000000"/>
                <w:spacing w:val="-2"/>
                <w:lang w:eastAsia="hr-HR"/>
              </w:rPr>
              <w:t>ml</w:t>
            </w:r>
          </w:p>
          <w:p w:rsidR="009B2E82" w:rsidRPr="009B2E82" w:rsidRDefault="009B2E82" w:rsidP="009B2E82">
            <w:pPr>
              <w:shd w:val="clear" w:color="auto" w:fill="FFFFFF"/>
              <w:spacing w:line="226" w:lineRule="exact"/>
              <w:ind w:right="10"/>
              <w:rPr>
                <w:rFonts w:ascii="Times New Roman" w:hAnsi="Times New Roman" w:cs="Times New Roman"/>
                <w:lang w:eastAsia="hr-HR"/>
              </w:rPr>
            </w:pPr>
            <w:r w:rsidRPr="009B2E82">
              <w:rPr>
                <w:rFonts w:ascii="Times New Roman" w:hAnsi="Times New Roman" w:cs="Times New Roman"/>
                <w:color w:val="000000"/>
                <w:spacing w:val="4"/>
                <w:lang w:eastAsia="hr-HR"/>
              </w:rPr>
              <w:t>HKO postavlja jasne kriterije za kompetencije koje osoba može očekivati ​​da će steći nakon završetka određenog stupnja obrazovanja.</w:t>
            </w:r>
          </w:p>
        </w:tc>
      </w:tr>
      <w:tr w:rsidR="009B2E82" w:rsidRPr="009B2E82" w:rsidTr="009B2E82">
        <w:trPr>
          <w:trHeight w:hRule="exact" w:val="582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15"/>
              <w:rPr>
                <w:rFonts w:ascii="Times New Roman" w:hAnsi="Times New Roman" w:cs="Times New Roman"/>
                <w:color w:val="000000"/>
                <w:lang w:eastAsia="hr-HR"/>
              </w:rPr>
            </w:pPr>
            <w:r w:rsidRPr="009B2E82">
              <w:rPr>
                <w:rFonts w:ascii="Times New Roman" w:hAnsi="Times New Roman" w:cs="Times New Roman"/>
                <w:color w:val="000000"/>
                <w:spacing w:val="23"/>
                <w:lang w:eastAsia="hr-HR"/>
              </w:rPr>
              <w:t>G.1-</w:t>
            </w:r>
            <w:r w:rsidRPr="009B2E82">
              <w:rPr>
                <w:rFonts w:ascii="Times New Roman" w:hAnsi="Times New Roman" w:cs="Times New Roman"/>
                <w:color w:val="000000"/>
                <w:lang w:eastAsia="hr-HR"/>
              </w:rPr>
              <w:t xml:space="preserve"> Postojanje administrativnih kapaciteta za provedbu i primjenu zakona i politika o suzbijanju diskriminacije EU-a na području ESI fondova.  </w:t>
            </w:r>
          </w:p>
          <w:p w:rsidR="009B2E82" w:rsidRPr="009B2E82" w:rsidRDefault="009B2E82" w:rsidP="009B2E82">
            <w:pPr>
              <w:shd w:val="clear" w:color="auto" w:fill="FFFFFF"/>
              <w:spacing w:line="230" w:lineRule="exact"/>
              <w:ind w:right="115"/>
              <w:rPr>
                <w:rFonts w:ascii="Times New Roman" w:hAnsi="Times New Roman" w:cs="Times New Roman"/>
                <w:color w:val="000000"/>
                <w:lang w:eastAsia="hr-HR"/>
              </w:rPr>
            </w:pPr>
          </w:p>
          <w:p w:rsidR="009B2E82" w:rsidRPr="009B2E82" w:rsidRDefault="009B2E82" w:rsidP="009B2E82">
            <w:pPr>
              <w:shd w:val="clear" w:color="auto" w:fill="FFFFFF"/>
              <w:spacing w:line="230" w:lineRule="exact"/>
              <w:ind w:right="115"/>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3"/>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1 - </w:t>
            </w:r>
            <w:r w:rsidRPr="009B2E82">
              <w:rPr>
                <w:rFonts w:ascii="Times New Roman" w:hAnsi="Times New Roman" w:cs="Times New Roman"/>
                <w:lang w:eastAsia="hr-HR"/>
              </w:rPr>
              <w:t xml:space="preserve"> Sustavi usklađeni s institucionalnim i pravnim okvirom država članica za uključivanje tijela odgovornih za promicanje ravnopravnog postupanja prema svim osobama tijekom pripreme i provedbe programa, uključujući savjetovanje o jednakosti u aktivnostima povezanima s ESI fondovima.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Zakon o suzbijanju diskriminacije  (NN 85/08, 112/12)</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8"/>
                <w:sz w:val="24"/>
                <w:szCs w:val="24"/>
                <w:lang w:eastAsia="hr-HR"/>
              </w:rPr>
              <w:t xml:space="preserve">Zakon o ravnopravnosti spolova (NN </w:t>
            </w:r>
            <w:r w:rsidRPr="009B2E82">
              <w:rPr>
                <w:rFonts w:ascii="Times New Roman" w:hAnsi="Times New Roman" w:cs="Times New Roman"/>
                <w:color w:val="000000"/>
                <w:spacing w:val="-4"/>
                <w:sz w:val="24"/>
                <w:szCs w:val="24"/>
                <w:lang w:eastAsia="hr-HR"/>
              </w:rPr>
              <w:t>82/08)</w:t>
            </w:r>
          </w:p>
          <w:p w:rsidR="009B2E82" w:rsidRPr="009B2E82" w:rsidRDefault="009B2E82" w:rsidP="009B2E82">
            <w:pPr>
              <w:shd w:val="clear" w:color="auto" w:fill="FFFFFF"/>
              <w:spacing w:line="274" w:lineRule="exact"/>
              <w:rPr>
                <w:rFonts w:ascii="Times New Roman" w:hAnsi="Times New Roman" w:cs="Times New Roman"/>
                <w:lang w:eastAsia="hr-HR"/>
              </w:rPr>
            </w:pPr>
            <w:hyperlink r:id="rId23" w:history="1">
              <w:r w:rsidRPr="009B2E82">
                <w:rPr>
                  <w:rFonts w:ascii="Times New Roman" w:hAnsi="Times New Roman" w:cs="Times New Roman"/>
                  <w:bCs/>
                  <w:iCs/>
                  <w:spacing w:val="-1"/>
                  <w:sz w:val="24"/>
                  <w:szCs w:val="20"/>
                  <w:lang w:eastAsia="hr-HR"/>
                </w:rPr>
                <w:t>Nacionalni program zaštite i</w:t>
              </w:r>
              <w:r w:rsidRPr="009B2E82">
                <w:rPr>
                  <w:rFonts w:ascii="Times New Roman" w:hAnsi="Times New Roman" w:cs="Times New Roman"/>
                  <w:bCs/>
                  <w:spacing w:val="-1"/>
                  <w:sz w:val="24"/>
                  <w:szCs w:val="20"/>
                  <w:lang w:eastAsia="hr-HR"/>
                </w:rPr>
                <w:t xml:space="preserve"> promicanja </w:t>
              </w:r>
              <w:r w:rsidRPr="009B2E82">
                <w:rPr>
                  <w:rFonts w:ascii="Times New Roman" w:hAnsi="Times New Roman" w:cs="Times New Roman"/>
                  <w:bCs/>
                  <w:iCs/>
                  <w:spacing w:val="-1"/>
                  <w:sz w:val="24"/>
                  <w:szCs w:val="20"/>
                  <w:lang w:eastAsia="hr-HR"/>
                </w:rPr>
                <w:t>ljudskih prava</w:t>
              </w:r>
              <w:r w:rsidRPr="009B2E82">
                <w:rPr>
                  <w:rFonts w:ascii="Times New Roman" w:hAnsi="Times New Roman" w:cs="Times New Roman"/>
                  <w:bCs/>
                  <w:spacing w:val="-1"/>
                  <w:sz w:val="24"/>
                  <w:szCs w:val="20"/>
                  <w:lang w:eastAsia="hr-HR"/>
                </w:rPr>
                <w:t xml:space="preserve"> </w:t>
              </w:r>
            </w:hyperlink>
            <w:r w:rsidRPr="009B2E82">
              <w:rPr>
                <w:rFonts w:ascii="Times New Roman" w:hAnsi="Times New Roman" w:cs="Times New Roman"/>
                <w:spacing w:val="-1"/>
                <w:sz w:val="24"/>
                <w:szCs w:val="24"/>
                <w:lang w:eastAsia="hr-HR"/>
              </w:rPr>
              <w:t>za razdoblje</w:t>
            </w:r>
            <w:r w:rsidRPr="009B2E82">
              <w:rPr>
                <w:rFonts w:ascii="Times New Roman" w:hAnsi="Times New Roman" w:cs="Times New Roman"/>
                <w:color w:val="000000"/>
                <w:spacing w:val="1"/>
                <w:sz w:val="24"/>
                <w:szCs w:val="24"/>
                <w:lang w:eastAsia="hr-HR"/>
              </w:rPr>
              <w:t xml:space="preserve"> </w:t>
            </w:r>
            <w:r w:rsidRPr="009B2E82">
              <w:rPr>
                <w:rFonts w:ascii="Times New Roman" w:hAnsi="Times New Roman" w:cs="Times New Roman"/>
                <w:color w:val="000000"/>
                <w:spacing w:val="-2"/>
                <w:sz w:val="24"/>
                <w:szCs w:val="24"/>
                <w:lang w:eastAsia="hr-HR"/>
              </w:rPr>
              <w:t>2013.-2016.</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spacing w:val="2"/>
                <w:sz w:val="24"/>
                <w:szCs w:val="24"/>
                <w:lang w:eastAsia="hr-HR"/>
              </w:rPr>
              <w:t xml:space="preserve">Plan za borbu protiv diskriminacije za razdoblje od 2008. do </w:t>
            </w:r>
            <w:r w:rsidRPr="009B2E82">
              <w:rPr>
                <w:rFonts w:ascii="Times New Roman" w:hAnsi="Times New Roman" w:cs="Times New Roman"/>
                <w:color w:val="000000"/>
                <w:spacing w:val="-7"/>
                <w:sz w:val="24"/>
                <w:szCs w:val="24"/>
                <w:lang w:eastAsia="hr-HR"/>
              </w:rPr>
              <w:t>2013.</w:t>
            </w:r>
          </w:p>
          <w:p w:rsidR="009B2E82" w:rsidRPr="009B2E82" w:rsidRDefault="009B2E82" w:rsidP="009B2E82">
            <w:pPr>
              <w:shd w:val="clear" w:color="auto" w:fill="FFFFFF"/>
              <w:spacing w:line="283" w:lineRule="exact"/>
              <w:rPr>
                <w:rFonts w:ascii="Times New Roman" w:hAnsi="Times New Roman" w:cs="Times New Roman"/>
                <w:lang w:eastAsia="hr-HR"/>
              </w:rPr>
            </w:pPr>
            <w:r w:rsidRPr="009B2E82">
              <w:rPr>
                <w:rFonts w:ascii="Times New Roman" w:hAnsi="Times New Roman" w:cs="Times New Roman"/>
                <w:color w:val="000000"/>
                <w:spacing w:val="4"/>
                <w:sz w:val="24"/>
                <w:szCs w:val="24"/>
                <w:lang w:eastAsia="hr-HR"/>
              </w:rPr>
              <w:t>Plan za borbu protiv diskriminacije za razdoblje od 2014. do 2018</w:t>
            </w:r>
            <w:r w:rsidRPr="009B2E82">
              <w:rPr>
                <w:rFonts w:ascii="Times New Roman" w:hAnsi="Times New Roman" w:cs="Times New Roman"/>
                <w:color w:val="000000"/>
                <w:spacing w:val="-1"/>
                <w:sz w:val="24"/>
                <w:szCs w:val="24"/>
                <w:lang w:eastAsia="hr-HR"/>
              </w:rPr>
              <w:t>. (treba biti izrađen)</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0"/>
              <w:rPr>
                <w:rFonts w:ascii="Times New Roman" w:hAnsi="Times New Roman" w:cs="Times New Roman"/>
                <w:lang w:eastAsia="hr-HR"/>
              </w:rPr>
            </w:pPr>
            <w:r w:rsidRPr="009B2E82">
              <w:rPr>
                <w:rFonts w:ascii="Times New Roman" w:hAnsi="Times New Roman" w:cs="Times New Roman"/>
                <w:lang w:eastAsia="hr-HR"/>
              </w:rPr>
              <w:t>Zakon o suzbijanju diskriminacije uveo je pučkog pravobranitelja, kao nacionalno tijelo nadležno za pitanja jednakosti. U skladu s tim, članak 12. Zakona definira aktivnosti središnjeg tijela nadležnog za suzbijanje diskriminacije koje između ostalog uključuju sljedeće: pružanje potrebnih informacija fizičkim i pravnim osobama koje su uložile žalbu zbog diskriminacije o njihovim pravima i obvezama te mogućnostima sudske i druge zaštite, kao i provođenje istraživanja o diskriminaciji, davanje mišljenja i preporuka te predlaganje odgovarajućih pravnih i strateških rješenja Vladi Republike Hrvatske.</w:t>
            </w:r>
          </w:p>
          <w:p w:rsidR="009B2E82" w:rsidRPr="009B2E82" w:rsidRDefault="009B2E82" w:rsidP="009B2E82">
            <w:pPr>
              <w:shd w:val="clear" w:color="auto" w:fill="FFFFFF"/>
              <w:spacing w:line="230" w:lineRule="exact"/>
              <w:ind w:right="10"/>
              <w:rPr>
                <w:rFonts w:ascii="Times New Roman" w:hAnsi="Times New Roman" w:cs="Times New Roman"/>
                <w:lang w:eastAsia="hr-HR"/>
              </w:rPr>
            </w:pPr>
            <w:r w:rsidRPr="009B2E82">
              <w:rPr>
                <w:rFonts w:ascii="Times New Roman" w:hAnsi="Times New Roman" w:cs="Times New Roman"/>
                <w:lang w:eastAsia="hr-HR"/>
              </w:rPr>
              <w:t>U skladu s tim, institucija pučkog pravobranitelja spremna je na zahtjev mjerodavnih tijela pružiti podršku i savjete o pitanjima jednakosti spolova u aktivnostima vezanima za ESI fondove.</w:t>
            </w:r>
          </w:p>
          <w:p w:rsidR="009B2E82" w:rsidRPr="009B2E82" w:rsidRDefault="009B2E82" w:rsidP="009B2E82">
            <w:pPr>
              <w:shd w:val="clear" w:color="auto" w:fill="FFFFFF"/>
              <w:spacing w:line="230" w:lineRule="exact"/>
              <w:ind w:right="10"/>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173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ind w:right="10"/>
              <w:rPr>
                <w:rFonts w:ascii="Times New Roman" w:hAnsi="Times New Roman" w:cs="Times New Roman"/>
                <w:color w:val="000000"/>
                <w:spacing w:val="7"/>
                <w:lang w:eastAsia="hr-HR"/>
              </w:rPr>
            </w:pPr>
            <w:r w:rsidRPr="009B2E82">
              <w:rPr>
                <w:rFonts w:ascii="Times New Roman" w:hAnsi="Times New Roman" w:cs="Times New Roman"/>
                <w:color w:val="000000"/>
                <w:spacing w:val="7"/>
                <w:lang w:eastAsia="hr-HR"/>
              </w:rPr>
              <w:t xml:space="preserve">Što se tiče dodatnih potkriterija, ove dvije aktivnosti bit će određene mjerama u sklopu novog Plana za borbu protiv diskriminacije koji će biti izrađen do sredine 2015. </w:t>
            </w:r>
          </w:p>
          <w:p w:rsidR="009B2E82" w:rsidRPr="009B2E82" w:rsidRDefault="009B2E82" w:rsidP="009B2E82">
            <w:pPr>
              <w:shd w:val="clear" w:color="auto" w:fill="FFFFFF"/>
              <w:ind w:right="10"/>
              <w:jc w:val="both"/>
              <w:rPr>
                <w:rFonts w:ascii="Times New Roman" w:hAnsi="Times New Roman" w:cs="Times New Roman"/>
                <w:lang w:eastAsia="hr-HR"/>
              </w:rPr>
            </w:pPr>
          </w:p>
        </w:tc>
      </w:tr>
      <w:tr w:rsidR="009B2E82" w:rsidRPr="009B2E82" w:rsidTr="009B2E82">
        <w:trPr>
          <w:trHeight w:hRule="exact" w:val="577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ind w:right="115"/>
              <w:rPr>
                <w:rFonts w:ascii="Times New Roman" w:hAnsi="Times New Roman" w:cs="Times New Roman"/>
                <w:color w:val="000000"/>
                <w:lang w:eastAsia="hr-HR"/>
              </w:rPr>
            </w:pPr>
            <w:r w:rsidRPr="009B2E82">
              <w:rPr>
                <w:rFonts w:ascii="Times New Roman" w:hAnsi="Times New Roman" w:cs="Times New Roman"/>
                <w:color w:val="000000"/>
                <w:spacing w:val="23"/>
                <w:lang w:eastAsia="hr-HR"/>
              </w:rPr>
              <w:t>G.1-</w:t>
            </w:r>
            <w:r w:rsidRPr="009B2E82">
              <w:rPr>
                <w:rFonts w:ascii="Times New Roman" w:hAnsi="Times New Roman" w:cs="Times New Roman"/>
                <w:color w:val="000000"/>
                <w:lang w:eastAsia="hr-HR"/>
              </w:rPr>
              <w:t xml:space="preserve"> Postojanje administrativnih kapaciteta za provedbu i primjenu zakona i politika o suzbijanju diskriminacije EU-a na području ESI fondova.  </w:t>
            </w:r>
          </w:p>
          <w:p w:rsidR="009B2E82" w:rsidRPr="009B2E82" w:rsidRDefault="009B2E82" w:rsidP="009B2E82">
            <w:pPr>
              <w:shd w:val="clear" w:color="auto" w:fill="FFFFFF"/>
              <w:spacing w:line="230" w:lineRule="exact"/>
              <w:ind w:right="115"/>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82"/>
              <w:rPr>
                <w:rFonts w:ascii="Times New Roman" w:hAnsi="Times New Roman" w:cs="Times New Roman"/>
                <w:lang w:eastAsia="hr-HR"/>
              </w:rPr>
            </w:pPr>
            <w:r w:rsidRPr="009B2E82">
              <w:rPr>
                <w:rFonts w:ascii="Times New Roman" w:hAnsi="Times New Roman" w:cs="Times New Roman"/>
                <w:lang w:eastAsia="hr-HR"/>
              </w:rPr>
              <w:t>2 - Sustavi osposobljavanja osoblja tijela uključenih u kontrolu i upravljanje ESI fondovima u području zakona i politike Europske unije o suzbijanju diskriminacije.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hyperlink r:id="rId24" w:history="1">
              <w:r w:rsidRPr="009B2E82">
                <w:rPr>
                  <w:rFonts w:ascii="Times New Roman" w:hAnsi="Times New Roman" w:cs="Times New Roman"/>
                  <w:bCs/>
                  <w:iCs/>
                  <w:lang w:eastAsia="hr-HR"/>
                </w:rPr>
                <w:t>Nacionalni program zaštite i</w:t>
              </w:r>
              <w:r w:rsidRPr="009B2E82">
                <w:rPr>
                  <w:rFonts w:ascii="Times New Roman" w:hAnsi="Times New Roman" w:cs="Times New Roman"/>
                  <w:bCs/>
                  <w:lang w:eastAsia="hr-HR"/>
                </w:rPr>
                <w:t xml:space="preserve"> promicanja </w:t>
              </w:r>
              <w:r w:rsidRPr="009B2E82">
                <w:rPr>
                  <w:rFonts w:ascii="Times New Roman" w:hAnsi="Times New Roman" w:cs="Times New Roman"/>
                  <w:bCs/>
                  <w:iCs/>
                  <w:lang w:eastAsia="hr-HR"/>
                </w:rPr>
                <w:t>ljudskih prava</w:t>
              </w:r>
              <w:r w:rsidRPr="009B2E82">
                <w:rPr>
                  <w:rFonts w:ascii="Times New Roman" w:hAnsi="Times New Roman" w:cs="Times New Roman"/>
                  <w:bCs/>
                  <w:lang w:eastAsia="hr-HR"/>
                </w:rPr>
                <w:t xml:space="preserve"> </w:t>
              </w:r>
            </w:hyperlink>
            <w:r w:rsidRPr="009B2E82">
              <w:rPr>
                <w:rFonts w:ascii="Times New Roman" w:hAnsi="Times New Roman" w:cs="Times New Roman"/>
                <w:lang w:eastAsia="hr-HR"/>
              </w:rPr>
              <w:t xml:space="preserve">za razdoblje 2013.-2016. određuje suzbijanje diskriminacije kao prioritetno područje te je donesena mjera broj 8.1 koja se odnosi na obrazovanje i osposobljavanje povezano s nacionalnom i EU politikom suzbijanja diskriminacije (http://www.uljppnm.vlada.hr/images/nap_2013-2016.pdf). </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Kao rezultat toga, Ured za ljudska prava i prava nacionalnih manjina, u suradnji s pravobraniteljicom, razvio je program koji će se provoditi u suradnji s Državnom školom za javnu upravu. Prva osposobljavanja na rasporedu su 21. svibnja 2014. i 16. listopada 2014. Ciljane sudionike čini osoblje uključeno u provedbu ESI fondova. Ove mjere će biti dodatno razrađene u novom planu za suzbijanje diskriminacije.</w:t>
            </w: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 xml:space="preserve">Ex ante uvjet </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458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15"/>
              <w:rPr>
                <w:rFonts w:ascii="Times New Roman" w:hAnsi="Times New Roman" w:cs="Times New Roman"/>
                <w:lang w:eastAsia="hr-HR"/>
              </w:rPr>
            </w:pPr>
            <w:r w:rsidRPr="009B2E82">
              <w:rPr>
                <w:rFonts w:ascii="Times New Roman" w:hAnsi="Times New Roman" w:cs="Times New Roman"/>
                <w:lang w:eastAsia="hr-HR"/>
              </w:rPr>
              <w:t>G.2 - Postojanje administrativnih kapaciteta za provedbu i primjenu zakona i politike o ravnopravnosti spolova Europske unije u području ESI fondova.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3"/>
              <w:rPr>
                <w:rFonts w:ascii="Times New Roman" w:hAnsi="Times New Roman" w:cs="Times New Roman"/>
                <w:lang w:eastAsia="hr-HR"/>
              </w:rPr>
            </w:pPr>
            <w:r w:rsidRPr="009B2E82">
              <w:rPr>
                <w:rFonts w:ascii="Times New Roman" w:hAnsi="Times New Roman" w:cs="Times New Roman"/>
                <w:lang w:eastAsia="hr-HR"/>
              </w:rPr>
              <w:t>1 – Sustavi usklađeni s institucionalnim i pravnim okvirom država članica za uključivanje tijela odgovornih za ravnopravnost spolova tijekom pripreme i provedbe programa, uključujući pružanje savjeta o ravnopravnosti spolova u aktivnostima povezanima s ESI fondovima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69" w:lineRule="exact"/>
              <w:rPr>
                <w:rFonts w:ascii="Times New Roman" w:hAnsi="Times New Roman" w:cs="Times New Roman"/>
                <w:lang w:eastAsia="hr-HR"/>
              </w:rPr>
            </w:pPr>
            <w:r w:rsidRPr="009B2E82">
              <w:rPr>
                <w:rFonts w:ascii="Times New Roman" w:hAnsi="Times New Roman" w:cs="Times New Roman"/>
                <w:color w:val="000000"/>
                <w:spacing w:val="7"/>
                <w:w w:val="101"/>
                <w:sz w:val="24"/>
                <w:szCs w:val="24"/>
                <w:lang w:eastAsia="hr-HR"/>
              </w:rPr>
              <w:t xml:space="preserve">Zakon o ravnopravnosti spolova (NN </w:t>
            </w:r>
            <w:r w:rsidRPr="009B2E82">
              <w:rPr>
                <w:rFonts w:ascii="Times New Roman" w:hAnsi="Times New Roman" w:cs="Times New Roman"/>
                <w:color w:val="000000"/>
                <w:spacing w:val="-7"/>
                <w:w w:val="101"/>
                <w:sz w:val="24"/>
                <w:szCs w:val="24"/>
                <w:lang w:eastAsia="hr-HR"/>
              </w:rPr>
              <w:t>82/08):</w:t>
            </w:r>
          </w:p>
          <w:p w:rsidR="009B2E82" w:rsidRPr="009B2E82" w:rsidRDefault="009B2E82" w:rsidP="009B2E82">
            <w:pPr>
              <w:shd w:val="clear" w:color="auto" w:fill="FFFFFF"/>
              <w:spacing w:line="269" w:lineRule="exact"/>
              <w:rPr>
                <w:rFonts w:ascii="Times New Roman" w:hAnsi="Times New Roman" w:cs="Times New Roman"/>
                <w:lang w:eastAsia="hr-HR"/>
              </w:rPr>
            </w:pPr>
            <w:r w:rsidRPr="009B2E82">
              <w:rPr>
                <w:rFonts w:ascii="Times New Roman" w:hAnsi="Times New Roman" w:cs="Times New Roman"/>
                <w:color w:val="000000"/>
                <w:spacing w:val="2"/>
                <w:w w:val="101"/>
                <w:sz w:val="24"/>
                <w:szCs w:val="24"/>
                <w:lang w:eastAsia="hr-HR"/>
              </w:rPr>
              <w:t xml:space="preserve">- tijelo za ravnopravnost spolova (članak </w:t>
            </w:r>
            <w:r w:rsidRPr="009B2E82">
              <w:rPr>
                <w:rFonts w:ascii="Times New Roman" w:hAnsi="Times New Roman" w:cs="Times New Roman"/>
                <w:color w:val="000000"/>
                <w:spacing w:val="15"/>
                <w:w w:val="101"/>
                <w:sz w:val="24"/>
                <w:szCs w:val="24"/>
                <w:lang w:eastAsia="hr-HR"/>
              </w:rPr>
              <w:t>19.-26.) +</w:t>
            </w:r>
          </w:p>
          <w:p w:rsidR="009B2E82" w:rsidRPr="009B2E82" w:rsidRDefault="009B2E82" w:rsidP="009B2E82">
            <w:pPr>
              <w:shd w:val="clear" w:color="auto" w:fill="FFFFFF"/>
              <w:spacing w:line="278" w:lineRule="exact"/>
              <w:rPr>
                <w:rFonts w:ascii="Times New Roman" w:hAnsi="Times New Roman" w:cs="Times New Roman"/>
                <w:lang w:eastAsia="hr-HR"/>
              </w:rPr>
            </w:pPr>
            <w:r w:rsidRPr="009B2E82">
              <w:rPr>
                <w:rFonts w:ascii="Times New Roman" w:hAnsi="Times New Roman" w:cs="Times New Roman"/>
                <w:color w:val="000000"/>
                <w:spacing w:val="1"/>
                <w:w w:val="101"/>
                <w:sz w:val="24"/>
                <w:szCs w:val="24"/>
                <w:lang w:eastAsia="hr-HR"/>
              </w:rPr>
              <w:t>Vladin Ured za ravnopravnost spolova</w:t>
            </w:r>
            <w:r w:rsidRPr="009B2E82">
              <w:rPr>
                <w:rFonts w:ascii="Times New Roman" w:hAnsi="Times New Roman" w:cs="Times New Roman"/>
                <w:color w:val="000000"/>
                <w:spacing w:val="-2"/>
                <w:w w:val="101"/>
                <w:sz w:val="24"/>
                <w:szCs w:val="24"/>
                <w:lang w:eastAsia="hr-HR"/>
              </w:rPr>
              <w:t xml:space="preserve"> (članak 18.).</w:t>
            </w:r>
          </w:p>
          <w:p w:rsidR="009B2E82" w:rsidRPr="009B2E82" w:rsidRDefault="009B2E82" w:rsidP="009B2E82">
            <w:pPr>
              <w:shd w:val="clear" w:color="auto" w:fill="FFFFFF"/>
              <w:spacing w:line="274" w:lineRule="exact"/>
              <w:rPr>
                <w:rFonts w:ascii="Times New Roman" w:hAnsi="Times New Roman" w:cs="Times New Roman"/>
                <w:lang w:eastAsia="hr-HR"/>
              </w:rPr>
            </w:pPr>
            <w:r w:rsidRPr="009B2E82">
              <w:rPr>
                <w:rFonts w:ascii="Times New Roman" w:hAnsi="Times New Roman" w:cs="Times New Roman"/>
                <w:color w:val="000000"/>
                <w:w w:val="101"/>
                <w:sz w:val="24"/>
                <w:szCs w:val="24"/>
                <w:lang w:eastAsia="hr-HR"/>
              </w:rPr>
              <w:t>Nacionalna politika za ravnopravnost spolova</w:t>
            </w:r>
            <w:r w:rsidRPr="009B2E82">
              <w:rPr>
                <w:rFonts w:ascii="Times New Roman" w:hAnsi="Times New Roman" w:cs="Times New Roman"/>
                <w:color w:val="000000"/>
                <w:spacing w:val="-1"/>
                <w:w w:val="101"/>
                <w:sz w:val="24"/>
                <w:szCs w:val="24"/>
                <w:lang w:eastAsia="hr-HR"/>
              </w:rPr>
              <w:t xml:space="preserve"> za razdoblje od 2011. do 2015. (NN </w:t>
            </w:r>
            <w:r w:rsidRPr="009B2E82">
              <w:rPr>
                <w:rFonts w:ascii="Times New Roman" w:hAnsi="Times New Roman" w:cs="Times New Roman"/>
                <w:color w:val="000000"/>
                <w:spacing w:val="-5"/>
                <w:w w:val="101"/>
                <w:sz w:val="24"/>
                <w:szCs w:val="24"/>
                <w:lang w:eastAsia="hr-HR"/>
              </w:rPr>
              <w:t>88/11)</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Zakon o ravnopravnosti spolova uveo je pučkog pravobranitelja za ravnopravnost spolova, kao nacionalno tijelo za ravnopravnost koje regulira rad Vladinog Ureda za ravnopravnost spolova. </w:t>
            </w:r>
            <w:r w:rsidRPr="009B2E82">
              <w:rPr>
                <w:rFonts w:ascii="Times New Roman" w:hAnsi="Times New Roman" w:cs="Times New Roman"/>
                <w:lang w:eastAsia="hr-HR"/>
              </w:rPr>
              <w:br/>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IX. poglavlje Zakona i 7. poglavlje  Nacionalne politike za ravnopravnost spolova definiraju pravni i institucionalni okvir za djelovanje tijela za ravnopravnost spolova i postavljaju nacionalne mehanizme za procjenu ravnopravnosti spolova. </w:t>
            </w:r>
          </w:p>
          <w:p w:rsidR="009B2E82" w:rsidRPr="009B2E82" w:rsidRDefault="009B2E82" w:rsidP="009B2E82">
            <w:pPr>
              <w:shd w:val="clear" w:color="auto" w:fill="FFFFFF"/>
              <w:spacing w:line="226" w:lineRule="exact"/>
              <w:jc w:val="both"/>
              <w:rPr>
                <w:rFonts w:ascii="Times New Roman" w:hAnsi="Times New Roman" w:cs="Times New Roman"/>
                <w:lang w:eastAsia="hr-HR"/>
              </w:rPr>
            </w:pPr>
            <w:r w:rsidRPr="009B2E82">
              <w:rPr>
                <w:rFonts w:ascii="Times New Roman" w:hAnsi="Times New Roman" w:cs="Times New Roman"/>
                <w:lang w:eastAsia="hr-HR"/>
              </w:rPr>
              <w:t xml:space="preserve">Nova nacionalna strategija za razdoblje 2016. – 2020. tek treba biti razvijena. </w:t>
            </w:r>
          </w:p>
        </w:tc>
      </w:tr>
      <w:tr w:rsidR="009B2E82" w:rsidRPr="009B2E82" w:rsidTr="009B2E82">
        <w:trPr>
          <w:trHeight w:hRule="exact" w:val="317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15"/>
              <w:rPr>
                <w:rFonts w:ascii="Times New Roman" w:hAnsi="Times New Roman" w:cs="Times New Roman"/>
                <w:lang w:eastAsia="hr-HR"/>
              </w:rPr>
            </w:pPr>
            <w:r w:rsidRPr="009B2E82">
              <w:rPr>
                <w:rFonts w:ascii="Times New Roman" w:hAnsi="Times New Roman" w:cs="Times New Roman"/>
                <w:lang w:eastAsia="hr-HR"/>
              </w:rPr>
              <w:t>G.2 - Postojanje administrativnih kapaciteta za provedbu i primjenu zakona i politike o ravnopravnosti spolova Europske unije u području ESI fondova.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82"/>
              <w:rPr>
                <w:rFonts w:ascii="Times New Roman" w:hAnsi="Times New Roman" w:cs="Times New Roman"/>
                <w:lang w:eastAsia="hr-HR"/>
              </w:rPr>
            </w:pPr>
            <w:r w:rsidRPr="009B2E82">
              <w:rPr>
                <w:rFonts w:ascii="Times New Roman" w:hAnsi="Times New Roman" w:cs="Times New Roman"/>
                <w:color w:val="000000"/>
                <w:spacing w:val="-1"/>
                <w:lang w:eastAsia="hr-HR"/>
              </w:rPr>
              <w:t xml:space="preserve">2 - </w:t>
            </w:r>
            <w:r w:rsidRPr="009B2E82">
              <w:rPr>
                <w:rFonts w:ascii="Times New Roman" w:hAnsi="Times New Roman" w:cs="Times New Roman"/>
                <w:lang w:eastAsia="hr-HR"/>
              </w:rPr>
              <w:t>Sustavi osposobljavanja osoblja tijela uključenih u kontrolu i upravljanje ESI fondovima u području zakona i politika o ravnopravnosti spolova Europske unije te rodno osviještene politike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color w:val="000000"/>
                <w:lang w:eastAsia="hr-HR"/>
              </w:rPr>
              <w:t xml:space="preserve">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t>Stavak 1. članka 3. Zakona o jednakosti spolova odnosi se na obvezu tijela javne uprave na uvođenje rodno osviještene politike u sve aktivnosti, odluke, projekte te provedbu procjene njenih učinaka.</w:t>
            </w:r>
          </w:p>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r w:rsidRPr="009B2E82">
              <w:rPr>
                <w:rFonts w:ascii="Times New Roman" w:hAnsi="Times New Roman" w:cs="Times New Roman"/>
                <w:color w:val="000000"/>
                <w:spacing w:val="1"/>
                <w:lang w:eastAsia="hr-HR"/>
              </w:rPr>
              <w:br/>
              <w:t>- Nacionalna politika za ravnopravnost spolova za razdoblje od 2011 do 2015. (NN br. 88/11), Mjera 7.1.1., obvezuje sve javne službenike na</w:t>
            </w:r>
          </w:p>
          <w:p w:rsidR="009B2E82" w:rsidRPr="009B2E82" w:rsidRDefault="009B2E82" w:rsidP="009B2E82">
            <w:pPr>
              <w:shd w:val="clear" w:color="auto" w:fill="FFFFFF"/>
              <w:spacing w:line="230" w:lineRule="exact"/>
              <w:jc w:val="both"/>
              <w:rPr>
                <w:rFonts w:ascii="Times New Roman" w:hAnsi="Times New Roman" w:cs="Times New Roman"/>
                <w:color w:val="000000"/>
                <w:spacing w:val="1"/>
                <w:lang w:eastAsia="hr-HR"/>
              </w:rPr>
            </w:pPr>
          </w:p>
          <w:p w:rsidR="009B2E82" w:rsidRPr="009B2E82" w:rsidRDefault="009B2E82" w:rsidP="009B2E82">
            <w:pPr>
              <w:shd w:val="clear" w:color="auto" w:fill="FFFFFF"/>
              <w:spacing w:line="226" w:lineRule="exact"/>
              <w:jc w:val="both"/>
              <w:rPr>
                <w:rFonts w:ascii="Times New Roman" w:hAnsi="Times New Roman" w:cs="Times New Roman"/>
                <w:lang w:eastAsia="hr-HR"/>
              </w:rPr>
            </w:pPr>
          </w:p>
        </w:tc>
      </w:tr>
    </w:tbl>
    <w:p w:rsidR="009B2E82" w:rsidRPr="009B2E82" w:rsidRDefault="009B2E82" w:rsidP="009B2E82">
      <w:pPr>
        <w:rPr>
          <w:rFonts w:ascii="Times New Roman" w:hAnsi="Times New Roman" w:cs="Times New Roman"/>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shd w:val="clear" w:color="auto" w:fill="FFFFFF"/>
        <w:spacing w:line="346" w:lineRule="exact"/>
        <w:rPr>
          <w:rFonts w:ascii="Times New Roman" w:hAnsi="Times New Roman" w:cs="Times New Roman"/>
          <w:lang w:eastAsia="hr-HR"/>
        </w:rPr>
      </w:pPr>
    </w:p>
    <w:p w:rsidR="009B2E82" w:rsidRPr="009B2E82" w:rsidRDefault="009B2E82" w:rsidP="009B2E82">
      <w:pPr>
        <w:shd w:val="clear" w:color="auto" w:fill="FFFFFF"/>
        <w:spacing w:line="346" w:lineRule="exact"/>
        <w:rPr>
          <w:rFonts w:ascii="Times New Roman" w:hAnsi="Times New Roman" w:cs="Times New Roman"/>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2"/>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b/>
                <w:lang w:eastAsia="hr-HR"/>
              </w:rPr>
            </w:pPr>
            <w:r w:rsidRPr="009B2E82">
              <w:rPr>
                <w:rFonts w:ascii="Times New Roman" w:hAnsi="Times New Roman" w:cs="Times New Roman"/>
                <w:b/>
                <w:color w:val="000000"/>
                <w:spacing w:val="8"/>
                <w:lang w:eastAsia="hr-HR"/>
              </w:rPr>
              <w:t>Kriterij</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after="0" w:line="230" w:lineRule="exact"/>
              <w:ind w:right="163"/>
              <w:jc w:val="center"/>
              <w:rPr>
                <w:rFonts w:ascii="Times New Roman" w:hAnsi="Times New Roman" w:cs="Times New Roman"/>
                <w:lang w:eastAsia="hr-HR"/>
              </w:rPr>
            </w:pPr>
            <w:r w:rsidRPr="009B2E82">
              <w:rPr>
                <w:rFonts w:ascii="Times New Roman" w:hAnsi="Times New Roman" w:cs="Times New Roman"/>
                <w:b/>
                <w:bCs/>
                <w:color w:val="000000"/>
                <w:spacing w:val="-2"/>
                <w:lang w:eastAsia="hr-HR"/>
              </w:rPr>
              <w:t xml:space="preserve">Kriterij </w:t>
            </w:r>
            <w:r w:rsidRPr="009B2E82">
              <w:rPr>
                <w:rFonts w:ascii="Times New Roman" w:hAnsi="Times New Roman" w:cs="Times New Roman"/>
                <w:b/>
                <w:bCs/>
                <w:color w:val="000000"/>
                <w:spacing w:val="-1"/>
                <w:lang w:eastAsia="hr-HR"/>
              </w:rPr>
              <w:t>ispunjen</w:t>
            </w:r>
          </w:p>
          <w:p w:rsidR="009B2E82" w:rsidRPr="009B2E82" w:rsidRDefault="009B2E82" w:rsidP="009B2E82">
            <w:pPr>
              <w:shd w:val="clear" w:color="auto" w:fill="FFFFFF"/>
              <w:spacing w:after="0" w:line="230" w:lineRule="exact"/>
              <w:jc w:val="center"/>
              <w:rPr>
                <w:rFonts w:ascii="Times New Roman" w:hAnsi="Times New Roman" w:cs="Times New Roman"/>
                <w:lang w:eastAsia="hr-HR"/>
              </w:rPr>
            </w:pPr>
            <w:r w:rsidRPr="009B2E82">
              <w:rPr>
                <w:rFonts w:ascii="Times New Roman" w:hAnsi="Times New Roman" w:cs="Times New Roman"/>
                <w:b/>
                <w:bCs/>
                <w:color w:val="000000"/>
                <w:spacing w:val="-3"/>
                <w:lang w:eastAsia="hr-HR"/>
              </w:rPr>
              <w:t>(Da/Ne)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Referenca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r w:rsidRPr="009B2E82">
              <w:rPr>
                <w:rFonts w:ascii="Times New Roman" w:hAnsi="Times New Roman" w:cs="Times New Roman"/>
                <w:b/>
                <w:bCs/>
                <w:color w:val="000000"/>
                <w:spacing w:val="6"/>
                <w:lang w:eastAsia="hr-HR"/>
              </w:rPr>
              <w:t>Objašnjenje</w:t>
            </w:r>
          </w:p>
        </w:tc>
      </w:tr>
      <w:tr w:rsidR="009B2E82" w:rsidRPr="009B2E82" w:rsidTr="009B2E82">
        <w:trPr>
          <w:trHeight w:hRule="exact" w:val="394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lang w:eastAsia="hr-HR"/>
              </w:rPr>
              <w:t>sudjelovanje u osposobljavanju za ravnopravnost spolova. Nova Nacionalna politika za ravnopravnost spolova (2016.-2020.) vjerojatno će uključivati ​​sličnu mjeru.</w:t>
            </w:r>
          </w:p>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lang w:eastAsia="hr-HR"/>
              </w:rPr>
              <w:t xml:space="preserve"> </w:t>
            </w:r>
            <w:r w:rsidRPr="009B2E82">
              <w:rPr>
                <w:rFonts w:ascii="Times New Roman" w:hAnsi="Times New Roman" w:cs="Times New Roman"/>
                <w:lang w:eastAsia="hr-HR"/>
              </w:rPr>
              <w:br/>
              <w:t xml:space="preserve">- Osposobljavanje povezano s osnovnim pojmovima, uključujući i pravni okvir za ravnopravnost spolova, osigurao je Ured za ravnopravnost spolova u Državnoj školi za javnu upravu tri puta godišnje, što je ukupno 50-60 osposobljenih javnih službenika godišnje. </w:t>
            </w:r>
          </w:p>
          <w:p w:rsidR="009B2E82" w:rsidRPr="009B2E82" w:rsidRDefault="009B2E82" w:rsidP="009B2E82">
            <w:pPr>
              <w:shd w:val="clear" w:color="auto" w:fill="FFFFFF"/>
              <w:spacing w:line="230" w:lineRule="exact"/>
              <w:jc w:val="both"/>
              <w:rPr>
                <w:rFonts w:ascii="Times New Roman" w:hAnsi="Times New Roman" w:cs="Times New Roman"/>
                <w:lang w:eastAsia="hr-HR"/>
              </w:rPr>
            </w:pPr>
            <w:r w:rsidRPr="009B2E82">
              <w:rPr>
                <w:rFonts w:ascii="Times New Roman" w:hAnsi="Times New Roman" w:cs="Times New Roman"/>
                <w:lang w:eastAsia="hr-HR"/>
              </w:rPr>
              <w:br/>
              <w:t>Posebno prilagođena osposobljavanja zaposlenika uključenih u provedbu ESI fondova još nisu razvijena.</w:t>
            </w:r>
          </w:p>
          <w:p w:rsidR="009B2E82" w:rsidRPr="009B2E82" w:rsidRDefault="009B2E82" w:rsidP="009B2E82">
            <w:pPr>
              <w:shd w:val="clear" w:color="auto" w:fill="FFFFFF"/>
              <w:spacing w:line="230" w:lineRule="exact"/>
              <w:jc w:val="both"/>
              <w:rPr>
                <w:rFonts w:ascii="Times New Roman" w:hAnsi="Times New Roman" w:cs="Times New Roman"/>
                <w:lang w:eastAsia="hr-HR"/>
              </w:rPr>
            </w:pPr>
          </w:p>
        </w:tc>
      </w:tr>
      <w:tr w:rsidR="009B2E82" w:rsidRPr="009B2E82" w:rsidTr="009B2E82">
        <w:trPr>
          <w:trHeight w:hRule="exact" w:val="431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96"/>
              <w:rPr>
                <w:rFonts w:ascii="Times New Roman" w:hAnsi="Times New Roman" w:cs="Times New Roman"/>
                <w:lang w:eastAsia="hr-HR"/>
              </w:rPr>
            </w:pPr>
            <w:r w:rsidRPr="009B2E82">
              <w:rPr>
                <w:rFonts w:ascii="Times New Roman" w:hAnsi="Times New Roman" w:cs="Times New Roman"/>
                <w:lang w:eastAsia="hr-HR"/>
              </w:rPr>
              <w:t xml:space="preserve">G.3 - Postojanje administrativnih kapaciteta za provedbu i primjenu Konvencije Ujedinjenih naroda o pravima osoba s invaliditetom (eng. </w:t>
            </w:r>
            <w:r w:rsidRPr="009B2E82">
              <w:rPr>
                <w:rFonts w:ascii="Times New Roman" w:hAnsi="Times New Roman" w:cs="Times New Roman"/>
                <w:i/>
                <w:lang w:eastAsia="hr-HR"/>
              </w:rPr>
              <w:t>UN</w:t>
            </w:r>
            <w:r w:rsidRPr="009B2E82">
              <w:rPr>
                <w:rFonts w:ascii="Times New Roman" w:hAnsi="Times New Roman" w:cs="Times New Roman"/>
                <w:lang w:eastAsia="hr-HR"/>
              </w:rPr>
              <w:t xml:space="preserve"> </w:t>
            </w:r>
            <w:r w:rsidRPr="009B2E82">
              <w:rPr>
                <w:rFonts w:ascii="Times New Roman" w:eastAsia="Times New Roman" w:hAnsi="Times New Roman" w:cs="Times New Roman"/>
                <w:i/>
                <w:iCs/>
                <w:sz w:val="20"/>
                <w:szCs w:val="20"/>
                <w:lang w:eastAsia="hr-HR"/>
              </w:rPr>
              <w:t xml:space="preserve">Convention on the Rights of Persons with Disabilities, </w:t>
            </w:r>
            <w:r w:rsidRPr="009B2E82">
              <w:rPr>
                <w:rFonts w:ascii="Times New Roman" w:hAnsi="Times New Roman" w:cs="Times New Roman"/>
                <w:lang w:eastAsia="hr-HR"/>
              </w:rPr>
              <w:t>UNCRPD) u području ESI fondova, u skladu s Odlukom Vijeća 2010/48 /EZ.</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53"/>
              <w:rPr>
                <w:rFonts w:ascii="Times New Roman" w:hAnsi="Times New Roman" w:cs="Times New Roman"/>
                <w:lang w:eastAsia="hr-HR"/>
              </w:rPr>
            </w:pPr>
            <w:r w:rsidRPr="009B2E82">
              <w:rPr>
                <w:lang w:eastAsia="hr-HR"/>
              </w:rPr>
              <w:t xml:space="preserve"> </w:t>
            </w:r>
            <w:r w:rsidRPr="009B2E82">
              <w:rPr>
                <w:rFonts w:ascii="Times New Roman" w:hAnsi="Times New Roman" w:cs="Times New Roman"/>
                <w:color w:val="000000"/>
                <w:spacing w:val="-1"/>
                <w:lang w:eastAsia="hr-HR"/>
              </w:rPr>
              <w:t>1 - Sustavi usklađeni s institucionalnim i pravnim okvirom država članica za konzultiranje i uključivanje tijela za zaštitu prava osoba s invaliditetom ili predstavnika organizacija osoba s invaliditetom i drugih relevantnih dionika tijekom pripreme i provedbe programa.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jc w:val="center"/>
              <w:rPr>
                <w:rFonts w:ascii="Times New Roman" w:hAnsi="Times New Roman" w:cs="Times New Roman"/>
                <w:lang w:eastAsia="hr-HR"/>
              </w:rPr>
            </w:pPr>
            <w:r w:rsidRPr="009B2E82">
              <w:rPr>
                <w:rFonts w:ascii="Times New Roman" w:hAnsi="Times New Roman" w:cs="Times New Roman"/>
                <w:bCs/>
                <w:color w:val="00000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rPr>
                <w:rFonts w:ascii="Times New Roman" w:hAnsi="Times New Roman" w:cs="Times New Roman"/>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r w:rsidRPr="009B2E82">
              <w:rPr>
                <w:rFonts w:ascii="Times New Roman" w:hAnsi="Times New Roman" w:cs="Times New Roman"/>
                <w:lang w:eastAsia="hr-HR"/>
              </w:rPr>
              <w:t>Navedeni ex-ante uvjet odnosi se na Investicijski prioritet 9.1. Ulaganje u zdravstvenu i socijalnu infrastrukturu što pridonosi nacionalnom, regionalnom i  lokalnom razvoju, smanjujući nejednakosti u smislu  zdravstvenog statusa,  promičući socijalnu uključenost, kulturne i  rekreativne usluge te prelazak s institucijske skrbi na skrb u zajednici. Vlada Republike Hrvatske je 2007. usvojila Nacionalnu strategiju s ciljem da se dodatno poboljša zaštita prava osoba i djece s invaliditetom, čime bi se ojačalo njihovo ravnopravno sudjelovanje u svim aspektima društva.</w:t>
            </w:r>
          </w:p>
          <w:p w:rsidR="009B2E82" w:rsidRPr="009B2E82" w:rsidRDefault="009B2E82" w:rsidP="009B2E82">
            <w:pPr>
              <w:shd w:val="clear" w:color="auto" w:fill="FFFFFF"/>
              <w:spacing w:line="226" w:lineRule="exact"/>
              <w:ind w:right="10"/>
              <w:jc w:val="both"/>
              <w:rPr>
                <w:rFonts w:ascii="Times New Roman" w:hAnsi="Times New Roman" w:cs="Times New Roman"/>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b/>
                <w:sz w:val="20"/>
                <w:szCs w:val="20"/>
                <w:lang w:eastAsia="hr-HR"/>
              </w:rPr>
            </w:pPr>
            <w:r w:rsidRPr="009B2E82">
              <w:rPr>
                <w:rFonts w:ascii="Times New Roman" w:hAnsi="Times New Roman" w:cs="Times New Roman"/>
                <w:b/>
                <w:sz w:val="20"/>
                <w:szCs w:val="20"/>
                <w:lang w:eastAsia="hr-HR"/>
              </w:rPr>
              <w:lastRenderedPageBreak/>
              <w:br w:type="column"/>
            </w:r>
            <w:r w:rsidRPr="009B2E82">
              <w:rPr>
                <w:rFonts w:ascii="Times New Roman" w:hAnsi="Times New Roman" w:cs="Times New Roman"/>
                <w:b/>
                <w:bCs/>
                <w:color w:val="000000"/>
                <w:spacing w:val="2"/>
                <w:sz w:val="20"/>
                <w:szCs w:val="20"/>
                <w:lang w:eastAsia="hr-HR"/>
              </w:rPr>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6"/>
                <w:sz w:val="20"/>
                <w:szCs w:val="20"/>
                <w:lang w:eastAsia="hr-HR"/>
              </w:rPr>
              <w:t>Objašnjenje</w:t>
            </w:r>
          </w:p>
        </w:tc>
      </w:tr>
      <w:tr w:rsidR="009B2E82" w:rsidRPr="009B2E82" w:rsidTr="009B2E82">
        <w:trPr>
          <w:trHeight w:hRule="exact" w:val="173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Za razdoblje 2016. - 2020. usvojit će se nova Nacionalna strategija izjednačavanja mogućnosti za osobe s invaliditetom i odgovarajući operativni plan.</w:t>
            </w:r>
          </w:p>
        </w:tc>
      </w:tr>
      <w:tr w:rsidR="009B2E82" w:rsidRPr="009B2E82" w:rsidTr="009B2E82">
        <w:trPr>
          <w:trHeight w:hRule="exact" w:val="291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9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G.3 - Postojanje administrativnih kapaciteta za provedbu i primjenu Konvencije Ujedinjenih naroda o pravima osoba s invaliditetom (UNCRPD) u području ESI fondova, u skladu s Odlukom Vijeća 2010/48/EZ</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4"/>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2 – Mjere za osposobljavanje osoblja tijela uključenih u upravljanje i kontrolu ESI fondova na područjima mjerodavnih zakona i politika EU-a i Hrvatske o pravima osoba s invaliditetom i praktične primjene UNCRPD-a, kako je navedeno u mjerodavnim zakonima EU-a i države. </w:t>
            </w:r>
          </w:p>
          <w:p w:rsidR="009B2E82" w:rsidRPr="009B2E82" w:rsidRDefault="009B2E82" w:rsidP="009B2E82">
            <w:pPr>
              <w:widowControl w:val="0"/>
              <w:shd w:val="clear" w:color="auto" w:fill="FFFFFF"/>
              <w:autoSpaceDE w:val="0"/>
              <w:autoSpaceDN w:val="0"/>
              <w:adjustRightInd w:val="0"/>
              <w:spacing w:after="0" w:line="230" w:lineRule="exact"/>
              <w:ind w:right="14"/>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Operativni plan uključivat će neprestanu, specifičnu i tematsku obuku i druge oblike dijeljenja informacija vezano uz državna i javna tijela koja su nadležna za UNCRPD, a koja sudjeluju u provedbi operativnog plana kao i u upravljanju i kontroli ESI fondova</w:t>
            </w:r>
            <w:r w:rsidRPr="009B2E82">
              <w:rPr>
                <w:rFonts w:ascii="Times New Roman" w:eastAsia="Times New Roman" w:hAnsi="Times New Roman" w:cs="Times New Roman"/>
                <w:color w:val="000000"/>
                <w:spacing w:val="-1"/>
                <w:sz w:val="20"/>
                <w:szCs w:val="20"/>
                <w:lang w:eastAsia="hr-HR"/>
              </w:rPr>
              <w:t>.</w:t>
            </w:r>
          </w:p>
        </w:tc>
      </w:tr>
      <w:tr w:rsidR="009B2E82" w:rsidRPr="009B2E82" w:rsidTr="009B2E82">
        <w:trPr>
          <w:trHeight w:hRule="exact" w:val="345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9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G.3 - Postojanje administrativnih kapaciteta za provedbu i primjenu Konvencije Ujedinjenih naroda o pravima osoba s invaliditetom (UNCRPD) u području ESI fondova, u skladu s Odlukom Vijeća 2010/48/EZ</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9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 Mjere kojima će se osigurati praćenje provedbe članka 9. UNCRPD-a u odnosu na ESI fondove tijekom pripreme i provedbe programa.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Ne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6"/>
                <w:sz w:val="20"/>
                <w:szCs w:val="20"/>
                <w:lang w:eastAsia="hr-HR"/>
              </w:rPr>
              <w:t>Ministarstvo socijalne politike i mladih (MSPM) zaduženo je za praćenje i provedbu Nacionalne strategije i operativnog plana (ako je usvojen), koji uključuju obveze u svezi s člankom 9. UNCRPD-a.</w:t>
            </w:r>
          </w:p>
          <w:p w:rsidR="009B2E82" w:rsidRPr="009B2E82" w:rsidRDefault="009B2E82" w:rsidP="009B2E82">
            <w:pPr>
              <w:widowControl w:val="0"/>
              <w:shd w:val="clear" w:color="auto" w:fill="FFFFFF"/>
              <w:autoSpaceDE w:val="0"/>
              <w:autoSpaceDN w:val="0"/>
              <w:adjustRightInd w:val="0"/>
              <w:spacing w:after="0" w:line="230" w:lineRule="exact"/>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Operativni plan će uključivati </w:t>
            </w:r>
            <w:r w:rsidRPr="009B2E82">
              <w:rPr>
                <w:rFonts w:ascii="Cambria Math" w:eastAsia="Times New Roman" w:hAnsi="Cambria Math" w:cs="Cambria Math"/>
                <w:color w:val="000000"/>
                <w:sz w:val="20"/>
                <w:szCs w:val="20"/>
                <w:lang w:eastAsia="hr-HR"/>
              </w:rPr>
              <w:t>​​</w:t>
            </w:r>
            <w:r w:rsidRPr="009B2E82">
              <w:rPr>
                <w:rFonts w:ascii="Times New Roman" w:eastAsia="Times New Roman" w:hAnsi="Times New Roman" w:cs="Times New Roman"/>
                <w:color w:val="000000"/>
                <w:sz w:val="20"/>
                <w:szCs w:val="20"/>
                <w:lang w:eastAsia="hr-HR"/>
              </w:rPr>
              <w:t xml:space="preserve">aktivnosti koje će biti sufinancirane kroz ESI fondove kao što je planirano od strane svakog odgovornog i provedbenog tijela, koje će na godišnjoj osnovi izvještavati </w:t>
            </w:r>
            <w:r w:rsidRPr="009B2E82">
              <w:rPr>
                <w:rFonts w:ascii="Cambria Math" w:eastAsia="Times New Roman" w:hAnsi="Cambria Math" w:cs="Cambria Math"/>
                <w:color w:val="000000"/>
                <w:sz w:val="20"/>
                <w:szCs w:val="20"/>
                <w:lang w:eastAsia="hr-HR"/>
              </w:rPr>
              <w:t>​​</w:t>
            </w:r>
            <w:r w:rsidRPr="009B2E82">
              <w:rPr>
                <w:rFonts w:ascii="Times New Roman" w:eastAsia="Times New Roman" w:hAnsi="Times New Roman" w:cs="Times New Roman"/>
                <w:color w:val="000000"/>
                <w:sz w:val="20"/>
                <w:szCs w:val="20"/>
                <w:lang w:eastAsia="hr-HR"/>
              </w:rPr>
              <w:t xml:space="preserve">MSPM </w:t>
            </w:r>
            <w:r w:rsidRPr="009B2E82">
              <w:rPr>
                <w:rFonts w:ascii="Times New Roman" w:eastAsia="Times New Roman" w:hAnsi="Times New Roman" w:cs="Times New Roman"/>
                <w:sz w:val="20"/>
                <w:szCs w:val="20"/>
                <w:lang w:eastAsia="hr-HR"/>
              </w:rPr>
              <w:t xml:space="preserve">o ispunjavanju svojih obveza, uključujući obveze u odnosu na članak 9. UNCRPD-a.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b/>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186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MSPM će se referirati na relevantno EU i nacionalno zakonodavstvo prilikom pristupanja ispunjenju svojih obveza.</w:t>
            </w:r>
          </w:p>
        </w:tc>
      </w:tr>
      <w:tr w:rsidR="009B2E82" w:rsidRPr="009B2E82" w:rsidTr="009B2E82">
        <w:trPr>
          <w:trHeight w:hRule="exact" w:val="578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86"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G.4 - Postojanje </w:t>
            </w:r>
            <w:r w:rsidRPr="009B2E82">
              <w:rPr>
                <w:rFonts w:ascii="Times New Roman" w:eastAsia="Times New Roman" w:hAnsi="Times New Roman" w:cs="Times New Roman"/>
                <w:color w:val="000000"/>
                <w:spacing w:val="1"/>
                <w:sz w:val="20"/>
                <w:szCs w:val="20"/>
                <w:lang w:eastAsia="hr-HR"/>
              </w:rPr>
              <w:t xml:space="preserve">mjera </w:t>
            </w:r>
            <w:r w:rsidRPr="009B2E82">
              <w:rPr>
                <w:rFonts w:ascii="Times New Roman" w:eastAsia="Times New Roman" w:hAnsi="Times New Roman" w:cs="Times New Roman"/>
                <w:color w:val="000000"/>
                <w:spacing w:val="-1"/>
                <w:sz w:val="20"/>
                <w:szCs w:val="20"/>
                <w:lang w:eastAsia="hr-HR"/>
              </w:rPr>
              <w:t>za učinkovitu primjenu zakona o javnoj nabavi Europske unije u području ESI fondova</w:t>
            </w:r>
          </w:p>
          <w:p w:rsidR="009B2E82" w:rsidRPr="009B2E82" w:rsidRDefault="009B2E82" w:rsidP="009B2E82">
            <w:pPr>
              <w:widowControl w:val="0"/>
              <w:shd w:val="clear" w:color="auto" w:fill="FFFFFF"/>
              <w:autoSpaceDE w:val="0"/>
              <w:autoSpaceDN w:val="0"/>
              <w:adjustRightInd w:val="0"/>
              <w:spacing w:after="0" w:line="230" w:lineRule="exact"/>
              <w:ind w:left="5" w:right="86" w:firstLine="5"/>
              <w:rPr>
                <w:rFonts w:ascii="Times New Roman" w:eastAsia="Times New Roman" w:hAnsi="Times New Roman" w:cs="Times New Roman"/>
                <w:color w:val="000000"/>
                <w:spacing w:val="-1"/>
                <w:sz w:val="20"/>
                <w:szCs w:val="20"/>
                <w:lang w:eastAsia="hr-HR"/>
              </w:rPr>
            </w:pPr>
          </w:p>
          <w:p w:rsidR="009B2E82" w:rsidRPr="009B2E82" w:rsidRDefault="009B2E82" w:rsidP="009B2E82">
            <w:pPr>
              <w:widowControl w:val="0"/>
              <w:shd w:val="clear" w:color="auto" w:fill="FFFFFF"/>
              <w:autoSpaceDE w:val="0"/>
              <w:autoSpaceDN w:val="0"/>
              <w:adjustRightInd w:val="0"/>
              <w:spacing w:after="0" w:line="230" w:lineRule="exact"/>
              <w:ind w:left="5" w:right="86" w:firstLine="5"/>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68" w:firstLine="14"/>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1 – Mjere za učinkovito provođenje pravila Europske unije o nabavi kroz odgovarajuće mehanizme. </w:t>
            </w:r>
          </w:p>
          <w:p w:rsidR="009B2E82" w:rsidRPr="009B2E82" w:rsidRDefault="009B2E82" w:rsidP="009B2E82">
            <w:pPr>
              <w:widowControl w:val="0"/>
              <w:shd w:val="clear" w:color="auto" w:fill="FFFFFF"/>
              <w:autoSpaceDE w:val="0"/>
              <w:autoSpaceDN w:val="0"/>
              <w:adjustRightInd w:val="0"/>
              <w:spacing w:after="0" w:line="230" w:lineRule="exact"/>
              <w:ind w:right="168" w:firstLine="14"/>
              <w:rPr>
                <w:rFonts w:ascii="Times New Roman" w:eastAsia="Times New Roman" w:hAnsi="Times New Roman" w:cs="Times New Roman"/>
                <w:color w:val="000000"/>
                <w:spacing w:val="-1"/>
                <w:sz w:val="20"/>
                <w:szCs w:val="20"/>
                <w:lang w:eastAsia="hr-HR"/>
              </w:rPr>
            </w:pPr>
          </w:p>
          <w:p w:rsidR="009B2E82" w:rsidRPr="009B2E82" w:rsidRDefault="009B2E82" w:rsidP="009B2E82">
            <w:pPr>
              <w:widowControl w:val="0"/>
              <w:shd w:val="clear" w:color="auto" w:fill="FFFFFF"/>
              <w:autoSpaceDE w:val="0"/>
              <w:autoSpaceDN w:val="0"/>
              <w:adjustRightInd w:val="0"/>
              <w:spacing w:after="0" w:line="230" w:lineRule="exact"/>
              <w:ind w:right="168" w:firstLine="14"/>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20"/>
                <w:szCs w:val="20"/>
                <w:lang w:eastAsia="hr-HR"/>
              </w:rPr>
              <w:t xml:space="preserve">• Zakon o javnoj nabavi (NN </w:t>
            </w:r>
            <w:r w:rsidRPr="009B2E82">
              <w:rPr>
                <w:rFonts w:ascii="Times New Roman" w:eastAsia="Times New Roman" w:hAnsi="Times New Roman" w:cs="Times New Roman"/>
                <w:color w:val="000000"/>
                <w:spacing w:val="-1"/>
                <w:sz w:val="20"/>
                <w:szCs w:val="20"/>
                <w:lang w:eastAsia="hr-HR"/>
              </w:rPr>
              <w:t xml:space="preserve">90/11,  83/13,143/13, </w:t>
            </w:r>
            <w:r w:rsidRPr="009B2E82">
              <w:rPr>
                <w:rFonts w:ascii="Times New Roman" w:eastAsia="Times New Roman" w:hAnsi="Times New Roman" w:cs="Times New Roman"/>
                <w:bCs/>
                <w:color w:val="000000"/>
                <w:spacing w:val="-1"/>
                <w:sz w:val="20"/>
                <w:szCs w:val="20"/>
                <w:lang w:eastAsia="hr-HR"/>
              </w:rPr>
              <w:t>13/14)</w:t>
            </w:r>
            <w:r w:rsidRPr="009B2E82">
              <w:rPr>
                <w:rFonts w:ascii="Times New Roman" w:eastAsia="Times New Roman" w:hAnsi="Times New Roman" w:cs="Times New Roman"/>
                <w:b/>
                <w:bCs/>
                <w:color w:val="000000"/>
                <w:spacing w:val="-1"/>
                <w:sz w:val="20"/>
                <w:szCs w:val="20"/>
                <w:lang w:eastAsia="hr-HR"/>
              </w:rPr>
              <w:t xml:space="preserve"> </w:t>
            </w:r>
            <w:r w:rsidRPr="009B2E82">
              <w:rPr>
                <w:rFonts w:ascii="Times New Roman" w:eastAsia="Times New Roman" w:hAnsi="Times New Roman" w:cs="Times New Roman"/>
                <w:color w:val="000000"/>
                <w:spacing w:val="-1"/>
                <w:sz w:val="20"/>
                <w:szCs w:val="20"/>
                <w:lang w:eastAsia="hr-HR"/>
              </w:rPr>
              <w:t>-</w:t>
            </w:r>
            <w:r w:rsidRPr="009B2E82">
              <w:rPr>
                <w:rFonts w:ascii="Times New Roman" w:eastAsia="Times New Roman" w:hAnsi="Times New Roman" w:cs="Times New Roman"/>
                <w:color w:val="000000"/>
                <w:spacing w:val="-3"/>
                <w:sz w:val="20"/>
                <w:szCs w:val="20"/>
                <w:lang w:eastAsia="hr-HR"/>
              </w:rPr>
              <w:t>vidi članak 2.</w:t>
            </w:r>
          </w:p>
          <w:p w:rsidR="009B2E82" w:rsidRPr="009B2E82" w:rsidRDefault="009B2E82" w:rsidP="009B2E82">
            <w:pPr>
              <w:widowControl w:val="0"/>
              <w:shd w:val="clear" w:color="auto" w:fill="FFFFFF"/>
              <w:autoSpaceDE w:val="0"/>
              <w:autoSpaceDN w:val="0"/>
              <w:adjustRightInd w:val="0"/>
              <w:spacing w:after="0" w:line="274"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6"/>
                <w:sz w:val="20"/>
                <w:szCs w:val="20"/>
                <w:lang w:eastAsia="hr-HR"/>
              </w:rPr>
              <w:t>• Zakon o Državnoj komisiji za kontrolu postupaka javne nabave</w:t>
            </w:r>
            <w:r w:rsidRPr="009B2E82">
              <w:rPr>
                <w:rFonts w:ascii="Times New Roman" w:eastAsia="Times New Roman" w:hAnsi="Times New Roman" w:cs="Times New Roman"/>
                <w:color w:val="000000"/>
                <w:sz w:val="20"/>
                <w:szCs w:val="20"/>
                <w:lang w:eastAsia="hr-HR"/>
              </w:rPr>
              <w:t xml:space="preserve">  (NN </w:t>
            </w:r>
            <w:r w:rsidRPr="009B2E82">
              <w:rPr>
                <w:rFonts w:ascii="Times New Roman" w:eastAsia="Times New Roman" w:hAnsi="Times New Roman" w:cs="Times New Roman"/>
                <w:color w:val="000000"/>
                <w:spacing w:val="-2"/>
                <w:sz w:val="20"/>
                <w:szCs w:val="20"/>
                <w:lang w:eastAsia="hr-HR"/>
              </w:rPr>
              <w:t>18/13, 127/13), čl. 2.</w:t>
            </w:r>
          </w:p>
          <w:p w:rsidR="009B2E82" w:rsidRPr="009B2E82" w:rsidRDefault="009B2E82" w:rsidP="009B2E82">
            <w:pPr>
              <w:widowControl w:val="0"/>
              <w:shd w:val="clear" w:color="auto" w:fill="FFFFFF"/>
              <w:autoSpaceDE w:val="0"/>
              <w:autoSpaceDN w:val="0"/>
              <w:adjustRightInd w:val="0"/>
              <w:spacing w:after="0" w:line="274"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Zakon o javno-privatnom partnerstvu</w:t>
            </w:r>
            <w:r w:rsidRPr="009B2E82">
              <w:rPr>
                <w:rFonts w:ascii="Times New Roman" w:eastAsia="Times New Roman" w:hAnsi="Times New Roman" w:cs="Times New Roman"/>
                <w:color w:val="000000"/>
                <w:sz w:val="20"/>
                <w:szCs w:val="20"/>
                <w:lang w:eastAsia="hr-HR"/>
              </w:rPr>
              <w:t xml:space="preserve"> (NN 78/12)</w:t>
            </w:r>
          </w:p>
          <w:p w:rsidR="009B2E82" w:rsidRPr="009B2E82" w:rsidRDefault="009B2E82" w:rsidP="009B2E82">
            <w:pPr>
              <w:widowControl w:val="0"/>
              <w:shd w:val="clear" w:color="auto" w:fill="FFFFFF"/>
              <w:autoSpaceDE w:val="0"/>
              <w:autoSpaceDN w:val="0"/>
              <w:adjustRightInd w:val="0"/>
              <w:spacing w:after="0" w:line="278"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Uredba o javnoj nabavi za potrebe obrane i sigurnosti (NN 89/12)</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 </w:t>
            </w:r>
            <w:r w:rsidRPr="009B2E82">
              <w:rPr>
                <w:rFonts w:ascii="Times New Roman" w:eastAsia="Times New Roman" w:hAnsi="Times New Roman" w:cs="Times New Roman"/>
                <w:iCs/>
                <w:color w:val="000000"/>
                <w:spacing w:val="-2"/>
                <w:sz w:val="20"/>
                <w:szCs w:val="20"/>
                <w:lang w:eastAsia="hr-HR"/>
              </w:rPr>
              <w:t xml:space="preserve">Uredba o načinu izrade i postupanju s dokumentacijom za nadmetanje i ponudama </w:t>
            </w:r>
            <w:r w:rsidRPr="009B2E82">
              <w:rPr>
                <w:rFonts w:ascii="Times New Roman" w:eastAsia="Times New Roman" w:hAnsi="Times New Roman" w:cs="Times New Roman"/>
                <w:color w:val="000000"/>
                <w:spacing w:val="-2"/>
                <w:sz w:val="20"/>
                <w:szCs w:val="20"/>
                <w:lang w:eastAsia="hr-HR"/>
              </w:rPr>
              <w:t>(NN 10/12)</w:t>
            </w:r>
          </w:p>
          <w:p w:rsidR="009B2E82" w:rsidRPr="009B2E82" w:rsidRDefault="009B2E82" w:rsidP="009B2E82">
            <w:pPr>
              <w:widowControl w:val="0"/>
              <w:shd w:val="clear" w:color="auto" w:fill="FFFFFF"/>
              <w:autoSpaceDE w:val="0"/>
              <w:autoSpaceDN w:val="0"/>
              <w:adjustRightInd w:val="0"/>
              <w:spacing w:after="0" w:line="274" w:lineRule="exact"/>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hanging="5"/>
              <w:jc w:val="both"/>
              <w:rPr>
                <w:rFonts w:ascii="Times New Roman" w:eastAsia="Times New Roman" w:hAnsi="Times New Roman" w:cs="Times New Roman"/>
                <w:color w:val="000000"/>
                <w:spacing w:val="12"/>
                <w:sz w:val="20"/>
                <w:szCs w:val="20"/>
                <w:lang w:eastAsia="hr-HR"/>
              </w:rPr>
            </w:pPr>
            <w:r w:rsidRPr="009B2E82">
              <w:rPr>
                <w:rFonts w:ascii="Times New Roman" w:eastAsia="Times New Roman" w:hAnsi="Times New Roman" w:cs="Times New Roman"/>
                <w:color w:val="000000"/>
                <w:spacing w:val="12"/>
                <w:sz w:val="20"/>
                <w:szCs w:val="20"/>
                <w:lang w:eastAsia="hr-HR"/>
              </w:rPr>
              <w:t xml:space="preserve">Postavljen je institucionalni okvir za učinkovitu provedbu javne nabave. </w:t>
            </w:r>
          </w:p>
          <w:p w:rsidR="009B2E82" w:rsidRPr="009B2E82" w:rsidRDefault="009B2E82" w:rsidP="009B2E82">
            <w:pPr>
              <w:widowControl w:val="0"/>
              <w:shd w:val="clear" w:color="auto" w:fill="FFFFFF"/>
              <w:autoSpaceDE w:val="0"/>
              <w:autoSpaceDN w:val="0"/>
              <w:adjustRightInd w:val="0"/>
              <w:spacing w:after="0" w:line="226" w:lineRule="exact"/>
              <w:ind w:left="-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2"/>
                <w:sz w:val="20"/>
                <w:szCs w:val="20"/>
                <w:lang w:eastAsia="hr-HR"/>
              </w:rPr>
              <w:t>Sustav nabave kontrolira provedbu Zakona o javnoj nabavi (JN) (ex post kontrole, čime se ne zaustavlja postupak JN-a). Svaka pravna ili fizička osoba (čak i anonimno) ili državno tijelo može se uključiti u postupak. Ako se pronađu nepravilnosti, Ministarstvo gospodarstva može pokrenuti prekršajni postupak pred nadležnim prekršajnim sudom</w:t>
            </w:r>
            <w:r w:rsidRPr="009B2E82">
              <w:rPr>
                <w:rFonts w:ascii="Times New Roman" w:eastAsia="Times New Roman" w:hAnsi="Times New Roman" w:cs="Times New Roman"/>
                <w:color w:val="000000"/>
                <w:sz w:val="20"/>
                <w:szCs w:val="20"/>
                <w:lang w:eastAsia="hr-HR"/>
              </w:rPr>
              <w:t xml:space="preserve">. I ugovorno tijelo i  naručitelj imaju obvezu objaviti svoje planove o javnoj nabavi (predmet nabave procijenjene vrijednosti koja je jednaka ili veća od 20.000 kuna) i registre svojih ugovora na svojoj web stranici i poslati linkove Ministarstvu gospodarstva koje ih objavljuje na Portalu javne nabave -www.javnanabava.hr </w:t>
            </w:r>
            <w:r w:rsidRPr="009B2E82">
              <w:rPr>
                <w:rFonts w:ascii="Times New Roman" w:eastAsia="Times New Roman" w:hAnsi="Times New Roman" w:cs="Times New Roman"/>
                <w:color w:val="000000"/>
                <w:sz w:val="20"/>
                <w:szCs w:val="20"/>
                <w:lang w:eastAsia="hr-HR"/>
              </w:rPr>
              <w:br/>
            </w:r>
          </w:p>
          <w:p w:rsidR="009B2E82" w:rsidRPr="009B2E82" w:rsidRDefault="009B2E82" w:rsidP="009B2E82">
            <w:pPr>
              <w:widowControl w:val="0"/>
              <w:shd w:val="clear" w:color="auto" w:fill="FFFFFF"/>
              <w:autoSpaceDE w:val="0"/>
              <w:autoSpaceDN w:val="0"/>
              <w:adjustRightInd w:val="0"/>
              <w:spacing w:after="0" w:line="240" w:lineRule="auto"/>
              <w:jc w:val="both"/>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245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Arial" w:eastAsia="Times New Roman" w:hAnsi="Arial" w:cs="Arial"/>
                <w:sz w:val="20"/>
                <w:szCs w:val="20"/>
                <w:lang w:eastAsia="hr-HR"/>
              </w:rPr>
              <w:br/>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83"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Uredba o objavama javne nabave (NN 10/12)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Ugovorno tijelo/naručitelj u otvorenom postupku (89% od svih postupaka provedenih u 2012.) moraju objaviti natječajnu dokumentaciju u elektroničkom obliku u Elektroničkom oglasniku javne nabave. U svim postupcima javne nabave koje provodi Državni ured za središnju javnu nabavu (središnji ured za nabavu) od 1. siječnja 2014.</w:t>
            </w:r>
          </w:p>
        </w:tc>
      </w:tr>
      <w:tr w:rsidR="009B2E82" w:rsidRPr="009B2E82" w:rsidTr="009B2E82">
        <w:trPr>
          <w:trHeight w:hRule="exact" w:val="545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8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G.4 - Postojanje mjera za učinkovitu primjenu zakona o javnoj nabavi Europske unije u području ESI fondova</w:t>
            </w:r>
            <w:r w:rsidRPr="009B2E82">
              <w:rPr>
                <w:rFonts w:ascii="Times New Roman" w:eastAsia="Times New Roman" w:hAnsi="Times New Roman" w:cs="Times New Roman"/>
                <w:color w:val="000000"/>
                <w:spacing w:val="-1"/>
                <w:sz w:val="20"/>
                <w:szCs w:val="20"/>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58"/>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 xml:space="preserve">2 – Mjere kojima se omogućuje transparenta dodjela ugovora </w:t>
            </w:r>
          </w:p>
          <w:p w:rsidR="009B2E82" w:rsidRPr="009B2E82" w:rsidRDefault="009B2E82" w:rsidP="009B2E82">
            <w:pPr>
              <w:widowControl w:val="0"/>
              <w:shd w:val="clear" w:color="auto" w:fill="FFFFFF"/>
              <w:autoSpaceDE w:val="0"/>
              <w:autoSpaceDN w:val="0"/>
              <w:adjustRightInd w:val="0"/>
              <w:spacing w:after="0" w:line="230" w:lineRule="exact"/>
              <w:ind w:right="158"/>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ind w:hanging="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EU  Direktive o javnoj nabavi prenesene   na hrvatsko zakonodavstvo putem</w:t>
            </w:r>
            <w:r w:rsidRPr="009B2E82">
              <w:rPr>
                <w:rFonts w:ascii="Times New Roman" w:eastAsia="Times New Roman" w:hAnsi="Times New Roman" w:cs="Times New Roman"/>
                <w:color w:val="000000"/>
                <w:spacing w:val="-1"/>
                <w:sz w:val="20"/>
                <w:szCs w:val="20"/>
                <w:lang w:eastAsia="hr-HR"/>
              </w:rPr>
              <w:t>:</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20"/>
                <w:szCs w:val="20"/>
                <w:lang w:eastAsia="hr-HR"/>
              </w:rPr>
              <w:t xml:space="preserve">• Zakona o javnoj nabavi (NN </w:t>
            </w:r>
            <w:r w:rsidRPr="009B2E82">
              <w:rPr>
                <w:rFonts w:ascii="Times New Roman" w:eastAsia="Times New Roman" w:hAnsi="Times New Roman" w:cs="Times New Roman"/>
                <w:color w:val="000000"/>
                <w:spacing w:val="2"/>
                <w:sz w:val="20"/>
                <w:szCs w:val="20"/>
                <w:lang w:eastAsia="hr-HR"/>
              </w:rPr>
              <w:t xml:space="preserve">90/11, 83/13, </w:t>
            </w:r>
            <w:r w:rsidRPr="009B2E82">
              <w:rPr>
                <w:rFonts w:ascii="Times New Roman" w:eastAsia="Times New Roman" w:hAnsi="Times New Roman" w:cs="Times New Roman"/>
                <w:color w:val="000000"/>
                <w:spacing w:val="4"/>
                <w:sz w:val="20"/>
                <w:szCs w:val="20"/>
                <w:lang w:eastAsia="hr-HR"/>
              </w:rPr>
              <w:t>143/13, 13/14) - vidi čl. 2.</w:t>
            </w:r>
          </w:p>
          <w:p w:rsidR="009B2E82" w:rsidRPr="009B2E82" w:rsidRDefault="009B2E82" w:rsidP="009B2E82">
            <w:pPr>
              <w:widowControl w:val="0"/>
              <w:shd w:val="clear" w:color="auto" w:fill="FFFFFF"/>
              <w:autoSpaceDE w:val="0"/>
              <w:autoSpaceDN w:val="0"/>
              <w:adjustRightInd w:val="0"/>
              <w:spacing w:after="0" w:line="274" w:lineRule="exact"/>
              <w:rPr>
                <w:rFonts w:ascii="Times New Roman" w:eastAsia="Times New Roman" w:hAnsi="Times New Roman" w:cs="Times New Roman"/>
                <w:color w:val="000000"/>
                <w:spacing w:val="-3"/>
                <w:sz w:val="20"/>
                <w:szCs w:val="20"/>
                <w:lang w:eastAsia="hr-HR"/>
              </w:rPr>
            </w:pPr>
            <w:r w:rsidRPr="009B2E82">
              <w:rPr>
                <w:rFonts w:ascii="Times New Roman" w:eastAsia="Times New Roman" w:hAnsi="Times New Roman" w:cs="Times New Roman"/>
                <w:color w:val="000000"/>
                <w:spacing w:val="6"/>
                <w:sz w:val="20"/>
                <w:szCs w:val="20"/>
                <w:lang w:eastAsia="hr-HR"/>
              </w:rPr>
              <w:t xml:space="preserve">• Zakona o Državnoj komisiji za kontrolu postupaka javne nabave </w:t>
            </w:r>
            <w:r w:rsidRPr="009B2E82">
              <w:rPr>
                <w:rFonts w:ascii="Times New Roman" w:eastAsia="Times New Roman" w:hAnsi="Times New Roman" w:cs="Times New Roman"/>
                <w:color w:val="000000"/>
                <w:sz w:val="20"/>
                <w:szCs w:val="20"/>
                <w:lang w:eastAsia="hr-HR"/>
              </w:rPr>
              <w:t xml:space="preserve">(NN </w:t>
            </w:r>
            <w:r w:rsidRPr="009B2E82">
              <w:rPr>
                <w:rFonts w:ascii="Times New Roman" w:eastAsia="Times New Roman" w:hAnsi="Times New Roman" w:cs="Times New Roman"/>
                <w:color w:val="000000"/>
                <w:spacing w:val="1"/>
                <w:sz w:val="20"/>
                <w:szCs w:val="20"/>
                <w:lang w:eastAsia="hr-HR"/>
              </w:rPr>
              <w:t xml:space="preserve">18/13, 127/13) - </w:t>
            </w:r>
            <w:r w:rsidRPr="009B2E82">
              <w:rPr>
                <w:rFonts w:ascii="Times New Roman" w:eastAsia="Times New Roman" w:hAnsi="Times New Roman" w:cs="Times New Roman"/>
                <w:color w:val="000000"/>
                <w:spacing w:val="-3"/>
                <w:sz w:val="20"/>
                <w:szCs w:val="20"/>
                <w:lang w:eastAsia="hr-HR"/>
              </w:rPr>
              <w:t>vidi čl. 2.</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  Zakon o javno-privatnom </w:t>
            </w:r>
            <w:r w:rsidRPr="009B2E82">
              <w:rPr>
                <w:rFonts w:ascii="Times New Roman" w:eastAsia="Times New Roman" w:hAnsi="Times New Roman" w:cs="Times New Roman"/>
                <w:color w:val="000000"/>
                <w:sz w:val="20"/>
                <w:szCs w:val="20"/>
                <w:lang w:eastAsia="hr-HR"/>
              </w:rPr>
              <w:t>partnerstvu (NN 78/12)</w:t>
            </w:r>
          </w:p>
          <w:p w:rsidR="009B2E82" w:rsidRPr="009B2E82" w:rsidRDefault="009B2E82" w:rsidP="009B2E82">
            <w:pPr>
              <w:widowControl w:val="0"/>
              <w:shd w:val="clear" w:color="auto" w:fill="FFFFFF"/>
              <w:autoSpaceDE w:val="0"/>
              <w:autoSpaceDN w:val="0"/>
              <w:adjustRightInd w:val="0"/>
              <w:spacing w:after="0" w:line="557" w:lineRule="exact"/>
              <w:ind w:firstLine="10"/>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Zakon o javnoj nabavi (ZJN) propisuje da sve objave o javnoj nabavi, za nabave čija je procijenjena vrijednost iznad nacionalnog praga, moraju biti objavljene u Elektroničkom oglasniku javne nabave Republike Hrvatske (EOJN</w:t>
            </w:r>
            <w:r w:rsidRPr="009B2E82">
              <w:rPr>
                <w:rFonts w:ascii="Times New Roman" w:eastAsia="Times New Roman" w:hAnsi="Times New Roman" w:cs="Times New Roman"/>
                <w:color w:val="000000"/>
                <w:sz w:val="20"/>
                <w:szCs w:val="20"/>
                <w:lang w:eastAsia="hr-HR"/>
              </w:rPr>
              <w:t>) - https://eojn.nn.hr/Oglasnik/</w:t>
            </w:r>
          </w:p>
          <w:p w:rsidR="009B2E82" w:rsidRPr="009B2E82" w:rsidRDefault="009B2E82" w:rsidP="009B2E82">
            <w:pPr>
              <w:widowControl w:val="0"/>
              <w:shd w:val="clear" w:color="auto" w:fill="FFFFFF"/>
              <w:autoSpaceDE w:val="0"/>
              <w:autoSpaceDN w:val="0"/>
              <w:adjustRightInd w:val="0"/>
              <w:spacing w:after="0" w:line="226" w:lineRule="exact"/>
              <w:ind w:right="10"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Hrvatski nacionalni prag je postavljen na 200.000 kuna za robu i usluge i 500.000 kuna za radove. ZJN se ne primjenjuje na</w:t>
            </w:r>
            <w:r w:rsidRPr="009B2E82" w:rsidDel="003028B6">
              <w:rPr>
                <w:rFonts w:ascii="Times New Roman" w:eastAsia="Times New Roman" w:hAnsi="Times New Roman" w:cs="Times New Roman"/>
                <w:color w:val="000000"/>
                <w:spacing w:val="3"/>
                <w:sz w:val="20"/>
                <w:szCs w:val="20"/>
                <w:lang w:eastAsia="hr-HR"/>
              </w:rPr>
              <w:t xml:space="preserve"> </w:t>
            </w:r>
            <w:r w:rsidRPr="009B2E82">
              <w:rPr>
                <w:rFonts w:ascii="Times New Roman" w:eastAsia="Times New Roman" w:hAnsi="Times New Roman" w:cs="Times New Roman"/>
                <w:color w:val="000000"/>
                <w:spacing w:val="3"/>
                <w:sz w:val="20"/>
                <w:szCs w:val="20"/>
                <w:lang w:eastAsia="hr-HR"/>
              </w:rPr>
              <w:t xml:space="preserve">iznose manje od navedenih, ali svako ugovorno tijelo/naručitelj mora imati svoje interne pravilnike o pitanjima nabave. </w:t>
            </w:r>
            <w:r w:rsidRPr="009B2E82">
              <w:rPr>
                <w:rFonts w:ascii="Times New Roman" w:eastAsia="Times New Roman" w:hAnsi="Times New Roman" w:cs="Times New Roman"/>
                <w:color w:val="000000"/>
                <w:sz w:val="20"/>
                <w:szCs w:val="20"/>
                <w:lang w:eastAsia="hr-HR"/>
              </w:rPr>
              <w:t>Uglavnom, jedina razlika u postupcima javne nabave između (iznad) nacionalnih pragova i (ispod) pragova EU-a je u kraćim rokovima za dostavu ponuda i podnošenje žalbi.</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329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8"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Uredba o javnoj nabavi za potrebe obrane i sigurnosti (NN 89/12)</w:t>
            </w:r>
          </w:p>
          <w:p w:rsidR="009B2E82" w:rsidRPr="009B2E82" w:rsidRDefault="009B2E82" w:rsidP="009B2E82">
            <w:pPr>
              <w:widowControl w:val="0"/>
              <w:shd w:val="clear" w:color="auto" w:fill="FFFFFF"/>
              <w:autoSpaceDE w:val="0"/>
              <w:autoSpaceDN w:val="0"/>
              <w:adjustRightInd w:val="0"/>
              <w:spacing w:after="0" w:line="274"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 </w:t>
            </w:r>
            <w:r w:rsidRPr="009B2E82">
              <w:rPr>
                <w:rFonts w:ascii="Times New Roman" w:eastAsia="Times New Roman" w:hAnsi="Times New Roman" w:cs="Times New Roman"/>
                <w:iCs/>
                <w:color w:val="000000"/>
                <w:spacing w:val="-2"/>
                <w:sz w:val="20"/>
                <w:szCs w:val="20"/>
                <w:lang w:eastAsia="hr-HR"/>
              </w:rPr>
              <w:t>Uredba o načinu izrade i postupanju s dokumentacijom za nadmetanje i ponudama</w:t>
            </w:r>
            <w:r w:rsidRPr="009B2E82">
              <w:rPr>
                <w:rFonts w:ascii="Times New Roman" w:eastAsia="Times New Roman" w:hAnsi="Times New Roman" w:cs="Times New Roman"/>
                <w:color w:val="000000"/>
                <w:spacing w:val="-2"/>
                <w:sz w:val="20"/>
                <w:szCs w:val="20"/>
                <w:lang w:eastAsia="hr-HR"/>
              </w:rPr>
              <w:t xml:space="preserve"> (NN 10/12)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451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8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G.4 - Postojanje mjera za učinkovitu primjenu zakona o javnoj nabavi Europske unije u području ESI fondova</w:t>
            </w:r>
            <w:r w:rsidRPr="009B2E82">
              <w:rPr>
                <w:rFonts w:ascii="Times New Roman" w:eastAsia="Times New Roman" w:hAnsi="Times New Roman" w:cs="Times New Roman"/>
                <w:color w:val="000000"/>
                <w:spacing w:val="-1"/>
                <w:sz w:val="20"/>
                <w:szCs w:val="20"/>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1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3 – Mjere za obuku i razmjenu informacija za osoblje koje je uključeno u provedbu ESI fondova</w:t>
            </w:r>
            <w:r w:rsidRPr="009B2E82">
              <w:rPr>
                <w:rFonts w:ascii="Times New Roman" w:eastAsia="Times New Roman" w:hAnsi="Times New Roman" w:cs="Times New Roman"/>
                <w:color w:val="000000"/>
                <w:spacing w:val="-1"/>
                <w:sz w:val="20"/>
                <w:szCs w:val="20"/>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ind w:hanging="10"/>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EU  Direktive o javnoj nabavi prenesene   na hrvatsko zakonodavstvo putem:</w:t>
            </w:r>
          </w:p>
          <w:p w:rsidR="009B2E82" w:rsidRPr="009B2E82" w:rsidRDefault="009B2E82" w:rsidP="009B2E82">
            <w:pPr>
              <w:widowControl w:val="0"/>
              <w:shd w:val="clear" w:color="auto" w:fill="FFFFFF"/>
              <w:autoSpaceDE w:val="0"/>
              <w:autoSpaceDN w:val="0"/>
              <w:adjustRightInd w:val="0"/>
              <w:spacing w:after="0" w:line="274" w:lineRule="exact"/>
              <w:ind w:hanging="10"/>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Zakona o javnoj nabavi (NN 90/11, 83/13, 143/13, 13/14) - vidi članak 2.</w:t>
            </w:r>
          </w:p>
          <w:p w:rsidR="009B2E82" w:rsidRPr="009B2E82" w:rsidRDefault="009B2E82" w:rsidP="009B2E82">
            <w:pPr>
              <w:widowControl w:val="0"/>
              <w:shd w:val="clear" w:color="auto" w:fill="FFFFFF"/>
              <w:autoSpaceDE w:val="0"/>
              <w:autoSpaceDN w:val="0"/>
              <w:adjustRightInd w:val="0"/>
              <w:spacing w:after="0" w:line="274" w:lineRule="exact"/>
              <w:ind w:hanging="10"/>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Zakona o Državnoj komisiji za kontrolu postupaka javne nabave (NN</w:t>
            </w:r>
          </w:p>
          <w:p w:rsidR="009B2E82" w:rsidRPr="009B2E82" w:rsidRDefault="009B2E82" w:rsidP="009B2E82">
            <w:pPr>
              <w:widowControl w:val="0"/>
              <w:shd w:val="clear" w:color="auto" w:fill="FFFFFF"/>
              <w:autoSpaceDE w:val="0"/>
              <w:autoSpaceDN w:val="0"/>
              <w:adjustRightInd w:val="0"/>
              <w:spacing w:after="0" w:line="274"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18/13, 127/13), čl. 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9"/>
              <w:jc w:val="both"/>
              <w:rPr>
                <w:rFonts w:ascii="Times New Roman" w:eastAsia="Times New Roman" w:hAnsi="Times New Roman" w:cs="Times New Roman"/>
                <w:color w:val="000000"/>
                <w:spacing w:val="9"/>
                <w:sz w:val="20"/>
                <w:szCs w:val="20"/>
                <w:lang w:eastAsia="hr-HR"/>
              </w:rPr>
            </w:pPr>
            <w:r w:rsidRPr="009B2E82">
              <w:rPr>
                <w:rFonts w:ascii="Times New Roman" w:eastAsia="Times New Roman" w:hAnsi="Times New Roman" w:cs="Times New Roman"/>
                <w:color w:val="000000"/>
                <w:spacing w:val="1"/>
                <w:sz w:val="20"/>
                <w:szCs w:val="20"/>
                <w:lang w:eastAsia="hr-HR"/>
              </w:rPr>
              <w:t>Uprava za sustav javne nabave Ministarstva gospodarstva pruža pravnu i tehničku podršku u vezi s provedbom propisa o javnoj nabavi u cjelini, a kroz obuku i nadzor nad provedbom Zakona. Sukladno Pravilniku o izobrazbi u području javne nabave (06/2012), programe obuke na tom području mogu obavljati trgovačka društva koje odobre Ministarstvo gospodarstva i Ministarstvo uprave kao središnja tijela državne uprave nadležna za poslove državne uprave</w:t>
            </w:r>
            <w:r w:rsidRPr="009B2E82">
              <w:rPr>
                <w:rFonts w:ascii="Times New Roman" w:eastAsia="Times New Roman" w:hAnsi="Times New Roman" w:cs="Times New Roman"/>
                <w:color w:val="000000"/>
                <w:spacing w:val="2"/>
                <w:sz w:val="20"/>
                <w:szCs w:val="20"/>
                <w:lang w:eastAsia="hr-HR"/>
              </w:rPr>
              <w:t xml:space="preserve">. Popis ovlaštenih tvrtki održava Ministarstvo gospodarstva, a objavljen je na portalu </w:t>
            </w:r>
            <w:hyperlink r:id="rId25" w:history="1">
              <w:r w:rsidRPr="009B2E82">
                <w:rPr>
                  <w:rFonts w:ascii="Times New Roman" w:eastAsia="Times New Roman" w:hAnsi="Times New Roman" w:cs="Times New Roman"/>
                  <w:color w:val="0000FF" w:themeColor="hyperlink"/>
                  <w:spacing w:val="9"/>
                  <w:sz w:val="20"/>
                  <w:szCs w:val="20"/>
                  <w:u w:val="single"/>
                  <w:lang w:eastAsia="hr-HR"/>
                </w:rPr>
                <w:t>http://www.javnanabava.hr</w:t>
              </w:r>
            </w:hyperlink>
            <w:r w:rsidRPr="009B2E82">
              <w:rPr>
                <w:rFonts w:ascii="Times New Roman" w:eastAsia="Times New Roman" w:hAnsi="Times New Roman" w:cs="Times New Roman"/>
                <w:color w:val="000000"/>
                <w:spacing w:val="9"/>
                <w:sz w:val="20"/>
                <w:szCs w:val="20"/>
                <w:lang w:eastAsia="hr-HR"/>
              </w:rPr>
              <w:t>.</w:t>
            </w:r>
          </w:p>
          <w:p w:rsidR="009B2E82" w:rsidRPr="009B2E82" w:rsidRDefault="009B2E82" w:rsidP="009B2E82">
            <w:pPr>
              <w:widowControl w:val="0"/>
              <w:shd w:val="clear" w:color="auto" w:fill="FFFFFF"/>
              <w:autoSpaceDE w:val="0"/>
              <w:autoSpaceDN w:val="0"/>
              <w:adjustRightInd w:val="0"/>
              <w:spacing w:after="0" w:line="226" w:lineRule="exact"/>
              <w:jc w:val="both"/>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411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69" w:lineRule="exact"/>
              <w:ind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Zakona o javno-privatnom partnerstvu (NN 78/12)</w:t>
            </w:r>
          </w:p>
          <w:p w:rsidR="009B2E82" w:rsidRPr="009B2E82" w:rsidRDefault="009B2E82" w:rsidP="009B2E82">
            <w:pPr>
              <w:widowControl w:val="0"/>
              <w:shd w:val="clear" w:color="auto" w:fill="FFFFFF"/>
              <w:autoSpaceDE w:val="0"/>
              <w:autoSpaceDN w:val="0"/>
              <w:adjustRightInd w:val="0"/>
              <w:spacing w:after="0" w:line="269" w:lineRule="exact"/>
              <w:ind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Uredbe o javnoj nabavi za potrebe obrane i sigurnosti (NN 89/12)</w:t>
            </w:r>
          </w:p>
          <w:p w:rsidR="009B2E82" w:rsidRPr="009B2E82" w:rsidRDefault="009B2E82" w:rsidP="009B2E82">
            <w:pPr>
              <w:widowControl w:val="0"/>
              <w:shd w:val="clear" w:color="auto" w:fill="FFFFFF"/>
              <w:autoSpaceDE w:val="0"/>
              <w:autoSpaceDN w:val="0"/>
              <w:adjustRightInd w:val="0"/>
              <w:spacing w:after="0" w:line="274" w:lineRule="exact"/>
              <w:ind w:firstLine="5"/>
              <w:rPr>
                <w:rFonts w:ascii="Times New Roman" w:eastAsia="Times New Roman" w:hAnsi="Times New Roman" w:cs="Times New Roman"/>
                <w:iCs/>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 </w:t>
            </w:r>
            <w:r w:rsidRPr="009B2E82">
              <w:rPr>
                <w:rFonts w:ascii="Times New Roman" w:eastAsia="Times New Roman" w:hAnsi="Times New Roman" w:cs="Times New Roman"/>
                <w:iCs/>
                <w:color w:val="000000"/>
                <w:spacing w:val="-1"/>
                <w:sz w:val="20"/>
                <w:szCs w:val="20"/>
                <w:lang w:eastAsia="hr-HR"/>
              </w:rPr>
              <w:t>Uredbe o načinu izrade i postupanju s dokumentacijom za nadmetanje i ponudama (NN 10/12)</w:t>
            </w:r>
          </w:p>
          <w:p w:rsidR="009B2E82" w:rsidRPr="009B2E82" w:rsidRDefault="009B2E82" w:rsidP="009B2E82">
            <w:pPr>
              <w:widowControl w:val="0"/>
              <w:shd w:val="clear" w:color="auto" w:fill="FFFFFF"/>
              <w:autoSpaceDE w:val="0"/>
              <w:autoSpaceDN w:val="0"/>
              <w:adjustRightInd w:val="0"/>
              <w:spacing w:after="0" w:line="274" w:lineRule="exact"/>
              <w:ind w:firstLine="5"/>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Registar se redovito ažurira u skladu s novim izdanim odobrenjima</w:t>
            </w:r>
          </w:p>
        </w:tc>
      </w:tr>
      <w:tr w:rsidR="009B2E82" w:rsidRPr="009B2E82" w:rsidTr="009B2E82">
        <w:trPr>
          <w:trHeight w:hRule="exact" w:val="360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8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G.4 - Postojanje mjera za učinkovitu primjenu zakona o javnoj nabavi Europske unije u području ESI fondova</w:t>
            </w:r>
            <w:r w:rsidRPr="009B2E82">
              <w:rPr>
                <w:rFonts w:ascii="Times New Roman" w:eastAsia="Times New Roman" w:hAnsi="Times New Roman" w:cs="Times New Roman"/>
                <w:color w:val="000000"/>
                <w:spacing w:val="-1"/>
                <w:sz w:val="20"/>
                <w:szCs w:val="20"/>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47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4 - Mjere kojima će se osigurati administrativni kapaciteti za provedbu i primjenu propisa EU-a o javnoj nabavi.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ind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EU  Direktive o javnoj nabavi prenesene   na hrvatsko zakonodavstvo putem:</w:t>
            </w:r>
          </w:p>
          <w:p w:rsidR="009B2E82" w:rsidRPr="009B2E82" w:rsidRDefault="009B2E82" w:rsidP="009B2E82">
            <w:pPr>
              <w:widowControl w:val="0"/>
              <w:shd w:val="clear" w:color="auto" w:fill="FFFFFF"/>
              <w:autoSpaceDE w:val="0"/>
              <w:autoSpaceDN w:val="0"/>
              <w:adjustRightInd w:val="0"/>
              <w:spacing w:after="0" w:line="274" w:lineRule="exact"/>
              <w:ind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Zakona o javnoj nabavi (NN 90/11, 83/13, 143/13, 13/14) - vidi članak 2.</w:t>
            </w:r>
          </w:p>
          <w:p w:rsidR="009B2E82" w:rsidRPr="009B2E82" w:rsidRDefault="009B2E82" w:rsidP="009B2E82">
            <w:pPr>
              <w:widowControl w:val="0"/>
              <w:shd w:val="clear" w:color="auto" w:fill="FFFFFF"/>
              <w:autoSpaceDE w:val="0"/>
              <w:autoSpaceDN w:val="0"/>
              <w:adjustRightInd w:val="0"/>
              <w:spacing w:after="0" w:line="274" w:lineRule="exact"/>
              <w:ind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Zakona o Državnoj komisiji za kontrolu postupaka javne nabave (NN</w:t>
            </w:r>
          </w:p>
          <w:p w:rsidR="009B2E82" w:rsidRPr="009B2E82" w:rsidRDefault="009B2E82" w:rsidP="009B2E82">
            <w:pPr>
              <w:widowControl w:val="0"/>
              <w:shd w:val="clear" w:color="auto" w:fill="FFFFFF"/>
              <w:autoSpaceDE w:val="0"/>
              <w:autoSpaceDN w:val="0"/>
              <w:adjustRightInd w:val="0"/>
              <w:spacing w:after="0" w:line="274" w:lineRule="exact"/>
              <w:ind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18/13, 127/13), - vidi čl. 2</w:t>
            </w:r>
            <w:r w:rsidRPr="009B2E82">
              <w:rPr>
                <w:rFonts w:ascii="Times New Roman" w:eastAsia="Times New Roman" w:hAnsi="Times New Roman" w:cs="Times New Roman"/>
                <w:color w:val="000000"/>
                <w:spacing w:val="-2"/>
                <w:sz w:val="20"/>
                <w:szCs w:val="20"/>
                <w:lang w:eastAsia="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Uprava za sustav javne nabave Ministarstva gospodarstva pruža pravnu i tehničku podršku u vezi s provedbom propisa o javnoj nabavi u cjelini, a kroz obuku i nadzor nad provedbom Zakona Ministarstvo gospodarstva pruža stručnu pomoć u provedbi Zakona o javnoj nabavi putem pisanih mišljenja o zakonodavstvu, odgovaranjem na e-mailove, redovitim savjetovanjima (utorkom i četvrtkom) te kroz „otvorene dane" </w:t>
            </w:r>
            <w:r w:rsidRPr="009B2E82">
              <w:rPr>
                <w:rFonts w:ascii="Times New Roman" w:eastAsia="Times New Roman" w:hAnsi="Times New Roman" w:cs="Times New Roman"/>
                <w:color w:val="000000"/>
                <w:spacing w:val="4"/>
                <w:sz w:val="20"/>
                <w:szCs w:val="20"/>
                <w:lang w:eastAsia="hr-HR"/>
              </w:rPr>
              <w:t>o javnoj nabavi koji se organiziraju svakog posljednjeg petka u mjesecu.</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b/>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467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pacing w:val="-1"/>
                <w:sz w:val="20"/>
                <w:szCs w:val="20"/>
                <w:lang w:eastAsia="hr-HR"/>
              </w:rPr>
              <w:t xml:space="preserve">•  Zakona o javno-privatnom   </w:t>
            </w:r>
            <w:r w:rsidRPr="009B2E82">
              <w:rPr>
                <w:rFonts w:ascii="Times New Roman" w:eastAsia="Times New Roman" w:hAnsi="Times New Roman" w:cs="Times New Roman"/>
                <w:color w:val="000000"/>
                <w:sz w:val="20"/>
                <w:szCs w:val="20"/>
                <w:lang w:eastAsia="hr-HR"/>
              </w:rPr>
              <w:t>partnerstvu (NN 78/12)</w:t>
            </w:r>
          </w:p>
          <w:p w:rsidR="009B2E82" w:rsidRPr="009B2E82" w:rsidRDefault="009B2E82" w:rsidP="009B2E82">
            <w:pPr>
              <w:widowControl w:val="0"/>
              <w:shd w:val="clear" w:color="auto" w:fill="FFFFFF"/>
              <w:autoSpaceDE w:val="0"/>
              <w:autoSpaceDN w:val="0"/>
              <w:adjustRightInd w:val="0"/>
              <w:spacing w:after="0" w:line="274" w:lineRule="exact"/>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   Uredbe o javnoj nabavi za potrebe obrane i sigurnosti (NN 89/12)</w:t>
            </w:r>
          </w:p>
          <w:p w:rsidR="009B2E82" w:rsidRPr="009B2E82" w:rsidRDefault="009B2E82" w:rsidP="009B2E82">
            <w:pPr>
              <w:widowControl w:val="0"/>
              <w:shd w:val="clear" w:color="auto" w:fill="FFFFFF"/>
              <w:autoSpaceDE w:val="0"/>
              <w:autoSpaceDN w:val="0"/>
              <w:adjustRightInd w:val="0"/>
              <w:spacing w:after="0" w:line="274"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 </w:t>
            </w:r>
            <w:r w:rsidRPr="009B2E82">
              <w:rPr>
                <w:rFonts w:ascii="Times New Roman" w:eastAsia="Times New Roman" w:hAnsi="Times New Roman" w:cs="Times New Roman"/>
                <w:iCs/>
                <w:color w:val="000000"/>
                <w:sz w:val="20"/>
                <w:szCs w:val="20"/>
                <w:lang w:eastAsia="hr-HR"/>
              </w:rPr>
              <w:t>Uredbe o načinu izrade i postupanju s dokumentacijom za nadmetanje i ponudama</w:t>
            </w:r>
            <w:r w:rsidRPr="009B2E82">
              <w:rPr>
                <w:rFonts w:ascii="Times New Roman" w:eastAsia="Times New Roman" w:hAnsi="Times New Roman" w:cs="Times New Roman"/>
                <w:color w:val="000000"/>
                <w:sz w:val="20"/>
                <w:szCs w:val="20"/>
                <w:lang w:eastAsia="hr-HR"/>
              </w:rPr>
              <w:t xml:space="preserve"> (NN 10/12)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firstLine="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20"/>
                <w:szCs w:val="20"/>
                <w:lang w:eastAsia="hr-HR"/>
              </w:rPr>
              <w:t xml:space="preserve">(3) U pogledu sredstava iz ESF-a, kao jedne od mjera doprinosa ukupnoj učinkovitosti sustava upravljanja i kontrole, planiran je nastavak korištenja standardiziranih procedura (poslovni procesi), alata i metoda, po potrebi, uz potporu zajedničkog ISU-a. Korpus standardiziranih poslovnih procesa za programe EFRR-a, ESF-a i KF-a kodificiran je u zajedničkim nacionalnim propisima (ZNP), koji su uspostavljeni za </w:t>
            </w:r>
            <w:r w:rsidRPr="009B2E82">
              <w:rPr>
                <w:rFonts w:ascii="Times New Roman" w:eastAsia="Times New Roman" w:hAnsi="Times New Roman" w:cs="Times New Roman"/>
                <w:color w:val="000000"/>
                <w:spacing w:val="-2"/>
                <w:sz w:val="20"/>
                <w:szCs w:val="20"/>
                <w:lang w:eastAsia="hr-HR"/>
              </w:rPr>
              <w:t>2</w:t>
            </w:r>
          </w:p>
        </w:tc>
      </w:tr>
      <w:tr w:rsidR="009B2E82" w:rsidRPr="009B2E82" w:rsidTr="009B2E82">
        <w:trPr>
          <w:trHeight w:hRule="exact" w:val="344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4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G.5 – Postojanje mjera za učinkovitu primjenu pravila EU-a o državnim potporama u području ESI fondova</w:t>
            </w:r>
            <w:r w:rsidRPr="009B2E82">
              <w:rPr>
                <w:rFonts w:ascii="Times New Roman" w:eastAsia="Times New Roman" w:hAnsi="Times New Roman" w:cs="Times New Roman"/>
                <w:color w:val="000000"/>
                <w:spacing w:val="-3"/>
                <w:sz w:val="20"/>
                <w:szCs w:val="20"/>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37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 – Mjere za učinkovito provođenje pravila EU-a o državnim potporama.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Zakon o državnim potporama (NN 47/14)</w:t>
            </w:r>
          </w:p>
          <w:p w:rsidR="009B2E82" w:rsidRPr="009B2E82" w:rsidRDefault="009B2E82" w:rsidP="009B2E82">
            <w:pPr>
              <w:widowControl w:val="0"/>
              <w:shd w:val="clear" w:color="auto" w:fill="FFFFFF"/>
              <w:autoSpaceDE w:val="0"/>
              <w:autoSpaceDN w:val="0"/>
              <w:adjustRightInd w:val="0"/>
              <w:spacing w:after="0" w:line="274" w:lineRule="exact"/>
              <w:ind w:hanging="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Uloga ministarstva financija: </w:t>
            </w:r>
            <w:r w:rsidRPr="009B2E82">
              <w:rPr>
                <w:rFonts w:ascii="Times New Roman" w:eastAsia="Times New Roman" w:hAnsi="Times New Roman" w:cs="Times New Roman"/>
                <w:color w:val="000000"/>
                <w:spacing w:val="-3"/>
                <w:sz w:val="20"/>
                <w:szCs w:val="20"/>
                <w:lang w:eastAsia="hr-HR"/>
              </w:rPr>
              <w:t>članak 3.</w:t>
            </w:r>
          </w:p>
          <w:p w:rsidR="009B2E82" w:rsidRPr="009B2E82" w:rsidRDefault="009B2E82" w:rsidP="009B2E82">
            <w:pPr>
              <w:widowControl w:val="0"/>
              <w:shd w:val="clear" w:color="auto" w:fill="FFFFFF"/>
              <w:autoSpaceDE w:val="0"/>
              <w:autoSpaceDN w:val="0"/>
              <w:adjustRightInd w:val="0"/>
              <w:spacing w:after="0" w:line="274" w:lineRule="exact"/>
              <w:ind w:hanging="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9"/>
                <w:sz w:val="20"/>
                <w:szCs w:val="20"/>
                <w:lang w:eastAsia="hr-HR"/>
              </w:rPr>
              <w:t>Obavijest o državnoj potpori Komisiji i mišljenje Ministarstva financija: članak</w:t>
            </w:r>
            <w:r w:rsidRPr="009B2E82">
              <w:rPr>
                <w:rFonts w:ascii="Times New Roman" w:eastAsia="Times New Roman" w:hAnsi="Times New Roman" w:cs="Times New Roman"/>
                <w:color w:val="000000"/>
                <w:spacing w:val="-1"/>
                <w:sz w:val="20"/>
                <w:szCs w:val="20"/>
                <w:lang w:eastAsia="hr-HR"/>
              </w:rPr>
              <w:t xml:space="preserve"> 8.</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spacing w:val="5"/>
                <w:sz w:val="20"/>
                <w:szCs w:val="20"/>
                <w:lang w:eastAsia="hr-HR"/>
              </w:rPr>
              <w:t xml:space="preserve">Zakon o državnim potporama iz 2013. (NN 72/13 </w:t>
            </w:r>
            <w:r w:rsidRPr="009B2E82">
              <w:rPr>
                <w:rFonts w:ascii="Times New Roman" w:eastAsia="Times New Roman" w:hAnsi="Times New Roman" w:cs="Times New Roman"/>
                <w:sz w:val="20"/>
                <w:szCs w:val="20"/>
                <w:lang w:eastAsia="hr-HR"/>
              </w:rPr>
              <w:t xml:space="preserve">i 141/13) osigurao je potpunu primjenu zakona EU-a o državnoj potpori od 1. srpnja 2013. Prema novom Zakonu o državnim potporama iz travnja 2014. (NN 47/14), Ministarstvo financija jedina je nacionalna institucija nadležna za pitanja državnih potpora. Odsjek za državne potpore </w:t>
            </w:r>
            <w:r w:rsidRPr="009B2E82">
              <w:rPr>
                <w:rFonts w:ascii="Times New Roman" w:eastAsia="Times New Roman" w:hAnsi="Times New Roman" w:cs="Times New Roman"/>
                <w:spacing w:val="4"/>
                <w:sz w:val="20"/>
                <w:szCs w:val="20"/>
                <w:lang w:eastAsia="hr-HR"/>
              </w:rPr>
              <w:t>(</w:t>
            </w:r>
            <w:r w:rsidRPr="009B2E82">
              <w:rPr>
                <w:rFonts w:ascii="Times New Roman" w:eastAsia="Times New Roman" w:hAnsi="Times New Roman" w:cs="Times New Roman"/>
                <w:spacing w:val="9"/>
                <w:sz w:val="20"/>
                <w:szCs w:val="20"/>
                <w:lang w:eastAsia="hr-HR"/>
              </w:rPr>
              <w:t xml:space="preserve">u sklopu Hrvatske Agencije za zaštitu tržišnog natjecanja (AZTN) bio je nadležan za pitanja državnih potpora od 2004. </w:t>
            </w:r>
            <w:r w:rsidRPr="009B2E82">
              <w:rPr>
                <w:rFonts w:eastAsia="Times New Roman"/>
                <w:spacing w:val="4"/>
                <w:sz w:val="20"/>
                <w:szCs w:val="20"/>
                <w:lang w:eastAsia="hr-HR"/>
              </w:rPr>
              <w:t xml:space="preserve">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sz w:val="20"/>
                <w:szCs w:val="20"/>
                <w:lang w:eastAsia="hr-HR"/>
              </w:rPr>
            </w:pPr>
            <w:r w:rsidRPr="009B2E82">
              <w:rPr>
                <w:rFonts w:ascii="Times New Roman" w:eastAsia="Times New Roman" w:hAnsi="Times New Roman" w:cs="Times New Roman"/>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486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8"/>
                <w:sz w:val="20"/>
                <w:szCs w:val="20"/>
                <w:lang w:eastAsia="hr-HR"/>
              </w:rPr>
            </w:pPr>
            <w:r w:rsidRPr="009B2E82">
              <w:rPr>
                <w:rFonts w:ascii="Times New Roman" w:eastAsia="Times New Roman" w:hAnsi="Times New Roman" w:cs="Times New Roman"/>
                <w:color w:val="000000"/>
                <w:spacing w:val="8"/>
                <w:sz w:val="20"/>
                <w:szCs w:val="20"/>
                <w:lang w:eastAsia="hr-HR"/>
              </w:rPr>
              <w:t xml:space="preserve">Mišljenje Ministarstva financija o državnim potporama izuzetim iz obavijesti Europskoj komisiji: članak 9. </w:t>
            </w:r>
            <w:r w:rsidRPr="009B2E82">
              <w:rPr>
                <w:rFonts w:ascii="Times New Roman" w:eastAsia="Times New Roman" w:hAnsi="Times New Roman" w:cs="Times New Roman"/>
                <w:color w:val="000000"/>
                <w:spacing w:val="8"/>
                <w:sz w:val="20"/>
                <w:szCs w:val="20"/>
                <w:lang w:eastAsia="hr-HR"/>
              </w:rPr>
              <w:br/>
              <w:t xml:space="preserve">Uredba o de minimis potporama: članak 10. </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20"/>
                <w:szCs w:val="20"/>
                <w:lang w:eastAsia="hr-HR"/>
              </w:rPr>
              <w:t>Državne potpore i de minimis: članak 15.</w:t>
            </w:r>
            <w:r w:rsidRPr="009B2E82">
              <w:rPr>
                <w:rFonts w:ascii="Times New Roman" w:eastAsia="Times New Roman" w:hAnsi="Times New Roman" w:cs="Times New Roman"/>
                <w:color w:val="000000"/>
                <w:spacing w:val="8"/>
                <w:sz w:val="20"/>
                <w:szCs w:val="20"/>
                <w:lang w:eastAsia="hr-HR"/>
              </w:rPr>
              <w:br/>
              <w:t>Slanje godišnjeg izvješća Europskoj komisiji o rashodima za državne potpore: članak 16.</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jc w:val="both"/>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3"/>
                <w:sz w:val="20"/>
                <w:szCs w:val="20"/>
                <w:lang w:eastAsia="hr-HR"/>
              </w:rPr>
              <w:t>Do 1. srpnja 2013. AZTN je bio</w:t>
            </w:r>
            <w:r w:rsidRPr="009B2E82">
              <w:rPr>
                <w:rFonts w:ascii="Arial" w:eastAsia="Times New Roman" w:hAnsi="Arial" w:cs="Arial"/>
                <w:spacing w:val="4"/>
                <w:sz w:val="20"/>
                <w:szCs w:val="20"/>
                <w:lang w:eastAsia="hr-HR"/>
              </w:rPr>
              <w:t xml:space="preserve"> </w:t>
            </w:r>
            <w:r w:rsidRPr="009B2E82">
              <w:rPr>
                <w:rFonts w:ascii="Times New Roman" w:eastAsia="Times New Roman" w:hAnsi="Times New Roman" w:cs="Times New Roman"/>
                <w:color w:val="000000"/>
                <w:spacing w:val="3"/>
                <w:sz w:val="20"/>
                <w:szCs w:val="20"/>
                <w:lang w:eastAsia="hr-HR"/>
              </w:rPr>
              <w:t>zadužen za odobravanje, kontrolu i naloge o povratu svih državnih potpora provedenih u Hrvatskoj. Dana 1. srpnja, AZTN postaje posredničko tijelo, odnosno kontaktna točka s Općom upravom za tržišno natjecanje (</w:t>
            </w:r>
            <w:r w:rsidRPr="009B2E82">
              <w:rPr>
                <w:rFonts w:ascii="Times New Roman" w:eastAsia="Times New Roman" w:hAnsi="Times New Roman" w:cs="Times New Roman"/>
                <w:spacing w:val="3"/>
                <w:sz w:val="20"/>
                <w:szCs w:val="20"/>
                <w:lang w:eastAsia="hr-HR"/>
              </w:rPr>
              <w:t>DG Comp</w:t>
            </w:r>
            <w:r w:rsidRPr="009B2E82">
              <w:rPr>
                <w:rFonts w:ascii="Times New Roman" w:eastAsia="Times New Roman" w:hAnsi="Times New Roman" w:cs="Times New Roman"/>
                <w:color w:val="000000"/>
                <w:spacing w:val="3"/>
                <w:sz w:val="20"/>
                <w:szCs w:val="20"/>
                <w:lang w:eastAsia="hr-HR"/>
              </w:rPr>
              <w:t>) za korisnike državnih potpora, ali ima i ovlasti konzaltinga, davanja obvezujućih mišljenja o svim državnim potporama u Hrvatskoj, kako onih  iz okvira GBER-a (Uredbe o skupnom izuzeću), tako i ostalih.</w:t>
            </w:r>
            <w:r w:rsidRPr="009B2E82">
              <w:rPr>
                <w:rFonts w:ascii="Times New Roman" w:eastAsia="Times New Roman" w:hAnsi="Times New Roman" w:cs="Times New Roman"/>
                <w:color w:val="000000"/>
                <w:spacing w:val="-1"/>
                <w:sz w:val="20"/>
                <w:szCs w:val="20"/>
                <w:lang w:eastAsia="hr-HR"/>
              </w:rPr>
              <w:t xml:space="preserve"> </w:t>
            </w:r>
          </w:p>
          <w:p w:rsidR="009B2E82" w:rsidRPr="009B2E82" w:rsidRDefault="009B2E82" w:rsidP="009B2E82">
            <w:pPr>
              <w:widowControl w:val="0"/>
              <w:shd w:val="clear" w:color="auto" w:fill="FFFFFF"/>
              <w:autoSpaceDE w:val="0"/>
              <w:autoSpaceDN w:val="0"/>
              <w:adjustRightInd w:val="0"/>
              <w:spacing w:after="0" w:line="226" w:lineRule="exact"/>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Novi Zakon o državnim potporama stupio je na snagu 1. srpnja, mijenjajući ulogu Agencije, ali i pružajući smjernice korisnicima državnih potpora o načinu provođenja sheme državnih potpora, obavještavanja ugovornog tijela/naručitelja (u slučaju GBER-a) i traženja mišljenja AZTN-a prije</w:t>
            </w:r>
          </w:p>
        </w:tc>
      </w:tr>
      <w:tr w:rsidR="009B2E82" w:rsidRPr="009B2E82" w:rsidTr="009B2E82">
        <w:trPr>
          <w:trHeight w:hRule="exact" w:val="370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4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G.5 – Postojanje mjera za učinkovitu primjenu pravila EU-a o državnim potporama u području ESI fondova.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1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Mjere za obuku i objavu podataka za osoblje koje je uključeno u korištenje ESI fondova</w:t>
            </w:r>
            <w:r w:rsidRPr="009B2E82">
              <w:rPr>
                <w:rFonts w:ascii="Times New Roman" w:eastAsia="Times New Roman" w:hAnsi="Times New Roman" w:cs="Times New Roman"/>
                <w:color w:val="000000"/>
                <w:spacing w:val="-1"/>
                <w:sz w:val="20"/>
                <w:szCs w:val="20"/>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Zakon o državnim potporama (NN. 47/14)</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jc w:val="both"/>
              <w:rPr>
                <w:rFonts w:ascii="Times New Roman" w:eastAsia="Times New Roman" w:hAnsi="Times New Roman" w:cs="Times New Roman"/>
                <w:color w:val="000000"/>
                <w:spacing w:val="4"/>
                <w:sz w:val="20"/>
                <w:szCs w:val="20"/>
                <w:lang w:eastAsia="hr-HR"/>
              </w:rPr>
            </w:pPr>
            <w:r w:rsidRPr="009B2E82">
              <w:rPr>
                <w:rFonts w:ascii="Times New Roman" w:eastAsia="Times New Roman" w:hAnsi="Times New Roman" w:cs="Times New Roman"/>
                <w:color w:val="000000"/>
                <w:spacing w:val="4"/>
                <w:sz w:val="20"/>
                <w:szCs w:val="20"/>
                <w:lang w:eastAsia="hr-HR"/>
              </w:rPr>
              <w:t xml:space="preserve">IPA 2011 projekt podrške pod nazivom „Podrška sustavu državnih potpora u odnosu na strukturne fondove" priprema se u suradnji s MRRFEU-om i SAFU-om. Projekt je zamišljen kako bi osigurao pomoć timu AZTN-a zaduženom za državne potpore u rješavanju prijedloga nadležnih ministarstava. Specifične aktivnosti bit će razrađene nakon što tim AZTN-a bude prebačen u Ministarstvo financija. </w:t>
            </w:r>
            <w:r w:rsidRPr="009B2E82">
              <w:rPr>
                <w:rFonts w:ascii="Times New Roman" w:eastAsia="Times New Roman" w:hAnsi="Times New Roman" w:cs="Times New Roman"/>
                <w:color w:val="000000"/>
                <w:spacing w:val="4"/>
                <w:sz w:val="20"/>
                <w:szCs w:val="20"/>
                <w:lang w:eastAsia="hr-HR"/>
              </w:rPr>
              <w:br/>
              <w:t xml:space="preserve">Planira se stvaranje modula državne obuke o državnoj potpori za javnu upravu unutar državnih škola za javnu upravu. </w:t>
            </w:r>
          </w:p>
          <w:p w:rsidR="009B2E82" w:rsidRPr="009B2E82" w:rsidRDefault="009B2E82" w:rsidP="009B2E82">
            <w:pPr>
              <w:widowControl w:val="0"/>
              <w:shd w:val="clear" w:color="auto" w:fill="FFFFFF"/>
              <w:autoSpaceDE w:val="0"/>
              <w:autoSpaceDN w:val="0"/>
              <w:adjustRightInd w:val="0"/>
              <w:spacing w:after="0" w:line="226" w:lineRule="exact"/>
              <w:jc w:val="both"/>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Kriterij</w:t>
            </w:r>
            <w:r w:rsidRPr="009B2E82">
              <w:rPr>
                <w:rFonts w:ascii="Times New Roman" w:eastAsia="Times New Roman" w:hAnsi="Times New Roman" w:cs="Times New Roman"/>
                <w:bCs/>
                <w:color w:val="000000"/>
                <w:spacing w:val="-2"/>
                <w:sz w:val="20"/>
                <w:szCs w:val="20"/>
                <w:lang w:eastAsia="hr-HR"/>
              </w:rPr>
              <w:t xml:space="preserve">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347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Arial" w:eastAsia="Times New Roman" w:hAnsi="Arial" w:cs="Arial"/>
                <w:sz w:val="20"/>
                <w:szCs w:val="20"/>
                <w:lang w:eastAsia="hr-HR"/>
              </w:rPr>
              <w:br/>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20"/>
                <w:szCs w:val="20"/>
                <w:lang w:eastAsia="hr-HR"/>
              </w:rPr>
              <w:t>Ova</w:t>
            </w:r>
            <w:r w:rsidRPr="009B2E82">
              <w:rPr>
                <w:rFonts w:ascii="Times New Roman" w:eastAsia="Times New Roman" w:hAnsi="Times New Roman" w:cs="Times New Roman"/>
                <w:color w:val="000000"/>
                <w:spacing w:val="1"/>
                <w:sz w:val="20"/>
                <w:szCs w:val="20"/>
                <w:lang w:eastAsia="hr-HR"/>
              </w:rPr>
              <w:t xml:space="preserve"> obuka obuhvatit će sve aspekte: postupovna pravila, članke 107. - 109. UFEU-a, relevantna horizontalna i sektorska pravila, specifične instrumente, obavijesti, nezakonite potpore i povrat, itd. </w:t>
            </w:r>
            <w:r w:rsidRPr="009B2E82">
              <w:rPr>
                <w:rFonts w:ascii="Times New Roman" w:eastAsia="Times New Roman" w:hAnsi="Times New Roman" w:cs="Times New Roman"/>
                <w:color w:val="000000"/>
                <w:spacing w:val="1"/>
                <w:sz w:val="20"/>
                <w:szCs w:val="20"/>
                <w:lang w:eastAsia="hr-HR"/>
              </w:rPr>
              <w:br/>
              <w:t xml:space="preserve">Osoblje AZTN-a od početka je uključeno u radne skupine i timove u izradi operativnog programa, sa zadatkom proširenja i razmjene </w:t>
            </w:r>
            <w:r w:rsidRPr="009B2E82">
              <w:rPr>
                <w:rFonts w:ascii="Cambria Math" w:eastAsia="Times New Roman" w:hAnsi="Cambria Math" w:cs="Cambria Math"/>
                <w:color w:val="000000"/>
                <w:spacing w:val="1"/>
                <w:sz w:val="20"/>
                <w:szCs w:val="20"/>
                <w:lang w:eastAsia="hr-HR"/>
              </w:rPr>
              <w:t>​​</w:t>
            </w:r>
            <w:r w:rsidRPr="009B2E82">
              <w:rPr>
                <w:rFonts w:ascii="Times New Roman" w:eastAsia="Times New Roman" w:hAnsi="Times New Roman" w:cs="Times New Roman"/>
                <w:color w:val="000000"/>
                <w:spacing w:val="1"/>
                <w:sz w:val="20"/>
                <w:szCs w:val="20"/>
                <w:lang w:eastAsia="hr-HR"/>
              </w:rPr>
              <w:t>svih relevantnih informacija vezanih uz pravila o državnim potporama. Isto tako, postoji stalna razmjena informacija i komunikacija s relevantnim</w:t>
            </w:r>
          </w:p>
        </w:tc>
      </w:tr>
      <w:tr w:rsidR="009B2E82" w:rsidRPr="009B2E82" w:rsidTr="009B2E82">
        <w:trPr>
          <w:trHeight w:hRule="exact" w:val="4502"/>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4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G.5 – Postojanje mjera za učinkovitu primjenu pravila EU-a o državnim potporama u području ESI fondova.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475"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 Mjere za osiguranje administrativnih kapaciteta za provođenje pravila EU-a o državnim potporama.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475"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Zakon o državnim potporama (NN 47/14) </w:t>
            </w:r>
          </w:p>
          <w:p w:rsidR="009B2E82" w:rsidRPr="009B2E82" w:rsidRDefault="009B2E82" w:rsidP="009B2E82">
            <w:pPr>
              <w:widowControl w:val="0"/>
              <w:shd w:val="clear" w:color="auto" w:fill="FFFFFF"/>
              <w:autoSpaceDE w:val="0"/>
              <w:autoSpaceDN w:val="0"/>
              <w:adjustRightInd w:val="0"/>
              <w:spacing w:after="0" w:line="226" w:lineRule="exact"/>
              <w:ind w:right="475"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Zakon o državnim potporama (NN 47/03)</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Uz usvajanje novog Zakona o državnim potporama cijeli tim AZTN-a zadužen za državne potpore, koji je u cijelosti operativan u domeni državnih potpora, prebačen je u Ministarstvo financija, tako da neće doći do gubitka administrativne sposobnosti.</w:t>
            </w:r>
          </w:p>
          <w:p w:rsidR="009B2E82" w:rsidRPr="009B2E82" w:rsidRDefault="009B2E82" w:rsidP="009B2E82">
            <w:pPr>
              <w:widowControl w:val="0"/>
              <w:shd w:val="clear" w:color="auto" w:fill="FFFFFF"/>
              <w:autoSpaceDE w:val="0"/>
              <w:autoSpaceDN w:val="0"/>
              <w:adjustRightInd w:val="0"/>
              <w:spacing w:after="0" w:line="226" w:lineRule="exact"/>
              <w:ind w:hanging="5"/>
              <w:jc w:val="both"/>
              <w:rPr>
                <w:rFonts w:ascii="Times New Roman" w:eastAsia="Times New Roman" w:hAnsi="Times New Roman" w:cs="Times New Roman"/>
                <w:color w:val="000000"/>
                <w:spacing w:val="5"/>
                <w:sz w:val="20"/>
                <w:szCs w:val="20"/>
                <w:lang w:eastAsia="hr-HR"/>
              </w:rPr>
            </w:pPr>
            <w:r w:rsidRPr="009B2E82">
              <w:rPr>
                <w:rFonts w:ascii="Times New Roman" w:eastAsia="Times New Roman" w:hAnsi="Times New Roman" w:cs="Times New Roman"/>
                <w:color w:val="000000"/>
                <w:spacing w:val="5"/>
                <w:sz w:val="20"/>
                <w:szCs w:val="20"/>
                <w:lang w:eastAsia="hr-HR"/>
              </w:rPr>
              <w:t>Od 2. travnja 2003., dana stupanja na snagu prvog Zakona o državnim potporama, postoji središnje tijelo s dovoljnim administrativnim kapacitetima za pružanje važnih praktičnih i pravnih savjeta o primjenjivosti državnih potpora u programima i skladu s pravilima EU-a o državnim potporama. Isto tako, u Hrvatskoj su na snazi procedure o dodjeli državnih potpora u skladu s relevantnim zakonodavstvom EU-a.</w:t>
            </w:r>
          </w:p>
          <w:p w:rsidR="009B2E82" w:rsidRPr="009B2E82" w:rsidRDefault="009B2E82" w:rsidP="009B2E82">
            <w:pPr>
              <w:widowControl w:val="0"/>
              <w:shd w:val="clear" w:color="auto" w:fill="FFFFFF"/>
              <w:autoSpaceDE w:val="0"/>
              <w:autoSpaceDN w:val="0"/>
              <w:adjustRightInd w:val="0"/>
              <w:spacing w:after="0" w:line="226" w:lineRule="exact"/>
              <w:ind w:hanging="5"/>
              <w:jc w:val="both"/>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b/>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265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firstLine="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Od 2003. osoblje AZTN-a bilo je uključeno u razne projekte obuke o državnim potporama, kao korisnici i kao predavači. Odjel državne potpore bio je korisnik 3 twinning projekta (svaki u trajanju od 18 mjeseci) iz područja državnih potpora (Njemačka i Slovenija 2x, 2005. - 2008., UK 2010. - 2012.), koji su uključivali studijske posjete, razmjenu iskustava sa stručnjacima, obuku na poslu</w:t>
            </w:r>
          </w:p>
        </w:tc>
      </w:tr>
      <w:tr w:rsidR="009B2E82" w:rsidRPr="009B2E82" w:rsidTr="009B2E82">
        <w:trPr>
          <w:trHeight w:hRule="exact" w:val="51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49"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z w:val="20"/>
                <w:szCs w:val="20"/>
                <w:lang w:eastAsia="hr-HR"/>
              </w:rPr>
              <w:t>G.6 – Postojanje mjera za učinkovitu primjenu zakonodavstva EU-a o zaštiti okoliša vezano uz PUO i SPUO.</w:t>
            </w:r>
          </w:p>
          <w:p w:rsidR="009B2E82" w:rsidRPr="009B2E82" w:rsidRDefault="009B2E82" w:rsidP="009B2E82">
            <w:pPr>
              <w:widowControl w:val="0"/>
              <w:shd w:val="clear" w:color="auto" w:fill="FFFFFF"/>
              <w:autoSpaceDE w:val="0"/>
              <w:autoSpaceDN w:val="0"/>
              <w:adjustRightInd w:val="0"/>
              <w:spacing w:after="0" w:line="226" w:lineRule="exact"/>
              <w:ind w:left="5" w:right="149" w:firstLine="5"/>
              <w:rPr>
                <w:rFonts w:ascii="Times New Roman" w:eastAsia="Times New Roman" w:hAnsi="Times New Roman" w:cs="Times New Roman"/>
                <w:color w:val="000000"/>
                <w:spacing w:val="-1"/>
                <w:sz w:val="20"/>
                <w:szCs w:val="20"/>
                <w:lang w:eastAsia="hr-HR"/>
              </w:rPr>
            </w:pPr>
          </w:p>
          <w:p w:rsidR="009B2E82" w:rsidRPr="009B2E82" w:rsidRDefault="009B2E82" w:rsidP="009B2E82">
            <w:pPr>
              <w:widowControl w:val="0"/>
              <w:shd w:val="clear" w:color="auto" w:fill="FFFFFF"/>
              <w:autoSpaceDE w:val="0"/>
              <w:autoSpaceDN w:val="0"/>
              <w:adjustRightInd w:val="0"/>
              <w:spacing w:after="0" w:line="226" w:lineRule="exact"/>
              <w:ind w:left="5" w:right="149" w:firstLine="5"/>
              <w:rPr>
                <w:rFonts w:ascii="Times New Roman" w:eastAsia="Times New Roman" w:hAnsi="Times New Roman" w:cs="Times New Roman"/>
                <w:color w:val="000000"/>
                <w:spacing w:val="-1"/>
                <w:sz w:val="20"/>
                <w:szCs w:val="20"/>
                <w:lang w:eastAsia="hr-HR"/>
              </w:rPr>
            </w:pPr>
          </w:p>
          <w:p w:rsidR="009B2E82" w:rsidRPr="009B2E82" w:rsidRDefault="009B2E82" w:rsidP="009B2E82">
            <w:pPr>
              <w:widowControl w:val="0"/>
              <w:shd w:val="clear" w:color="auto" w:fill="FFFFFF"/>
              <w:autoSpaceDE w:val="0"/>
              <w:autoSpaceDN w:val="0"/>
              <w:adjustRightInd w:val="0"/>
              <w:spacing w:after="0" w:line="226" w:lineRule="exact"/>
              <w:ind w:left="5" w:right="149" w:firstLine="5"/>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9"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1 - Mjere za učinkovitu primjenu Direktive 2011/92/EU Europskog parlamenta i Vijeća (PUO) i Direktive 2001/42/EZ Europskog parlamenta i Vijeća (SPUO).</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69" w:lineRule="exact"/>
              <w:ind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Zakon o zaštiti okoliša </w:t>
            </w:r>
            <w:r w:rsidRPr="009B2E82">
              <w:rPr>
                <w:rFonts w:ascii="Times New Roman" w:eastAsia="Times New Roman" w:hAnsi="Times New Roman" w:cs="Times New Roman"/>
                <w:color w:val="000000"/>
                <w:spacing w:val="3"/>
                <w:sz w:val="20"/>
                <w:szCs w:val="20"/>
                <w:lang w:eastAsia="hr-HR"/>
              </w:rPr>
              <w:t>(NN 110/07)</w:t>
            </w:r>
          </w:p>
          <w:p w:rsidR="009B2E82" w:rsidRPr="009B2E82" w:rsidRDefault="009B2E82" w:rsidP="009B2E82">
            <w:pPr>
              <w:widowControl w:val="0"/>
              <w:shd w:val="clear" w:color="auto" w:fill="FFFFFF"/>
              <w:autoSpaceDE w:val="0"/>
              <w:autoSpaceDN w:val="0"/>
              <w:adjustRightInd w:val="0"/>
              <w:spacing w:after="0" w:line="274" w:lineRule="exact"/>
              <w:ind w:hanging="5"/>
              <w:rPr>
                <w:rFonts w:ascii="Arial" w:eastAsia="Times New Roman" w:hAnsi="Arial" w:cs="Arial"/>
                <w:sz w:val="20"/>
                <w:szCs w:val="20"/>
                <w:lang w:eastAsia="hr-HR"/>
              </w:rPr>
            </w:pPr>
            <w:r w:rsidRPr="009B2E82">
              <w:rPr>
                <w:rFonts w:ascii="Times New Roman" w:eastAsia="Times New Roman" w:hAnsi="Times New Roman" w:cs="Times New Roman"/>
                <w:iCs/>
                <w:color w:val="000000"/>
                <w:spacing w:val="6"/>
                <w:sz w:val="20"/>
                <w:szCs w:val="20"/>
                <w:lang w:eastAsia="hr-HR"/>
              </w:rPr>
              <w:t xml:space="preserve">Uredba </w:t>
            </w:r>
            <w:r w:rsidRPr="009B2E82">
              <w:rPr>
                <w:rFonts w:ascii="Times New Roman" w:eastAsia="Times New Roman" w:hAnsi="Times New Roman" w:cs="Times New Roman"/>
                <w:color w:val="000000"/>
                <w:spacing w:val="6"/>
                <w:sz w:val="20"/>
                <w:szCs w:val="20"/>
                <w:lang w:eastAsia="hr-HR"/>
              </w:rPr>
              <w:t>o procjeni utjecaja</w:t>
            </w:r>
            <w:r w:rsidRPr="009B2E82">
              <w:rPr>
                <w:rFonts w:ascii="Times New Roman" w:eastAsia="Times New Roman" w:hAnsi="Times New Roman" w:cs="Times New Roman"/>
                <w:iCs/>
                <w:color w:val="000000"/>
                <w:spacing w:val="6"/>
                <w:sz w:val="20"/>
                <w:szCs w:val="20"/>
                <w:lang w:eastAsia="hr-HR"/>
              </w:rPr>
              <w:t xml:space="preserve"> zahvata na </w:t>
            </w:r>
            <w:r w:rsidRPr="009B2E82">
              <w:rPr>
                <w:rFonts w:ascii="Times New Roman" w:eastAsia="Times New Roman" w:hAnsi="Times New Roman" w:cs="Times New Roman"/>
                <w:color w:val="000000"/>
                <w:spacing w:val="6"/>
                <w:sz w:val="20"/>
                <w:szCs w:val="20"/>
                <w:lang w:eastAsia="hr-HR"/>
              </w:rPr>
              <w:t>okoliš</w:t>
            </w:r>
            <w:r w:rsidRPr="009B2E82">
              <w:rPr>
                <w:rFonts w:ascii="Times New Roman" w:eastAsia="Times New Roman" w:hAnsi="Times New Roman" w:cs="Times New Roman"/>
                <w:iCs/>
                <w:color w:val="000000"/>
                <w:spacing w:val="6"/>
                <w:sz w:val="20"/>
                <w:szCs w:val="20"/>
                <w:lang w:eastAsia="hr-HR"/>
              </w:rPr>
              <w:t xml:space="preserve"> (NN 64/08, 67/09</w:t>
            </w:r>
            <w:r w:rsidRPr="009B2E82">
              <w:rPr>
                <w:rFonts w:ascii="Times New Roman" w:eastAsia="Times New Roman" w:hAnsi="Times New Roman" w:cs="Times New Roman"/>
                <w:color w:val="000000"/>
                <w:spacing w:val="-2"/>
                <w:sz w:val="20"/>
                <w:szCs w:val="20"/>
                <w:lang w:eastAsia="hr-HR"/>
              </w:rPr>
              <w:t>)</w:t>
            </w:r>
          </w:p>
          <w:p w:rsidR="009B2E82" w:rsidRPr="009B2E82" w:rsidRDefault="009B2E82" w:rsidP="009B2E82">
            <w:pPr>
              <w:widowControl w:val="0"/>
              <w:shd w:val="clear" w:color="auto" w:fill="FFFFFF"/>
              <w:autoSpaceDE w:val="0"/>
              <w:autoSpaceDN w:val="0"/>
              <w:adjustRightInd w:val="0"/>
              <w:spacing w:after="0" w:line="274" w:lineRule="exact"/>
              <w:ind w:hanging="5"/>
              <w:rPr>
                <w:rFonts w:ascii="Arial" w:eastAsia="Times New Roman" w:hAnsi="Arial" w:cs="Arial"/>
                <w:sz w:val="20"/>
                <w:szCs w:val="20"/>
                <w:lang w:eastAsia="hr-HR"/>
              </w:rPr>
            </w:pPr>
            <w:r w:rsidRPr="009B2E82">
              <w:rPr>
                <w:rFonts w:ascii="Times New Roman" w:eastAsia="Times New Roman" w:hAnsi="Times New Roman" w:cs="Times New Roman"/>
                <w:iCs/>
                <w:color w:val="000000"/>
                <w:spacing w:val="6"/>
                <w:sz w:val="20"/>
                <w:szCs w:val="20"/>
                <w:lang w:eastAsia="hr-HR"/>
              </w:rPr>
              <w:t>Uredba o informiranju i sudjelovanju javnosti i zainteresirane javnosti u pitanjima</w:t>
            </w:r>
            <w:r w:rsidRPr="009B2E82">
              <w:rPr>
                <w:rFonts w:ascii="Times New Roman" w:eastAsia="Times New Roman" w:hAnsi="Times New Roman" w:cs="Times New Roman"/>
                <w:color w:val="000000"/>
                <w:spacing w:val="6"/>
                <w:sz w:val="20"/>
                <w:szCs w:val="20"/>
                <w:lang w:eastAsia="hr-HR"/>
              </w:rPr>
              <w:t xml:space="preserve"> zaštite </w:t>
            </w:r>
            <w:r w:rsidRPr="009B2E82">
              <w:rPr>
                <w:rFonts w:ascii="Times New Roman" w:eastAsia="Times New Roman" w:hAnsi="Times New Roman" w:cs="Times New Roman"/>
                <w:iCs/>
                <w:color w:val="000000"/>
                <w:spacing w:val="6"/>
                <w:sz w:val="20"/>
                <w:szCs w:val="20"/>
                <w:lang w:eastAsia="hr-HR"/>
              </w:rPr>
              <w:t>okoliša</w:t>
            </w:r>
            <w:r w:rsidRPr="009B2E82">
              <w:rPr>
                <w:rFonts w:ascii="Times New Roman" w:eastAsia="Times New Roman" w:hAnsi="Times New Roman" w:cs="Times New Roman"/>
                <w:color w:val="000000"/>
                <w:spacing w:val="6"/>
                <w:sz w:val="20"/>
                <w:szCs w:val="20"/>
                <w:lang w:eastAsia="hr-HR"/>
              </w:rPr>
              <w:t xml:space="preserve"> </w:t>
            </w:r>
            <w:r w:rsidRPr="009B2E82">
              <w:rPr>
                <w:rFonts w:ascii="Times New Roman" w:eastAsia="Times New Roman" w:hAnsi="Times New Roman" w:cs="Times New Roman"/>
                <w:color w:val="000000"/>
                <w:sz w:val="20"/>
                <w:szCs w:val="20"/>
                <w:lang w:eastAsia="hr-HR"/>
              </w:rPr>
              <w:t xml:space="preserve">(NN </w:t>
            </w:r>
            <w:r w:rsidRPr="009B2E82">
              <w:rPr>
                <w:rFonts w:ascii="Times New Roman" w:eastAsia="Times New Roman" w:hAnsi="Times New Roman" w:cs="Times New Roman"/>
                <w:color w:val="000000"/>
                <w:spacing w:val="-3"/>
                <w:sz w:val="20"/>
                <w:szCs w:val="20"/>
                <w:lang w:eastAsia="hr-HR"/>
              </w:rPr>
              <w:t>64/08)</w:t>
            </w:r>
          </w:p>
          <w:p w:rsidR="009B2E82" w:rsidRPr="009B2E82" w:rsidRDefault="009B2E82" w:rsidP="009B2E82">
            <w:pPr>
              <w:widowControl w:val="0"/>
              <w:shd w:val="clear" w:color="auto" w:fill="FFFFFF"/>
              <w:autoSpaceDE w:val="0"/>
              <w:autoSpaceDN w:val="0"/>
              <w:adjustRightInd w:val="0"/>
              <w:spacing w:after="0" w:line="274" w:lineRule="exact"/>
              <w:ind w:hanging="5"/>
              <w:rPr>
                <w:rFonts w:ascii="Arial" w:eastAsia="Times New Roman" w:hAnsi="Arial" w:cs="Arial"/>
                <w:sz w:val="20"/>
                <w:szCs w:val="20"/>
                <w:lang w:eastAsia="hr-HR"/>
              </w:rPr>
            </w:pPr>
            <w:r w:rsidRPr="009B2E82">
              <w:rPr>
                <w:rFonts w:ascii="Times New Roman" w:eastAsia="Times New Roman" w:hAnsi="Times New Roman" w:cs="Times New Roman"/>
                <w:iCs/>
                <w:color w:val="000000"/>
                <w:spacing w:val="2"/>
                <w:sz w:val="20"/>
                <w:szCs w:val="20"/>
                <w:lang w:eastAsia="hr-HR"/>
              </w:rPr>
              <w:t>Uredba o strateškoj procjeni utjecaja plana</w:t>
            </w:r>
            <w:r w:rsidRPr="009B2E82">
              <w:rPr>
                <w:rFonts w:ascii="Times New Roman" w:eastAsia="Times New Roman" w:hAnsi="Times New Roman" w:cs="Times New Roman"/>
                <w:color w:val="000000"/>
                <w:spacing w:val="2"/>
                <w:sz w:val="20"/>
                <w:szCs w:val="20"/>
                <w:lang w:eastAsia="hr-HR"/>
              </w:rPr>
              <w:t xml:space="preserve"> i programa na okoliš (NN</w:t>
            </w:r>
            <w:r w:rsidRPr="009B2E82">
              <w:rPr>
                <w:rFonts w:ascii="Times New Roman" w:eastAsia="Times New Roman" w:hAnsi="Times New Roman" w:cs="Times New Roman"/>
                <w:color w:val="000000"/>
                <w:spacing w:val="1"/>
                <w:sz w:val="20"/>
                <w:szCs w:val="20"/>
                <w:lang w:eastAsia="hr-HR"/>
              </w:rPr>
              <w:t xml:space="preserve"> </w:t>
            </w:r>
            <w:r w:rsidRPr="009B2E82">
              <w:rPr>
                <w:rFonts w:ascii="Times New Roman" w:eastAsia="Times New Roman" w:hAnsi="Times New Roman" w:cs="Times New Roman"/>
                <w:color w:val="000000"/>
                <w:spacing w:val="-3"/>
                <w:sz w:val="20"/>
                <w:szCs w:val="20"/>
                <w:lang w:eastAsia="hr-HR"/>
              </w:rPr>
              <w:t>64/08)</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jc w:val="both"/>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Zakon o zaštiti okoliša propisuje obvezno sudjelovanje znanstvenih i stručnih djelatnika, drugih nadležnih tijela i predstavnika jedinica lokalne i regionalne samouprave u procesima PUO-a i SPUO-a. Njihovo sudjelovanje ostvaruje se kroz rad savjetodavnog stručnog povjerenstva koje je imenovano za svaki pojedini projekt. U slučaju da se planira veći broj projekata iste vrste, imenuje se stručno povjerenstvo (primjerice, za ceste).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sz w:val="20"/>
                <w:szCs w:val="20"/>
                <w:lang w:eastAsia="hr-HR"/>
              </w:rPr>
            </w:pPr>
            <w:r w:rsidRPr="009B2E82">
              <w:rPr>
                <w:rFonts w:ascii="Times New Roman" w:eastAsia="Times New Roman" w:hAnsi="Times New Roman" w:cs="Times New Roman"/>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135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16" w:firstLine="5"/>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ind w:firstLine="5"/>
              <w:rPr>
                <w:rFonts w:ascii="Arial" w:eastAsia="Times New Roman" w:hAnsi="Arial" w:cs="Arial"/>
                <w:sz w:val="20"/>
                <w:szCs w:val="20"/>
                <w:lang w:eastAsia="hr-HR"/>
              </w:rPr>
            </w:pPr>
            <w:hyperlink r:id="rId26" w:history="1">
              <w:r w:rsidRPr="009B2E82">
                <w:rPr>
                  <w:rFonts w:ascii="Times New Roman" w:eastAsia="Times New Roman" w:hAnsi="Times New Roman" w:cs="Times New Roman"/>
                  <w:bCs/>
                  <w:iCs/>
                  <w:color w:val="0000FF" w:themeColor="hyperlink"/>
                  <w:sz w:val="20"/>
                  <w:szCs w:val="20"/>
                  <w:u w:val="single"/>
                  <w:lang w:eastAsia="hr-HR"/>
                </w:rPr>
                <w:t>Pravilnik o povjerenstvu</w:t>
              </w:r>
              <w:r w:rsidRPr="009B2E82">
                <w:rPr>
                  <w:rFonts w:ascii="Times New Roman" w:eastAsia="Times New Roman" w:hAnsi="Times New Roman" w:cs="Times New Roman"/>
                  <w:bCs/>
                  <w:color w:val="0000FF" w:themeColor="hyperlink"/>
                  <w:sz w:val="20"/>
                  <w:szCs w:val="20"/>
                  <w:u w:val="single"/>
                  <w:lang w:eastAsia="hr-HR"/>
                </w:rPr>
                <w:t xml:space="preserve"> za </w:t>
              </w:r>
              <w:r w:rsidRPr="009B2E82">
                <w:rPr>
                  <w:rFonts w:ascii="Times New Roman" w:eastAsia="Times New Roman" w:hAnsi="Times New Roman" w:cs="Times New Roman"/>
                  <w:bCs/>
                  <w:iCs/>
                  <w:color w:val="0000FF" w:themeColor="hyperlink"/>
                  <w:sz w:val="20"/>
                  <w:szCs w:val="20"/>
                  <w:u w:val="single"/>
                  <w:lang w:eastAsia="hr-HR"/>
                </w:rPr>
                <w:t>stratešku procjenu</w:t>
              </w:r>
            </w:hyperlink>
            <w:r w:rsidRPr="009B2E82">
              <w:rPr>
                <w:rFonts w:ascii="Arial" w:eastAsia="Times New Roman" w:hAnsi="Arial" w:cs="Arial"/>
                <w:sz w:val="20"/>
                <w:szCs w:val="20"/>
                <w:lang w:eastAsia="hr-HR"/>
              </w:rPr>
              <w:t xml:space="preserve"> </w:t>
            </w:r>
            <w:r w:rsidRPr="009B2E82">
              <w:rPr>
                <w:rFonts w:ascii="Times New Roman" w:eastAsia="Times New Roman" w:hAnsi="Times New Roman" w:cs="Times New Roman"/>
                <w:color w:val="000000"/>
                <w:sz w:val="20"/>
                <w:szCs w:val="20"/>
                <w:lang w:eastAsia="hr-HR"/>
              </w:rPr>
              <w:t xml:space="preserve"> </w:t>
            </w:r>
            <w:r w:rsidRPr="009B2E82">
              <w:rPr>
                <w:rFonts w:ascii="Times New Roman" w:eastAsia="Times New Roman" w:hAnsi="Times New Roman" w:cs="Times New Roman"/>
                <w:color w:val="000000"/>
                <w:spacing w:val="5"/>
                <w:sz w:val="20"/>
                <w:szCs w:val="20"/>
                <w:lang w:eastAsia="hr-HR"/>
              </w:rPr>
              <w:t xml:space="preserve">(NN </w:t>
            </w:r>
            <w:r w:rsidRPr="009B2E82">
              <w:rPr>
                <w:rFonts w:ascii="Times New Roman" w:eastAsia="Times New Roman" w:hAnsi="Times New Roman" w:cs="Times New Roman"/>
                <w:color w:val="000000"/>
                <w:spacing w:val="-3"/>
                <w:sz w:val="20"/>
                <w:szCs w:val="20"/>
                <w:lang w:eastAsia="hr-HR"/>
              </w:rPr>
              <w:t>70/08)</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39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4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G.6 – Postojanje mjera za učinkovitu primjenu zakonodavstva EU-a o zaštiti okoliša vezano uz PUO i SPUO</w:t>
            </w:r>
            <w:r w:rsidRPr="009B2E82">
              <w:rPr>
                <w:rFonts w:ascii="Times New Roman" w:eastAsia="Times New Roman" w:hAnsi="Times New Roman" w:cs="Times New Roman"/>
                <w:color w:val="000000"/>
                <w:spacing w:val="-1"/>
                <w:sz w:val="20"/>
                <w:szCs w:val="20"/>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16"/>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2 - Mjere za izobrazbu i slanje podataka za osoblje uključeno u provođenje direktiva vezanih uz PUO i SPUO.</w:t>
            </w:r>
          </w:p>
          <w:p w:rsidR="009B2E82" w:rsidRPr="009B2E82" w:rsidRDefault="009B2E82" w:rsidP="009B2E82">
            <w:pPr>
              <w:widowControl w:val="0"/>
              <w:shd w:val="clear" w:color="auto" w:fill="FFFFFF"/>
              <w:autoSpaceDE w:val="0"/>
              <w:autoSpaceDN w:val="0"/>
              <w:adjustRightInd w:val="0"/>
              <w:spacing w:after="0" w:line="226" w:lineRule="exact"/>
              <w:ind w:right="216"/>
              <w:rPr>
                <w:rFonts w:ascii="Times New Roman" w:eastAsia="Times New Roman" w:hAnsi="Times New Roman" w:cs="Times New Roman"/>
                <w:color w:val="000000"/>
                <w:sz w:val="20"/>
                <w:szCs w:val="20"/>
                <w:lang w:eastAsia="hr-HR"/>
              </w:rPr>
            </w:pPr>
          </w:p>
          <w:p w:rsidR="009B2E82" w:rsidRPr="009B2E82" w:rsidRDefault="009B2E82" w:rsidP="009B2E82">
            <w:pPr>
              <w:widowControl w:val="0"/>
              <w:shd w:val="clear" w:color="auto" w:fill="FFFFFF"/>
              <w:autoSpaceDE w:val="0"/>
              <w:autoSpaceDN w:val="0"/>
              <w:adjustRightInd w:val="0"/>
              <w:spacing w:after="0" w:line="226" w:lineRule="exact"/>
              <w:ind w:right="216"/>
              <w:rPr>
                <w:rFonts w:ascii="Times New Roman" w:eastAsia="Times New Roman" w:hAnsi="Times New Roman" w:cs="Times New Roman"/>
                <w:color w:val="000000"/>
                <w:sz w:val="20"/>
                <w:szCs w:val="20"/>
                <w:lang w:eastAsia="hr-HR"/>
              </w:rPr>
            </w:pPr>
          </w:p>
          <w:p w:rsidR="009B2E82" w:rsidRPr="009B2E82" w:rsidRDefault="009B2E82" w:rsidP="009B2E82">
            <w:pPr>
              <w:widowControl w:val="0"/>
              <w:shd w:val="clear" w:color="auto" w:fill="FFFFFF"/>
              <w:autoSpaceDE w:val="0"/>
              <w:autoSpaceDN w:val="0"/>
              <w:adjustRightInd w:val="0"/>
              <w:spacing w:after="0" w:line="226" w:lineRule="exact"/>
              <w:ind w:right="216"/>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8"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Projekt IPA 2010 „Jačanje kapaciteta za provedbu strateške procjene utjecaja na okoliš na lokalnoj i regionalnoj razini </w:t>
            </w:r>
            <w:r w:rsidRPr="009B2E82">
              <w:rPr>
                <w:rFonts w:ascii="Times New Roman" w:eastAsia="Times New Roman" w:hAnsi="Times New Roman" w:cs="Times New Roman"/>
                <w:color w:val="000000"/>
                <w:spacing w:val="-2"/>
                <w:sz w:val="20"/>
                <w:szCs w:val="20"/>
                <w:lang w:eastAsia="hr-HR"/>
              </w:rPr>
              <w:t xml:space="preserve">" </w:t>
            </w:r>
            <w:r w:rsidRPr="009B2E82">
              <w:rPr>
                <w:rFonts w:ascii="Times New Roman" w:eastAsia="Times New Roman" w:hAnsi="Times New Roman" w:cs="Times New Roman"/>
                <w:color w:val="000000"/>
                <w:spacing w:val="-5"/>
                <w:sz w:val="20"/>
                <w:szCs w:val="20"/>
                <w:lang w:eastAsia="hr-HR"/>
              </w:rPr>
              <w:t>http ://www. seahrvatska.net/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Za vrijeme provođenja projekta tehničke podrške IPA </w:t>
            </w:r>
            <w:r w:rsidRPr="009B2E82">
              <w:rPr>
                <w:rFonts w:ascii="Times New Roman" w:eastAsia="Times New Roman" w:hAnsi="Times New Roman" w:cs="Times New Roman"/>
                <w:color w:val="000000"/>
                <w:sz w:val="20"/>
                <w:szCs w:val="20"/>
                <w:lang w:eastAsia="hr-HR"/>
              </w:rPr>
              <w:t xml:space="preserve">2010 </w:t>
            </w:r>
            <w:r w:rsidRPr="009B2E82">
              <w:rPr>
                <w:rFonts w:ascii="Times New Roman" w:eastAsia="Times New Roman" w:hAnsi="Times New Roman" w:cs="Times New Roman"/>
                <w:color w:val="000000"/>
                <w:spacing w:val="1"/>
                <w:sz w:val="20"/>
                <w:szCs w:val="20"/>
                <w:lang w:eastAsia="hr-HR"/>
              </w:rPr>
              <w:t xml:space="preserve">„Jačanje kapaciteta za provedbu strateške procjene utjecaja na okoliš na lokalnoj i regionalnoj razini" </w:t>
            </w:r>
            <w:r w:rsidRPr="009B2E82">
              <w:rPr>
                <w:rFonts w:ascii="Times New Roman" w:eastAsia="Times New Roman" w:hAnsi="Times New Roman" w:cs="Times New Roman"/>
                <w:color w:val="000000"/>
                <w:sz w:val="20"/>
                <w:szCs w:val="20"/>
                <w:lang w:eastAsia="hr-HR"/>
              </w:rPr>
              <w:t>proizašle su sljedeće mogućnosti i ideje za poboljšanje održivosti ishoda projekta: uključivanje obuke za predavače i dodatne obuke vezane uz SPUO koje podupir</w:t>
            </w:r>
            <w:r w:rsidRPr="009B2E82">
              <w:rPr>
                <w:rFonts w:ascii="Times New Roman" w:eastAsia="Times New Roman" w:hAnsi="Times New Roman" w:cs="Times New Roman"/>
                <w:color w:val="000000"/>
                <w:sz w:val="20"/>
                <w:szCs w:val="20"/>
                <w:u w:val="single"/>
                <w:lang w:eastAsia="hr-HR"/>
              </w:rPr>
              <w:t>u prv</w:t>
            </w:r>
            <w:r w:rsidRPr="009B2E82">
              <w:rPr>
                <w:rFonts w:ascii="Times New Roman" w:eastAsia="Times New Roman" w:hAnsi="Times New Roman" w:cs="Times New Roman"/>
                <w:color w:val="000000"/>
                <w:sz w:val="20"/>
                <w:szCs w:val="20"/>
                <w:lang w:eastAsia="hr-HR"/>
              </w:rPr>
              <w:t xml:space="preserve">u stvarnoživotnu provedbu SPUO-a u Hrvatskoj. U sklopu projekta MZOIP će oformiti tim od 10 predavača iz MZOIP-a i Državnog zavoda za zaštitu prirode koji će predavati na budućim SPUO radionicama </w:t>
            </w:r>
            <w:r w:rsidRPr="009B2E82">
              <w:rPr>
                <w:rFonts w:ascii="Times New Roman" w:eastAsia="Times New Roman" w:hAnsi="Times New Roman" w:cs="Times New Roman"/>
                <w:color w:val="000000"/>
                <w:spacing w:val="9"/>
                <w:sz w:val="20"/>
                <w:szCs w:val="20"/>
                <w:lang w:eastAsia="hr-HR"/>
              </w:rPr>
              <w:t>za državne i županijske vlasti</w:t>
            </w:r>
            <w:r w:rsidRPr="009B2E82">
              <w:rPr>
                <w:rFonts w:ascii="Times New Roman" w:eastAsia="Times New Roman" w:hAnsi="Times New Roman" w:cs="Times New Roman"/>
                <w:color w:val="000000"/>
                <w:spacing w:val="-1"/>
                <w:sz w:val="20"/>
                <w:szCs w:val="20"/>
                <w:lang w:eastAsia="hr-HR"/>
              </w:rPr>
              <w:t>.</w:t>
            </w:r>
          </w:p>
        </w:tc>
      </w:tr>
      <w:tr w:rsidR="009B2E82" w:rsidRPr="009B2E82" w:rsidTr="009B2E82">
        <w:trPr>
          <w:trHeight w:hRule="exact" w:val="245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4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G.6 – Postojanje mjera za učinkovitu primjenu zakonodavstva EU-a o zaštiti okoliša vezano uz PUO i SPUO</w:t>
            </w:r>
            <w:r w:rsidRPr="009B2E82">
              <w:rPr>
                <w:rFonts w:ascii="Times New Roman" w:eastAsia="Times New Roman" w:hAnsi="Times New Roman" w:cs="Times New Roman"/>
                <w:color w:val="000000"/>
                <w:spacing w:val="-1"/>
                <w:sz w:val="20"/>
                <w:szCs w:val="20"/>
                <w:lang w:eastAsia="hr-HR"/>
              </w:rPr>
              <w: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5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 Mjere za osiguranje dostatnih administrativnih kapaciteta.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ind w:hanging="5"/>
              <w:rPr>
                <w:rFonts w:ascii="Times New Roman" w:eastAsia="Times New Roman" w:hAnsi="Times New Roman" w:cs="Times New Roman"/>
                <w:color w:val="000000"/>
                <w:spacing w:val="3"/>
                <w:sz w:val="20"/>
                <w:szCs w:val="20"/>
                <w:lang w:eastAsia="hr-HR"/>
              </w:rPr>
            </w:pPr>
            <w:r w:rsidRPr="009B2E82">
              <w:rPr>
                <w:rFonts w:ascii="Times New Roman" w:eastAsia="Times New Roman" w:hAnsi="Times New Roman" w:cs="Times New Roman"/>
                <w:color w:val="000000"/>
                <w:spacing w:val="3"/>
                <w:sz w:val="20"/>
                <w:szCs w:val="20"/>
                <w:lang w:eastAsia="hr-HR"/>
              </w:rPr>
              <w:t>U sklopu MZOIP-a postoji specijalizirani Sektor za procjenu okoliša i industrijskog onečišćenja koji čine dva specijalizirana odjela za procjenu utjecaja na okoliš, a to su Služba za procjenu okoliša i</w:t>
            </w:r>
          </w:p>
          <w:p w:rsidR="009B2E82" w:rsidRPr="009B2E82" w:rsidRDefault="009B2E82" w:rsidP="009B2E82">
            <w:pPr>
              <w:widowControl w:val="0"/>
              <w:shd w:val="clear" w:color="auto" w:fill="FFFFFF"/>
              <w:autoSpaceDE w:val="0"/>
              <w:autoSpaceDN w:val="0"/>
              <w:adjustRightInd w:val="0"/>
              <w:spacing w:after="0" w:line="274" w:lineRule="exact"/>
              <w:ind w:hanging="5"/>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0"/>
              <w:jc w:val="both"/>
              <w:rPr>
                <w:rFonts w:ascii="Arial" w:eastAsia="Times New Roman" w:hAnsi="Arial" w:cs="Arial"/>
                <w:sz w:val="20"/>
                <w:szCs w:val="20"/>
                <w:lang w:eastAsia="hr-HR"/>
              </w:rPr>
            </w:pPr>
            <w:r w:rsidRPr="009B2E82">
              <w:rPr>
                <w:rFonts w:ascii="Times New Roman" w:eastAsia="Times New Roman" w:hAnsi="Times New Roman" w:cs="Times New Roman"/>
                <w:iCs/>
                <w:color w:val="000000"/>
                <w:sz w:val="20"/>
                <w:szCs w:val="20"/>
                <w:lang w:eastAsia="hr-HR"/>
              </w:rPr>
              <w:t>U okviru projekta CARDS 2003</w:t>
            </w:r>
            <w:r w:rsidRPr="009B2E82">
              <w:rPr>
                <w:rFonts w:ascii="Times New Roman" w:eastAsia="Times New Roman" w:hAnsi="Times New Roman" w:cs="Times New Roman"/>
                <w:color w:val="000000"/>
                <w:sz w:val="20"/>
                <w:szCs w:val="20"/>
                <w:lang w:eastAsia="hr-HR"/>
              </w:rPr>
              <w:t>: „</w:t>
            </w:r>
            <w:r w:rsidRPr="009B2E82">
              <w:rPr>
                <w:rFonts w:ascii="Times New Roman" w:eastAsia="Times New Roman" w:hAnsi="Times New Roman" w:cs="Times New Roman"/>
                <w:iCs/>
                <w:color w:val="000000"/>
                <w:sz w:val="20"/>
                <w:szCs w:val="20"/>
                <w:lang w:eastAsia="hr-HR"/>
              </w:rPr>
              <w:t>Procjena utjecaja na okoliš – smjernice i obuka“</w:t>
            </w:r>
            <w:r w:rsidRPr="009B2E82">
              <w:rPr>
                <w:rFonts w:ascii="Times New Roman" w:eastAsia="Times New Roman" w:hAnsi="Times New Roman" w:cs="Times New Roman"/>
                <w:color w:val="000000"/>
                <w:sz w:val="20"/>
                <w:szCs w:val="20"/>
                <w:lang w:eastAsia="hr-HR"/>
              </w:rPr>
              <w:t xml:space="preserve">, izrađen je i proveden program obuke za nadležna tijela na državnoj razini, nadležna tijela na regionalnoj razini i osobe ovlaštene za izradu studija o utjecaju na okoliš.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Kriterij</w:t>
            </w:r>
            <w:r w:rsidRPr="009B2E82">
              <w:rPr>
                <w:rFonts w:ascii="Times New Roman" w:eastAsia="Times New Roman" w:hAnsi="Times New Roman" w:cs="Times New Roman"/>
                <w:bCs/>
                <w:color w:val="000000"/>
                <w:spacing w:val="-2"/>
                <w:sz w:val="20"/>
                <w:szCs w:val="20"/>
                <w:lang w:eastAsia="hr-HR"/>
              </w:rPr>
              <w:t xml:space="preserve">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301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Arial" w:eastAsia="Times New Roman" w:hAnsi="Arial" w:cs="Arial"/>
                <w:sz w:val="20"/>
                <w:szCs w:val="20"/>
                <w:lang w:eastAsia="hr-HR"/>
              </w:rPr>
              <w:br/>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ind w:firstLine="10"/>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Odjel za stratešku procjenu utjecaja na okoliš, koji imaju odgovarajuću administrativnu sposobnost za pružanje praktičnih i pravnih savjeta o primjenjivosti direktiva vezanih uz PUO/SPUO, koje se kontinuirano jačaju.</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S obzirom na to </w:t>
            </w:r>
            <w:r w:rsidRPr="009B2E82">
              <w:rPr>
                <w:rFonts w:ascii="Times New Roman" w:eastAsia="Times New Roman" w:hAnsi="Times New Roman" w:cs="Times New Roman"/>
                <w:color w:val="000000"/>
                <w:spacing w:val="1"/>
                <w:sz w:val="20"/>
                <w:szCs w:val="20"/>
                <w:lang w:eastAsia="hr-HR"/>
              </w:rPr>
              <w:t>da je tijekom provedbe projekta proveden i program „trening za trenere" djelatnici Ministarstva i upravnih tijela u županiji osposobljeni su za daljnju edukaciju svih sudionika u postupku procjene utjecaja na okoliš te su u mogućnosti pružiti praktične i pravne savjete o provedivosti direktiva PUO / SPUO</w:t>
            </w:r>
          </w:p>
        </w:tc>
      </w:tr>
      <w:tr w:rsidR="009B2E82" w:rsidRPr="009B2E82" w:rsidTr="009B2E82">
        <w:trPr>
          <w:trHeight w:hRule="exact" w:val="4243"/>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G.7 - Postojanje statističke osnove potrebne za poduzimanje evaluacije za procjenu učinkovitosti i utjecaja programa. Postojanje sustava pokazatelja rezultata potrebnih za odabir aktivnosti koje najučinkovitije pridonose željenim rezultatima, za praćenje napretka prema ostvarenju rezultata i za provođenje procjene utjecaja.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91"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1 - Mjere za pravodobno prikupljanje i objedinjavanje statističkih podataka sa sljedećim elementima: identifikacija izvora i mehanizama kako bi se osiguralo statističko potvrđivanje.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91"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Program statističkih aktivnosti Republike Hrvatske 2013. - 2017. (NN 69/13)</w:t>
            </w:r>
          </w:p>
          <w:p w:rsidR="009B2E82" w:rsidRPr="009B2E82" w:rsidRDefault="009B2E82" w:rsidP="009B2E82">
            <w:pPr>
              <w:widowControl w:val="0"/>
              <w:shd w:val="clear" w:color="auto" w:fill="FFFFFF"/>
              <w:autoSpaceDE w:val="0"/>
              <w:autoSpaceDN w:val="0"/>
              <w:adjustRightInd w:val="0"/>
              <w:spacing w:after="0" w:line="226" w:lineRule="exact"/>
              <w:ind w:right="91"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Nacionalna pravila razvijena za programsko razdoblje 2007. - 2013. (Strateško planiranje, predviđanje i nadzor fizičkih i financijskih pokazatelja Operativnog programa, procjena i zatvaranje Operativnog programa).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jc w:val="both"/>
              <w:rPr>
                <w:rFonts w:ascii="Times New Roman" w:eastAsia="Times New Roman" w:hAnsi="Times New Roman" w:cs="Times New Roman"/>
                <w:iCs/>
                <w:color w:val="000000"/>
                <w:spacing w:val="1"/>
                <w:sz w:val="20"/>
                <w:szCs w:val="20"/>
                <w:lang w:eastAsia="hr-HR"/>
              </w:rPr>
            </w:pPr>
            <w:r w:rsidRPr="009B2E82">
              <w:rPr>
                <w:rFonts w:ascii="Times New Roman" w:eastAsia="Times New Roman" w:hAnsi="Times New Roman" w:cs="Times New Roman"/>
                <w:iCs/>
                <w:color w:val="000000"/>
                <w:spacing w:val="1"/>
                <w:sz w:val="20"/>
                <w:szCs w:val="20"/>
                <w:lang w:eastAsia="hr-HR"/>
              </w:rPr>
              <w:t>Program statističkih aktivnosti Republike Hrvatske 2013. - 2017. sadrži statističke podatke propisane pravnom stečevinom Europske unije i druge statističke podatke na državnoj razini. Svi ovi statistički podatci odgovaraju kriterijima, tj mjerama za  pravodobno prikupljanje i objedinjavanje statističkih podataka sa sljedećim elementima:</w:t>
            </w:r>
          </w:p>
          <w:p w:rsidR="009B2E82" w:rsidRPr="009B2E82" w:rsidRDefault="009B2E82" w:rsidP="009B2E82">
            <w:pPr>
              <w:widowControl w:val="0"/>
              <w:shd w:val="clear" w:color="auto" w:fill="FFFFFF"/>
              <w:autoSpaceDE w:val="0"/>
              <w:autoSpaceDN w:val="0"/>
              <w:adjustRightInd w:val="0"/>
              <w:spacing w:after="0" w:line="230" w:lineRule="exact"/>
              <w:ind w:right="10" w:firstLine="5"/>
              <w:jc w:val="both"/>
              <w:rPr>
                <w:rFonts w:ascii="Arial" w:eastAsia="Times New Roman" w:hAnsi="Arial" w:cs="Arial"/>
                <w:sz w:val="20"/>
                <w:szCs w:val="20"/>
                <w:lang w:eastAsia="hr-HR"/>
              </w:rPr>
            </w:pPr>
            <w:r w:rsidRPr="009B2E82">
              <w:rPr>
                <w:rFonts w:ascii="Times New Roman" w:eastAsia="Times New Roman" w:hAnsi="Times New Roman" w:cs="Times New Roman"/>
                <w:iCs/>
                <w:color w:val="000000"/>
                <w:spacing w:val="1"/>
                <w:sz w:val="20"/>
                <w:szCs w:val="20"/>
                <w:lang w:eastAsia="hr-HR"/>
              </w:rPr>
              <w:t xml:space="preserve">- utvrđivanje izvora i mehanizama kako bi se osigurala statistička valjanost; </w:t>
            </w:r>
            <w:r w:rsidRPr="009B2E82">
              <w:rPr>
                <w:rFonts w:ascii="Times New Roman" w:eastAsia="Times New Roman" w:hAnsi="Times New Roman" w:cs="Times New Roman"/>
                <w:iCs/>
                <w:color w:val="000000"/>
                <w:spacing w:val="1"/>
                <w:sz w:val="20"/>
                <w:szCs w:val="20"/>
                <w:lang w:eastAsia="hr-HR"/>
              </w:rPr>
              <w:br/>
              <w:t>- mjere za objavu i javnu dostupnost objedinjenih podataka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b/>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4234"/>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G.7 - Postojanje statističke osnove potrebne za poduzimanje evaluacije za procjenu učinkovitosti i utjecaja programa. Postojanje sustava pokazatelja rezultata potrebnih za odabir aktivnosti koje najučinkovitije pridonose željenim rezultatima, za praćenje napretka prema ostvarenju rezultata i za provođenje procjene utjecaja.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 xml:space="preserve">2 - Mjere za pravodobno prikupljanje i objedinjavanje statističkih podataka sa sljedećim elementima: </w:t>
            </w:r>
            <w:r w:rsidRPr="009B2E82">
              <w:rPr>
                <w:rFonts w:ascii="Times New Roman" w:eastAsia="Times New Roman" w:hAnsi="Times New Roman" w:cs="Times New Roman"/>
                <w:iCs/>
                <w:color w:val="000000"/>
                <w:spacing w:val="1"/>
                <w:sz w:val="20"/>
                <w:szCs w:val="20"/>
                <w:lang w:eastAsia="hr-HR"/>
              </w:rPr>
              <w:t>mjere za objavu i javnu dostupnost objedinjenih podataka</w:t>
            </w:r>
            <w:r w:rsidRPr="009B2E82">
              <w:rPr>
                <w:rFonts w:ascii="Times New Roman" w:eastAsia="Times New Roman" w:hAnsi="Times New Roman" w:cs="Times New Roman"/>
                <w:sz w:val="20"/>
                <w:szCs w:val="20"/>
                <w:lang w:eastAsia="hr-HR"/>
              </w:rPr>
              <w:t>.</w:t>
            </w: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48"/>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Program statističkih aktivnosti Republike Hrvatske 2013. - 2017. (NN 69/13)</w:t>
            </w:r>
          </w:p>
          <w:p w:rsidR="009B2E82" w:rsidRPr="009B2E82" w:rsidRDefault="009B2E82" w:rsidP="009B2E82">
            <w:pPr>
              <w:widowControl w:val="0"/>
              <w:shd w:val="clear" w:color="auto" w:fill="FFFFFF"/>
              <w:autoSpaceDE w:val="0"/>
              <w:autoSpaceDN w:val="0"/>
              <w:adjustRightInd w:val="0"/>
              <w:spacing w:after="0" w:line="226" w:lineRule="exact"/>
              <w:ind w:right="48"/>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 xml:space="preserve">Nacionalna pravila razvijena za programsko razdoblje 2007. - 2013. (Strateško planiranje, predviđanje i nadzor fizičkih i financijskih pokazatelja </w:t>
            </w:r>
            <w:r w:rsidRPr="009B2E82">
              <w:rPr>
                <w:rFonts w:ascii="Times New Roman" w:eastAsia="Times New Roman" w:hAnsi="Times New Roman" w:cs="Times New Roman"/>
                <w:color w:val="000000"/>
                <w:spacing w:val="-1"/>
                <w:sz w:val="20"/>
                <w:szCs w:val="20"/>
                <w:lang w:eastAsia="hr-HR"/>
              </w:rPr>
              <w:t>Operativnog programa</w:t>
            </w:r>
            <w:r w:rsidRPr="009B2E82">
              <w:rPr>
                <w:rFonts w:ascii="Times New Roman" w:eastAsia="Times New Roman" w:hAnsi="Times New Roman" w:cs="Times New Roman"/>
                <w:color w:val="000000"/>
                <w:sz w:val="20"/>
                <w:szCs w:val="20"/>
                <w:lang w:eastAsia="hr-HR"/>
              </w:rPr>
              <w:t>, procjena i zatvaranje Operativnog programa).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jc w:val="both"/>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iCs/>
                <w:color w:val="000000"/>
                <w:spacing w:val="1"/>
                <w:sz w:val="20"/>
                <w:szCs w:val="20"/>
                <w:lang w:eastAsia="hr-HR"/>
              </w:rPr>
              <w:t>Program statističkih</w:t>
            </w:r>
            <w:r w:rsidRPr="009B2E82">
              <w:rPr>
                <w:rFonts w:ascii="Times New Roman" w:eastAsia="Times New Roman" w:hAnsi="Times New Roman" w:cs="Times New Roman"/>
                <w:color w:val="000000"/>
                <w:spacing w:val="1"/>
                <w:sz w:val="20"/>
                <w:szCs w:val="20"/>
                <w:lang w:eastAsia="hr-HR"/>
              </w:rPr>
              <w:t xml:space="preserve"> aktivnosti </w:t>
            </w:r>
            <w:r w:rsidRPr="009B2E82">
              <w:rPr>
                <w:rFonts w:ascii="Times New Roman" w:eastAsia="Times New Roman" w:hAnsi="Times New Roman" w:cs="Times New Roman"/>
                <w:iCs/>
                <w:color w:val="000000"/>
                <w:spacing w:val="1"/>
                <w:sz w:val="20"/>
                <w:szCs w:val="20"/>
                <w:lang w:eastAsia="hr-HR"/>
              </w:rPr>
              <w:t>Republike Hrvatske 2013</w:t>
            </w:r>
            <w:r w:rsidRPr="009B2E82">
              <w:rPr>
                <w:rFonts w:ascii="Times New Roman" w:eastAsia="Times New Roman" w:hAnsi="Times New Roman" w:cs="Times New Roman"/>
                <w:color w:val="000000"/>
                <w:spacing w:val="1"/>
                <w:sz w:val="20"/>
                <w:szCs w:val="20"/>
                <w:lang w:eastAsia="hr-HR"/>
              </w:rPr>
              <w:t xml:space="preserve">. - 2017. </w:t>
            </w:r>
            <w:r w:rsidRPr="009B2E82">
              <w:rPr>
                <w:rFonts w:ascii="Times New Roman" w:eastAsia="Times New Roman" w:hAnsi="Times New Roman" w:cs="Times New Roman"/>
                <w:iCs/>
                <w:color w:val="000000"/>
                <w:spacing w:val="1"/>
                <w:sz w:val="20"/>
                <w:szCs w:val="20"/>
                <w:lang w:eastAsia="hr-HR"/>
              </w:rPr>
              <w:t>sadrži statističke podatke propisane pravnom stečevinom Europske unije i druge statističke podatke na državnoj razini. Svi ovi statistički podatci odgovaraju kriterijima, tj mjerama za pravodobno prikupljanje i objedinjavanje statističkih podataka sa sljedećim elementima:</w:t>
            </w:r>
          </w:p>
          <w:p w:rsidR="009B2E82" w:rsidRPr="009B2E82" w:rsidRDefault="009B2E82" w:rsidP="009B2E82">
            <w:pPr>
              <w:widowControl w:val="0"/>
              <w:shd w:val="clear" w:color="auto" w:fill="FFFFFF"/>
              <w:autoSpaceDE w:val="0"/>
              <w:autoSpaceDN w:val="0"/>
              <w:adjustRightInd w:val="0"/>
              <w:spacing w:after="0" w:line="230" w:lineRule="exact"/>
              <w:ind w:right="10" w:firstLine="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 utvrđivanje izvora i mehanizama kako bi se osigurala statistička valjanost; </w:t>
            </w:r>
            <w:r w:rsidRPr="009B2E82">
              <w:rPr>
                <w:rFonts w:ascii="Times New Roman" w:eastAsia="Times New Roman" w:hAnsi="Times New Roman" w:cs="Times New Roman"/>
                <w:color w:val="000000"/>
                <w:spacing w:val="1"/>
                <w:sz w:val="20"/>
                <w:szCs w:val="20"/>
                <w:lang w:eastAsia="hr-HR"/>
              </w:rPr>
              <w:br/>
              <w:t>- mjere za objavu i javnu dostupnost objedinjenih podataka</w:t>
            </w:r>
          </w:p>
        </w:tc>
      </w:tr>
      <w:tr w:rsidR="009B2E82" w:rsidRPr="009B2E82" w:rsidTr="009B2E82">
        <w:trPr>
          <w:trHeight w:hRule="exact" w:val="348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G.7 - Postojanje statističke osnove potrebne za poduzimanje evaluacije za procjenu učinkovitosti i utjecaja programa. Postojanje sustava pokazatelja rezultata potrebnih za odabir aktivnosti koje najučinkovitije pridonose željenim rezultatima, za praćenje napretka prema ostvarenju rezultata i za provođenje procjene utjecaja.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34"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3 – U</w:t>
            </w:r>
            <w:r w:rsidRPr="009B2E82">
              <w:rPr>
                <w:rFonts w:ascii="Times New Roman" w:eastAsia="Times New Roman" w:hAnsi="Times New Roman" w:cs="Times New Roman"/>
                <w:color w:val="000000"/>
                <w:spacing w:val="-1"/>
                <w:sz w:val="20"/>
                <w:szCs w:val="20"/>
                <w:lang w:eastAsia="hr-HR"/>
              </w:rPr>
              <w:t>činkovit sustav pokazatelja rezultata koji uključuje odabir pokazatelja rezultata za svaki program, pružajući informacije o tome na čemu se temeljio odabir političkih aktivnosti koje su financirane programom.</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 xml:space="preserve">Nacionalna pravila razvijena za programsko razdoblje 2007. - 2013. (Strateško planiranje, predviđanje i nadzor fizičkih i financijskih pokazatelja </w:t>
            </w:r>
            <w:r w:rsidRPr="009B2E82">
              <w:rPr>
                <w:rFonts w:ascii="Times New Roman" w:eastAsia="Times New Roman" w:hAnsi="Times New Roman" w:cs="Times New Roman"/>
                <w:color w:val="000000"/>
                <w:spacing w:val="-1"/>
                <w:sz w:val="20"/>
                <w:szCs w:val="20"/>
                <w:lang w:eastAsia="hr-HR"/>
              </w:rPr>
              <w:t>Operativnog programa</w:t>
            </w:r>
            <w:r w:rsidRPr="009B2E82">
              <w:rPr>
                <w:rFonts w:ascii="Times New Roman" w:eastAsia="Times New Roman" w:hAnsi="Times New Roman" w:cs="Times New Roman"/>
                <w:sz w:val="20"/>
                <w:szCs w:val="20"/>
                <w:lang w:eastAsia="hr-HR"/>
              </w:rPr>
              <w:t>, procjena i zatvaranje Operativnog programa).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firstLine="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Na temelju nacionalnih pravila razvijenih za programsko razdoblje 2007. - 2013. (Strateško planiranje, predviđanje i nadzor fizičkih i financijskih pokazatelja Operativnog programa, procjena i zatvaranje Operativnog programa), koordinacijsko tijelo dodatno će poboljšati nacionalna pravila i smjernice navodeći kontrolne točke i ciljeve za pokazatelje koji se žele postići u programskom razdoblju 2014. - 2020.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sz w:val="20"/>
                <w:szCs w:val="20"/>
                <w:lang w:eastAsia="hr-HR"/>
              </w:rPr>
            </w:pPr>
            <w:r w:rsidRPr="009B2E82">
              <w:rPr>
                <w:rFonts w:ascii="Times New Roman" w:eastAsia="Times New Roman" w:hAnsi="Times New Roman" w:cs="Times New Roman"/>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6"/>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1888"/>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Metodologija za reviziju državnih pravila i smjernica s ciljem uspostavljanja okvira uspješnosti temelji se na propisima koji postavljaju zajedničke odredbe za ESI fondove, propise za fondove i prijedlog provedbenih propisa Komisije.</w:t>
            </w:r>
          </w:p>
        </w:tc>
      </w:tr>
      <w:tr w:rsidR="009B2E82" w:rsidRPr="009B2E82" w:rsidTr="009B2E82">
        <w:trPr>
          <w:trHeight w:hRule="exact" w:val="4387"/>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G.7 - Postojanje statističke osnove potrebne za poduzimanje evaluacije za procjenu učinkovitosti i utjecaja programa. Postojanje sustava pokazatelja rezultata potrebnih za odabir aktivnosti koje najučinkovitije pridonose željenim rezultatima, za praćenje napretka prema ostvarenju rezultata i za provođenje procjene utjecaja.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44"/>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4 – Učinkovit sustav pokazatelja rezultata koji uključuje uspostavu ciljeva za ove pokazatelje</w:t>
            </w:r>
            <w:r w:rsidRPr="009B2E82">
              <w:rPr>
                <w:rFonts w:ascii="Times New Roman" w:eastAsia="Times New Roman" w:hAnsi="Times New Roman" w:cs="Times New Roman"/>
                <w:color w:val="000000"/>
                <w:spacing w:val="-1"/>
                <w:sz w:val="20"/>
                <w:szCs w:val="20"/>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Nacionalna pravila razvijena za programsko razdoblje 2007. - 2013. (Strateško planiranje, predviđanje i nadzor fizičkih i financijskih pokazatelja Operativnog programa, procjena i zatvaranje Operativnog programa).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Na temelju nacionalnih pravila razvijenih za programsko razdoblje 2007.- 2013. (Strateško planiranje, predviđanje i nadzor fizičkih i financijskih pokazatelja </w:t>
            </w:r>
            <w:r w:rsidRPr="009B2E82">
              <w:rPr>
                <w:rFonts w:ascii="Times New Roman" w:eastAsia="Times New Roman" w:hAnsi="Times New Roman" w:cs="Times New Roman"/>
                <w:sz w:val="20"/>
                <w:szCs w:val="20"/>
                <w:lang w:eastAsia="hr-HR"/>
              </w:rPr>
              <w:t>Operativnog programa</w:t>
            </w:r>
            <w:r w:rsidRPr="009B2E82">
              <w:rPr>
                <w:rFonts w:ascii="Times New Roman" w:eastAsia="Times New Roman" w:hAnsi="Times New Roman" w:cs="Times New Roman"/>
                <w:color w:val="000000"/>
                <w:sz w:val="20"/>
                <w:szCs w:val="20"/>
                <w:lang w:eastAsia="hr-HR"/>
              </w:rPr>
              <w:t>, procjena i zatvaranje Operativnog programa), koordinacijsko tijelo dodatno će poboljšati nacionalna pravila i smjernice navodeći kontrolne točke i ciljeve za pokazatelje koji se žele postići u programskom razdoblju 2014. - 2020. Metodologija za reviziju državnih pravila i smjernica s ciljem uspostavljanja okvira uspješnosti temelji se na propisima o zajedničkim odredbama za ESI fondove, uredbama o fondovima i provedbenim uredbama Komisije.</w:t>
            </w:r>
          </w:p>
        </w:tc>
      </w:tr>
      <w:tr w:rsidR="009B2E82" w:rsidRPr="009B2E82" w:rsidTr="009B2E82">
        <w:trPr>
          <w:trHeight w:hRule="exact" w:val="2841"/>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lastRenderedPageBreak/>
              <w:t>G.7 - Postojanje statističke osnove potrebne za poduzimanje evaluacije za procjenu učinkovitosti i utjecaja programa. Postojanje sustava pokazatelja rezultata potrebnih za odabir aktivnosti koje najučinkovitije pridonose željenim rezultatima, za praćenje napretka prema ostvarenju rezultata i za provođenje procjene utjecaja.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7"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5 - Učinkovit sustav pokazatelja rezultata koji uključuje</w:t>
            </w:r>
            <w:r w:rsidRPr="009B2E82">
              <w:rPr>
                <w:rFonts w:ascii="Times New Roman" w:eastAsia="Times New Roman" w:hAnsi="Times New Roman" w:cs="Times New Roman"/>
                <w:color w:val="000000"/>
                <w:spacing w:val="-1"/>
                <w:sz w:val="20"/>
                <w:szCs w:val="20"/>
                <w:lang w:eastAsia="hr-HR"/>
              </w:rPr>
              <w:t xml:space="preserve"> usklađenost svakog pojedinog pokazatelja sa </w:t>
            </w:r>
            <w:r w:rsidRPr="009B2E82">
              <w:rPr>
                <w:rFonts w:ascii="Times New Roman" w:eastAsia="Times New Roman" w:hAnsi="Times New Roman" w:cs="Times New Roman"/>
                <w:color w:val="000000"/>
                <w:sz w:val="20"/>
                <w:szCs w:val="20"/>
                <w:lang w:eastAsia="hr-HR"/>
              </w:rPr>
              <w:t>sljedećim zahtjevima: robusnost i statistička valjanost, jasnoća normativnog tumačenja, odaziv na politiku, pravodobno prikupljanje podataka</w:t>
            </w:r>
            <w:r w:rsidRPr="009B2E82">
              <w:rPr>
                <w:rFonts w:ascii="Times New Roman" w:eastAsia="Times New Roman" w:hAnsi="Times New Roman" w:cs="Times New Roman"/>
                <w:color w:val="000000"/>
                <w:spacing w:val="-1"/>
                <w:sz w:val="20"/>
                <w:szCs w:val="20"/>
                <w:lang w:eastAsia="hr-HR"/>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Nacionalna pravila razvijena za programsko razdoblje 2007. - 2013. (Strateško planiranje, predviđanje i nadzor fizičkih i financijskih pokazatelja </w:t>
            </w:r>
            <w:r w:rsidRPr="009B2E82">
              <w:rPr>
                <w:rFonts w:ascii="Times New Roman" w:eastAsia="Times New Roman" w:hAnsi="Times New Roman" w:cs="Times New Roman"/>
                <w:sz w:val="20"/>
                <w:szCs w:val="20"/>
                <w:lang w:eastAsia="hr-HR"/>
              </w:rPr>
              <w:t>Operativnog programa, procjena i zatvaranje Operativnog programa).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Na temelju nacionalnih pravila razvijenih za programsko razdoblje 2007. - 2013. (Strateško planiranje, predviđanje i nadzor fizičkih i financijskih pokazatelja </w:t>
            </w:r>
            <w:r w:rsidRPr="009B2E82">
              <w:rPr>
                <w:rFonts w:ascii="Times New Roman" w:eastAsia="Times New Roman" w:hAnsi="Times New Roman" w:cs="Times New Roman"/>
                <w:sz w:val="20"/>
                <w:szCs w:val="20"/>
                <w:lang w:eastAsia="hr-HR"/>
              </w:rPr>
              <w:t>Operativnog programa</w:t>
            </w:r>
            <w:r w:rsidRPr="009B2E82">
              <w:rPr>
                <w:rFonts w:ascii="Times New Roman" w:eastAsia="Times New Roman" w:hAnsi="Times New Roman" w:cs="Times New Roman"/>
                <w:color w:val="000000"/>
                <w:sz w:val="20"/>
                <w:szCs w:val="20"/>
                <w:lang w:eastAsia="hr-HR"/>
              </w:rPr>
              <w:t>, procjena i zatvaranje Operativnog programa), koordinacijsko tijelo dodatno će poboljšati nacionalna pravila i smjernice navodeći kontrolne točke i ciljeve za pokazatelje koji se žele postići u programskom razdoblju 2014. – 2020.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370"/>
        <w:gridCol w:w="3456"/>
        <w:gridCol w:w="1277"/>
        <w:gridCol w:w="3408"/>
        <w:gridCol w:w="3408"/>
      </w:tblGrid>
      <w:tr w:rsidR="009B2E82" w:rsidRPr="009B2E82" w:rsidTr="009B2E82">
        <w:trPr>
          <w:trHeight w:hRule="exact" w:val="82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29"/>
              <w:rPr>
                <w:rFonts w:ascii="Arial" w:eastAsia="Times New Roman" w:hAnsi="Arial" w:cs="Arial"/>
                <w:sz w:val="20"/>
                <w:szCs w:val="20"/>
                <w:lang w:eastAsia="hr-HR"/>
              </w:rPr>
            </w:pPr>
            <w:r w:rsidRPr="009B2E82">
              <w:rPr>
                <w:rFonts w:ascii="Times New Roman" w:hAnsi="Times New Roman" w:cs="Times New Roman"/>
                <w:b/>
                <w:bCs/>
                <w:color w:val="000000"/>
                <w:spacing w:val="2"/>
                <w:sz w:val="20"/>
                <w:szCs w:val="20"/>
                <w:lang w:eastAsia="hr-HR"/>
              </w:rPr>
              <w:lastRenderedPageBreak/>
              <w:t>Ex ante uvjet</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72"/>
              <w:rPr>
                <w:rFonts w:ascii="Arial" w:eastAsia="Times New Roman" w:hAnsi="Arial" w:cs="Arial"/>
                <w:sz w:val="20"/>
                <w:szCs w:val="20"/>
                <w:lang w:eastAsia="hr-HR"/>
              </w:rPr>
            </w:pPr>
            <w:r w:rsidRPr="009B2E82">
              <w:rPr>
                <w:rFonts w:ascii="Times New Roman" w:eastAsia="Times New Roman" w:hAnsi="Times New Roman" w:cs="Times New Roman"/>
                <w:bCs/>
                <w:color w:val="000000"/>
                <w:spacing w:val="-2"/>
                <w:sz w:val="20"/>
                <w:szCs w:val="20"/>
                <w:lang w:eastAsia="hr-HR"/>
              </w:rPr>
              <w:t xml:space="preserve">Kriterij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58" w:right="163"/>
              <w:jc w:val="center"/>
              <w:rPr>
                <w:rFonts w:ascii="Arial" w:eastAsia="Times New Roman" w:hAnsi="Arial" w:cs="Arial"/>
                <w:sz w:val="20"/>
                <w:szCs w:val="20"/>
                <w:lang w:eastAsia="hr-HR"/>
              </w:rPr>
            </w:pPr>
            <w:r w:rsidRPr="009B2E82">
              <w:rPr>
                <w:rFonts w:ascii="Times New Roman" w:eastAsia="Times New Roman" w:hAnsi="Times New Roman" w:cs="Times New Roman"/>
                <w:bCs/>
                <w:color w:val="000000"/>
                <w:spacing w:val="-2"/>
                <w:sz w:val="20"/>
                <w:szCs w:val="20"/>
                <w:lang w:eastAsia="hr-HR"/>
              </w:rPr>
              <w:t xml:space="preserve">Kriterij </w:t>
            </w:r>
            <w:r w:rsidRPr="009B2E82">
              <w:rPr>
                <w:rFonts w:ascii="Times New Roman" w:eastAsia="Times New Roman" w:hAnsi="Times New Roman" w:cs="Times New Roman"/>
                <w:b/>
                <w:bCs/>
                <w:color w:val="000000"/>
                <w:spacing w:val="-1"/>
                <w:sz w:val="20"/>
                <w:szCs w:val="20"/>
                <w:lang w:eastAsia="hr-HR"/>
              </w:rPr>
              <w:t xml:space="preserve">ispunjen </w:t>
            </w:r>
          </w:p>
          <w:p w:rsidR="009B2E82" w:rsidRPr="009B2E82" w:rsidRDefault="009B2E82" w:rsidP="009B2E82">
            <w:pPr>
              <w:widowControl w:val="0"/>
              <w:shd w:val="clear" w:color="auto" w:fill="FFFFFF"/>
              <w:autoSpaceDE w:val="0"/>
              <w:autoSpaceDN w:val="0"/>
              <w:adjustRightInd w:val="0"/>
              <w:spacing w:after="0" w:line="230" w:lineRule="exact"/>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 xml:space="preserve">(Da/Ne)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2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4"/>
                <w:sz w:val="20"/>
                <w:szCs w:val="20"/>
                <w:lang w:eastAsia="hr-HR"/>
              </w:rPr>
              <w:t xml:space="preserve">Referenca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20"/>
                <w:szCs w:val="20"/>
                <w:lang w:eastAsia="hr-HR"/>
              </w:rPr>
              <w:t xml:space="preserve">Objašnjenje </w:t>
            </w:r>
          </w:p>
        </w:tc>
      </w:tr>
      <w:tr w:rsidR="009B2E82" w:rsidRPr="009B2E82" w:rsidTr="009B2E82">
        <w:trPr>
          <w:trHeight w:hRule="exact" w:val="2429"/>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552" w:hanging="5"/>
              <w:rPr>
                <w:rFonts w:ascii="Arial" w:eastAsia="Times New Roman" w:hAnsi="Arial" w:cs="Arial"/>
                <w:sz w:val="20"/>
                <w:szCs w:val="20"/>
                <w:lang w:eastAsia="hr-HR"/>
              </w:rPr>
            </w:pP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jc w:val="both"/>
              <w:rPr>
                <w:rFonts w:ascii="Arial" w:eastAsia="Times New Roman" w:hAnsi="Arial" w:cs="Arial"/>
                <w:sz w:val="20"/>
                <w:szCs w:val="20"/>
                <w:lang w:eastAsia="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firstLine="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Metodologija za reviziju državnih pravila i smjernica s ciljem uspostavljanja okvira uspješnosti temelji se na propisima o zajedničkim odredbama za ESI fondove, uredbama o fondovima i provedbenim uredbama Komisije.</w:t>
            </w:r>
          </w:p>
        </w:tc>
      </w:tr>
      <w:tr w:rsidR="009B2E82" w:rsidRPr="009B2E82" w:rsidTr="009B2E82">
        <w:trPr>
          <w:trHeight w:hRule="exact" w:val="4406"/>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hr-HR"/>
              </w:rPr>
            </w:pPr>
            <w:r w:rsidRPr="009B2E82">
              <w:rPr>
                <w:rFonts w:ascii="Times New Roman" w:eastAsia="Times New Roman" w:hAnsi="Times New Roman" w:cs="Times New Roman"/>
                <w:sz w:val="20"/>
                <w:szCs w:val="20"/>
                <w:lang w:eastAsia="hr-HR"/>
              </w:rPr>
              <w:t>G.7 - Postojanje statističke osnove potrebne za poduzimanje evaluacije za procjenu učinkovitosti i utjecaja programa. Postojanje sustava pokazatelja rezultata potrebnih za odabir aktivnosti koje najučinkovitije pridonose željenim rezultatima, za praćenje napretka prema ostvarenju rezultata i za provođenje procjene utjecaja.</w:t>
            </w:r>
          </w:p>
        </w:tc>
        <w:tc>
          <w:tcPr>
            <w:tcW w:w="34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34"/>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6 - Postupci koji osiguravaju da sve aktivnosti koje se financiraju iz programa usvoje djelotvoran sustav pokazatelja.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Da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74" w:lineRule="exact"/>
              <w:ind w:firstLine="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Nacionalna pravila razvijena za programsko razdoblje 2007. - 2013. (Strateško planiranje, predviđanje i nadzor fizičkih i financijskih pokazatelja </w:t>
            </w:r>
            <w:r w:rsidRPr="009B2E82">
              <w:rPr>
                <w:rFonts w:ascii="Times New Roman" w:eastAsia="Times New Roman" w:hAnsi="Times New Roman" w:cs="Times New Roman"/>
                <w:sz w:val="20"/>
                <w:szCs w:val="20"/>
                <w:lang w:eastAsia="hr-HR"/>
              </w:rPr>
              <w:t>Operativnog programa, procjena i zatvaranje Operativnog programa</w:t>
            </w:r>
            <w:r w:rsidRPr="009B2E82">
              <w:rPr>
                <w:rFonts w:ascii="Times New Roman" w:eastAsia="Times New Roman" w:hAnsi="Times New Roman" w:cs="Times New Roman"/>
                <w:color w:val="000000"/>
                <w:sz w:val="20"/>
                <w:szCs w:val="20"/>
                <w:lang w:eastAsia="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hanging="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Na temelju nacionalnih pravila razvijenih za programsko razdoblje 2007. - 2013. (Strateško planiranje, predviđanje i nadzor fizičkih i financijskih pokazatelja </w:t>
            </w:r>
            <w:r w:rsidRPr="009B2E82">
              <w:rPr>
                <w:rFonts w:ascii="Times New Roman" w:eastAsia="Times New Roman" w:hAnsi="Times New Roman" w:cs="Times New Roman"/>
                <w:sz w:val="20"/>
                <w:szCs w:val="20"/>
                <w:lang w:eastAsia="hr-HR"/>
              </w:rPr>
              <w:t>Operativnog programa</w:t>
            </w:r>
            <w:r w:rsidRPr="009B2E82">
              <w:rPr>
                <w:rFonts w:ascii="Times New Roman" w:eastAsia="Times New Roman" w:hAnsi="Times New Roman" w:cs="Times New Roman"/>
                <w:color w:val="000000"/>
                <w:sz w:val="20"/>
                <w:szCs w:val="20"/>
                <w:lang w:eastAsia="hr-HR"/>
              </w:rPr>
              <w:t>, procjena i zatvaranje Operativnog programa) koordinacijsko tijelo dodatno će poboljšati nacionalna pravila i smjernice navodeći kontrolne točke i ciljeve za pokazatelje koji se žele postići u programskom razdoblju 2014. – 2020. Metodologija za reviziju državnih pravila i smjernica s ciljem uspostavljanja okvira uspješnosti temelji se na propisima o zajedničkim odredbama za ESI fondove, uredbama o fondovima i provedbenim uredbama Komisije.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p w:rsidR="009B2E82" w:rsidRPr="009B2E82" w:rsidRDefault="009B2E82" w:rsidP="009B2E82">
      <w:pPr>
        <w:widowControl w:val="0"/>
        <w:shd w:val="clear" w:color="auto" w:fill="FFFFFF"/>
        <w:autoSpaceDE w:val="0"/>
        <w:autoSpaceDN w:val="0"/>
        <w:adjustRightInd w:val="0"/>
        <w:spacing w:after="0" w:line="240" w:lineRule="auto"/>
        <w:ind w:left="542"/>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26"/>
          <w:szCs w:val="26"/>
          <w:lang w:eastAsia="hr-HR"/>
        </w:rPr>
        <w:lastRenderedPageBreak/>
        <w:t>9.2 Opis aktivnosti za ispunjavanje ex-ante uvjeta, odgovorna tijela i raspored</w:t>
      </w:r>
    </w:p>
    <w:p w:rsidR="009B2E82" w:rsidRPr="009B2E82" w:rsidRDefault="009B2E82" w:rsidP="009B2E82">
      <w:pPr>
        <w:widowControl w:val="0"/>
        <w:shd w:val="clear" w:color="auto" w:fill="FFFFFF"/>
        <w:autoSpaceDE w:val="0"/>
        <w:autoSpaceDN w:val="0"/>
        <w:adjustRightInd w:val="0"/>
        <w:spacing w:before="490" w:after="0" w:line="240" w:lineRule="auto"/>
        <w:ind w:left="542"/>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26"/>
          <w:szCs w:val="26"/>
          <w:lang w:eastAsia="hr-HR"/>
        </w:rPr>
        <w:t>Tablica 25: Aktivnosti za ispunjavanje primjenjivih općih ex-ante uvjeta</w:t>
      </w:r>
    </w:p>
    <w:p w:rsidR="009B2E82" w:rsidRPr="009B2E82" w:rsidRDefault="009B2E82" w:rsidP="009B2E82">
      <w:pPr>
        <w:widowControl w:val="0"/>
        <w:autoSpaceDE w:val="0"/>
        <w:autoSpaceDN w:val="0"/>
        <w:adjustRightInd w:val="0"/>
        <w:spacing w:after="106"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21"/>
        <w:gridCol w:w="2582"/>
      </w:tblGrid>
      <w:tr w:rsidR="009B2E82" w:rsidRPr="009B2E82" w:rsidTr="009B2E82">
        <w:trPr>
          <w:trHeight w:hRule="exact" w:val="71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Opći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2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1872"/>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3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3"/>
                <w:sz w:val="20"/>
                <w:szCs w:val="20"/>
                <w:lang w:eastAsia="hr-HR"/>
              </w:rPr>
              <w:t>G.I-</w:t>
            </w:r>
            <w:r w:rsidRPr="009B2E82">
              <w:rPr>
                <w:rFonts w:ascii="Times New Roman" w:eastAsia="Times New Roman" w:hAnsi="Times New Roman" w:cs="Times New Roman"/>
                <w:color w:val="000000"/>
                <w:sz w:val="20"/>
                <w:szCs w:val="20"/>
                <w:lang w:eastAsia="hr-HR"/>
              </w:rPr>
              <w:t xml:space="preserve"> Postojanje administrativnog kapaciteta za provedbu i primjenu zakonodavstva Europske unije koje se odnosi na borbu protiv diskriminacije na području ESI fondova.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Dogovori za osposobljavanje osoblja nadležnih tijela uključenih u vođenje i kontrolu ESI fondova na području zakonodavstva Europske unije koje se odnosi na borbu protiv diskriminacije.</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Aktivnost 1 u okviru Tehničke pomoći:</w:t>
            </w:r>
          </w:p>
          <w:p w:rsidR="009B2E82" w:rsidRPr="009B2E82" w:rsidRDefault="009B2E82" w:rsidP="009B2E82">
            <w:pPr>
              <w:widowControl w:val="0"/>
              <w:shd w:val="clear" w:color="auto" w:fill="FFFFFF"/>
              <w:autoSpaceDE w:val="0"/>
              <w:autoSpaceDN w:val="0"/>
              <w:adjustRightInd w:val="0"/>
              <w:spacing w:after="0" w:line="230" w:lineRule="exact"/>
              <w:ind w:right="72"/>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Mora se razviti plan za osposobljavanje osoblja uključenog u provedbu ESI fondova na svim relevantnim razinama (UT, PT, KT i TR) u vezi sa zakonodavstvom koje se odnosi na borbu protiv diskriminacije.</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2015.</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49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rada i mirovinskog sustava</w:t>
            </w:r>
          </w:p>
        </w:tc>
      </w:tr>
      <w:tr w:rsidR="009B2E82" w:rsidRPr="009B2E82" w:rsidTr="009B2E82">
        <w:trPr>
          <w:trHeight w:hRule="exact" w:val="1872"/>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3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G.2 – Postojanje administrativnog kapaciteta za provedbu i primjenu zakonodavstva Europske unije koje se odnosi na ravnopravnost spolova na području ESI fondova. </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Dogovori za osposobljavanje osoblja nadležnih tijela uključenih u vođenje i kontrolu ESI fondova na području zakonodavstva Europske unije koje se odnosi na ravnopravnost spolova i rodno osviještenu politiku.</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72" w:hanging="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 xml:space="preserve">Pod prioritetom Tehničke pomoći mora se razviti plan za osposobljavanje osoblja uključenog u provedbu ESI fondova na svim relevantnim razinama </w:t>
            </w:r>
            <w:r w:rsidRPr="009B2E82">
              <w:rPr>
                <w:rFonts w:ascii="Times New Roman" w:eastAsia="Times New Roman" w:hAnsi="Times New Roman" w:cs="Times New Roman"/>
                <w:color w:val="000000"/>
                <w:spacing w:val="-1"/>
                <w:sz w:val="20"/>
                <w:szCs w:val="20"/>
                <w:lang w:eastAsia="hr-HR"/>
              </w:rPr>
              <w:t>(</w:t>
            </w:r>
            <w:r w:rsidRPr="009B2E82">
              <w:rPr>
                <w:rFonts w:ascii="Times New Roman" w:eastAsia="Times New Roman" w:hAnsi="Times New Roman" w:cs="Times New Roman"/>
                <w:color w:val="000000"/>
                <w:sz w:val="20"/>
                <w:szCs w:val="20"/>
                <w:lang w:eastAsia="hr-HR"/>
              </w:rPr>
              <w:t>UT, PT, KT i TR</w:t>
            </w:r>
            <w:r w:rsidRPr="009B2E82">
              <w:rPr>
                <w:rFonts w:ascii="Times New Roman" w:eastAsia="Times New Roman" w:hAnsi="Times New Roman" w:cs="Times New Roman"/>
                <w:color w:val="000000"/>
                <w:spacing w:val="-1"/>
                <w:sz w:val="20"/>
                <w:szCs w:val="20"/>
                <w:lang w:eastAsia="hr-HR"/>
              </w:rPr>
              <w:t xml:space="preserve">) </w:t>
            </w:r>
            <w:r w:rsidRPr="009B2E82">
              <w:rPr>
                <w:rFonts w:ascii="Times New Roman" w:eastAsia="Times New Roman" w:hAnsi="Times New Roman" w:cs="Times New Roman"/>
                <w:color w:val="000000"/>
                <w:sz w:val="20"/>
                <w:szCs w:val="20"/>
                <w:lang w:eastAsia="hr-HR"/>
              </w:rPr>
              <w:t>u vezi sa zakonodavstvom koje se odnosi na ravnopravnost spolova.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2015.</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49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rada i mirovinskog sustava</w:t>
            </w:r>
          </w:p>
        </w:tc>
      </w:tr>
      <w:tr w:rsidR="009B2E82" w:rsidRPr="009B2E82" w:rsidTr="009B2E82">
        <w:trPr>
          <w:trHeight w:hRule="exact" w:val="2678"/>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25"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G.3 – Postojanje administrativnog kapaciteta za provedbu i primjenu Konvencije o pravima osoba s invaliditetom (UNCRPD) Ujedinjenih naroda na području ESI fondova u skladu s Odlukom Vijeća 2010/48/EZ.</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43"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1 - Dogovori u skladu s institucionalnim i pravnim okvirom država članica za savjetovanje i uključenost tijela odgovornih za zaštitu prava osoba s invaliditetom</w:t>
            </w:r>
            <w:r w:rsidRPr="009B2E82">
              <w:rPr>
                <w:rFonts w:ascii="Times New Roman" w:eastAsia="Times New Roman" w:hAnsi="Times New Roman" w:cs="Times New Roman"/>
                <w:color w:val="000000"/>
                <w:sz w:val="20"/>
                <w:szCs w:val="20"/>
                <w:lang w:eastAsia="hr-HR"/>
              </w:rPr>
              <w:t xml:space="preserve"> ili predstavničkih organizacija osoba s invaliditetom i ostalih bitnih dionika </w:t>
            </w:r>
            <w:r w:rsidRPr="009B2E82">
              <w:rPr>
                <w:rFonts w:ascii="Times New Roman" w:eastAsia="Times New Roman" w:hAnsi="Times New Roman" w:cs="Times New Roman"/>
                <w:color w:val="000000"/>
                <w:spacing w:val="-1"/>
                <w:sz w:val="20"/>
                <w:szCs w:val="20"/>
                <w:lang w:eastAsia="hr-HR"/>
              </w:rPr>
              <w:t>putem pripreme i provedbe programa.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Finalizacija operativnog plana provedbe Nacionalne strategije za izjednačavanje mogućnosti osoba s invaliditetom 2014. - 2015.</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30. rujna 2014.</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06"/>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Ministarstvo socijalne politike i mladih koordinira pripremu operativnog plana, no ostala državna tijela (uključujući MSPM)</w:t>
            </w:r>
          </w:p>
          <w:p w:rsidR="009B2E82" w:rsidRPr="009B2E82" w:rsidRDefault="009B2E82" w:rsidP="009B2E82">
            <w:pPr>
              <w:widowControl w:val="0"/>
              <w:shd w:val="clear" w:color="auto" w:fill="FFFFFF"/>
              <w:autoSpaceDE w:val="0"/>
              <w:autoSpaceDN w:val="0"/>
              <w:adjustRightInd w:val="0"/>
              <w:spacing w:after="0" w:line="226" w:lineRule="exact"/>
              <w:ind w:right="206"/>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odgovorna su za provedbu mjera koje su u njihovoj nadležnosti.</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6"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6"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21"/>
        <w:gridCol w:w="2582"/>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Opći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2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49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278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25"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G.3 - Postojanje administrativnog kapaciteta za provedbu i primjenu Konvencije Ujedinjenih naroda o pravima osoba s invaliditetom (UNCRPD) na području ESI fondova, u skladu s Odlukom Vijeća 2010/48/EZ.</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2 – Dogovori za osposobljavanje osoblja nadležnih tijela uključenih u vođenje i kontrolu ESI fondova na području primjenjivog nacionalnog zakonodavstva i onog Europske unije koje se tiče invaliditeta, uključujući dostupnost i praktičnu primjenu UNCRPD-a, kako je izneseno u nacionalnom i zakonodavstvu Europske unije, po potrebi.</w:t>
            </w:r>
          </w:p>
          <w:p w:rsidR="009B2E82" w:rsidRPr="009B2E82" w:rsidRDefault="009B2E82" w:rsidP="009B2E82">
            <w:pPr>
              <w:widowControl w:val="0"/>
              <w:shd w:val="clear" w:color="auto" w:fill="FFFFFF"/>
              <w:autoSpaceDE w:val="0"/>
              <w:autoSpaceDN w:val="0"/>
              <w:adjustRightInd w:val="0"/>
              <w:spacing w:after="0" w:line="230" w:lineRule="exact"/>
              <w:ind w:right="5"/>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Finalizacija operativnog plana provedbe Nacionalne strategije za izjednačavanje mogućnosti osoba s invaliditetom 2014. - 2015.</w:t>
            </w:r>
          </w:p>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30. rujna 2014.</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06"/>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Ministarstvo socijalne politike i mladih koordinira pripremu operativnog plana, no ostala državna tijela (uključujući MSPM)</w:t>
            </w:r>
          </w:p>
          <w:p w:rsidR="009B2E82" w:rsidRPr="009B2E82" w:rsidRDefault="009B2E82" w:rsidP="009B2E82">
            <w:pPr>
              <w:widowControl w:val="0"/>
              <w:shd w:val="clear" w:color="auto" w:fill="FFFFFF"/>
              <w:autoSpaceDE w:val="0"/>
              <w:autoSpaceDN w:val="0"/>
              <w:adjustRightInd w:val="0"/>
              <w:spacing w:after="0" w:line="226" w:lineRule="exact"/>
              <w:ind w:right="206"/>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odgovorna su za provedbu mjera koje su u njihovoj nadležnosti.</w:t>
            </w:r>
          </w:p>
        </w:tc>
      </w:tr>
      <w:tr w:rsidR="009B2E82" w:rsidRPr="009B2E82" w:rsidTr="009B2E82">
        <w:trPr>
          <w:trHeight w:hRule="exact" w:val="2333"/>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25"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G.3 - Postojanje administrativnog kapaciteta za provedbu i primjenu Konvencije Ujedinjenih naroda o pravima osoba s invaliditetom (UNCRPD) na području ESI fondova, u skladu s Odlukom Vijeća 2010/48/EZ.</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9"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3 – Dogovori radi osiguranja nadzora provedbe čl. 9. UNCRPD-a s obzirom na ESI fondove putem pripreme i provedbe programa. </w:t>
            </w:r>
          </w:p>
          <w:p w:rsidR="009B2E82" w:rsidRPr="009B2E82" w:rsidRDefault="009B2E82" w:rsidP="009B2E82">
            <w:pPr>
              <w:widowControl w:val="0"/>
              <w:shd w:val="clear" w:color="auto" w:fill="FFFFFF"/>
              <w:autoSpaceDE w:val="0"/>
              <w:autoSpaceDN w:val="0"/>
              <w:adjustRightInd w:val="0"/>
              <w:spacing w:after="0" w:line="226" w:lineRule="exact"/>
              <w:ind w:right="149" w:firstLine="5"/>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Finalizacija operativnog plana provedbe Nacionalne strategije za izjednačavanje mogućnosti osoba s invaliditetom 2014. - 2015.</w:t>
            </w:r>
          </w:p>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30. rujna 2014.</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06"/>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Ministarstvo socijalne politike i mladih koordinira pripremu operativnog plana, no ostala državna tijela (uključujući MSPM)</w:t>
            </w:r>
          </w:p>
          <w:p w:rsidR="009B2E82" w:rsidRPr="009B2E82" w:rsidRDefault="009B2E82" w:rsidP="009B2E82">
            <w:pPr>
              <w:widowControl w:val="0"/>
              <w:shd w:val="clear" w:color="auto" w:fill="FFFFFF"/>
              <w:autoSpaceDE w:val="0"/>
              <w:autoSpaceDN w:val="0"/>
              <w:adjustRightInd w:val="0"/>
              <w:spacing w:after="0" w:line="226" w:lineRule="exact"/>
              <w:ind w:right="206"/>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odgovorna su za provedbu mjera koje su u njihovoj nadležnosti.</w:t>
            </w:r>
          </w:p>
        </w:tc>
      </w:tr>
    </w:tbl>
    <w:p w:rsidR="009B2E82" w:rsidRPr="009B2E82" w:rsidRDefault="009B2E82" w:rsidP="009B2E82">
      <w:pPr>
        <w:widowControl w:val="0"/>
        <w:shd w:val="clear" w:color="auto" w:fill="FFFFFF"/>
        <w:autoSpaceDE w:val="0"/>
        <w:autoSpaceDN w:val="0"/>
        <w:adjustRightInd w:val="0"/>
        <w:spacing w:before="490" w:after="0" w:line="240" w:lineRule="auto"/>
        <w:ind w:left="542"/>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26"/>
          <w:szCs w:val="26"/>
          <w:lang w:eastAsia="hr-HR"/>
        </w:rPr>
        <w:t>Tablica 26: Aktivnosti za ispunjavanje primjenjivih tematskih ex-ante uvjeta</w:t>
      </w:r>
    </w:p>
    <w:p w:rsidR="009B2E82" w:rsidRPr="009B2E82" w:rsidRDefault="009B2E82" w:rsidP="009B2E82">
      <w:pPr>
        <w:widowControl w:val="0"/>
        <w:autoSpaceDE w:val="0"/>
        <w:autoSpaceDN w:val="0"/>
        <w:adjustRightInd w:val="0"/>
        <w:spacing w:after="101" w:line="1" w:lineRule="exact"/>
        <w:rPr>
          <w:rFonts w:ascii="Times New Roman" w:eastAsia="Times New Roman" w:hAnsi="Times New Roman" w:cs="Times New Roman"/>
          <w:sz w:val="2"/>
          <w:szCs w:val="2"/>
          <w:lang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827"/>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left="10" w:right="202"/>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T.01.1 – Istraživanja i inovacije: </w:t>
            </w:r>
            <w:r w:rsidRPr="009B2E82">
              <w:rPr>
                <w:rFonts w:ascii="Times New Roman" w:eastAsia="Times New Roman" w:hAnsi="Times New Roman" w:cs="Times New Roman"/>
                <w:color w:val="000000"/>
                <w:sz w:val="20"/>
                <w:szCs w:val="20"/>
                <w:lang w:eastAsia="hr-HR"/>
              </w:rPr>
              <w:t>postojanje nacionalne ili regionalne</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91"/>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1 – Nacionalna ili regionalna strategija pametne specijalizacije</w:t>
            </w:r>
            <w:r w:rsidRPr="009B2E82">
              <w:rPr>
                <w:rFonts w:ascii="Times New Roman" w:eastAsia="Times New Roman" w:hAnsi="Times New Roman" w:cs="Times New Roman"/>
                <w:color w:val="000000"/>
                <w:sz w:val="20"/>
                <w:szCs w:val="20"/>
                <w:lang w:eastAsia="hr-HR"/>
              </w:rPr>
              <w:t xml:space="preserve"> nalazi se tamo gdje:</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32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Preliminarno izvješće evaluatora zaprimljeno 16. svibnja i koje je temelj ponovnog sastavljanja strategije S3. </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l. siječnja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gospodarstva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369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87"/>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strategije pametne specijalizacije u skladu s Nacionalnim programom reformi, kako bi se prilagodili izdaci privatnih istraživanja i inovacija, što je u skladu sa značajkama dobrog nacionalnog ili regionalnog sustava istraživanja i inovacija. </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9" w:firstLine="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Komponente povezane s nadzorom i upravljanjem nisu pripremljene prilikom predaje dokumenta na ex-ante evaluaciju, što znači da nisu evaluirane.</w:t>
            </w:r>
          </w:p>
          <w:p w:rsidR="009B2E82" w:rsidRPr="009B2E82" w:rsidRDefault="009B2E82" w:rsidP="009B2E82">
            <w:pPr>
              <w:widowControl w:val="0"/>
              <w:shd w:val="clear" w:color="auto" w:fill="FFFFFF"/>
              <w:autoSpaceDE w:val="0"/>
              <w:autoSpaceDN w:val="0"/>
              <w:adjustRightInd w:val="0"/>
              <w:spacing w:after="0" w:line="230" w:lineRule="exact"/>
              <w:ind w:right="2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Prva verzija strategije S3 bit će ponovo pripremljena u skladu sa saznanjima ex-ante evaluatora u rujnu 2014. Neformalna predaja strategije S3 EK-u i ex-ante evaluatoru predviđena je za listopad 2014., a ponovna priprema u skladu s dobivenim komentarima za prosinac 2014.</w:t>
            </w:r>
          </w:p>
          <w:p w:rsidR="009B2E82" w:rsidRPr="009B2E82" w:rsidRDefault="009B2E82" w:rsidP="009B2E82">
            <w:pPr>
              <w:widowControl w:val="0"/>
              <w:shd w:val="clear" w:color="auto" w:fill="FFFFFF"/>
              <w:autoSpaceDE w:val="0"/>
              <w:autoSpaceDN w:val="0"/>
              <w:adjustRightInd w:val="0"/>
              <w:spacing w:after="0" w:line="226" w:lineRule="exact"/>
              <w:ind w:right="29" w:hanging="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Predviđa se da će Vlada usvojiti strategiju S3 u prosincu 2014 drugom kvartalu 2014. (uključujući proces javnih savjetovanja). Strategija S3 formalno će se predati EK-u u siječnju 2014. Očekujemo da će se usvojiti odlukom EK-a u prvom kvartalu 2014.</w:t>
            </w:r>
          </w:p>
          <w:p w:rsidR="009B2E82" w:rsidRPr="009B2E82" w:rsidRDefault="009B2E82" w:rsidP="009B2E82">
            <w:pPr>
              <w:widowControl w:val="0"/>
              <w:shd w:val="clear" w:color="auto" w:fill="FFFFFF"/>
              <w:autoSpaceDE w:val="0"/>
              <w:autoSpaceDN w:val="0"/>
              <w:adjustRightInd w:val="0"/>
              <w:spacing w:after="0" w:line="226" w:lineRule="exact"/>
              <w:ind w:right="29" w:hanging="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i glavni radni tim S3 koji čine predstavnici iz Ministarstva gospodarstva, Ministarstva znanosti, obrazovanja i sporta (MZOS), Ministarstva poduzetništva i obrta (MPO), </w:t>
            </w:r>
            <w:r w:rsidRPr="009B2E82">
              <w:rPr>
                <w:rFonts w:ascii="Times New Roman" w:eastAsia="Times New Roman" w:hAnsi="Times New Roman" w:cs="Times New Roman"/>
                <w:color w:val="000000"/>
                <w:spacing w:val="-1"/>
                <w:sz w:val="20"/>
                <w:szCs w:val="20"/>
                <w:lang w:eastAsia="hr-HR"/>
              </w:rPr>
              <w:t>Ministarstva regionalnog razvoja i fondova Europske unije (MRRFEU) i Ministarstva poljoprivrede.</w:t>
            </w:r>
            <w:r w:rsidRPr="009B2E82">
              <w:rPr>
                <w:rFonts w:ascii="Times New Roman" w:eastAsia="Times New Roman" w:hAnsi="Times New Roman" w:cs="Times New Roman"/>
                <w:color w:val="000000"/>
                <w:sz w:val="20"/>
                <w:szCs w:val="20"/>
                <w:lang w:eastAsia="hr-HR"/>
              </w:rPr>
              <w:t xml:space="preserve"> </w:t>
            </w:r>
          </w:p>
        </w:tc>
      </w:tr>
      <w:tr w:rsidR="009B2E82" w:rsidRPr="009B2E82" w:rsidTr="009B2E82">
        <w:trPr>
          <w:trHeight w:hRule="exact" w:val="417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87"/>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T.01.1 – Istraživanja i inovacije: </w:t>
            </w:r>
            <w:r w:rsidRPr="009B2E82">
              <w:rPr>
                <w:rFonts w:ascii="Times New Roman" w:eastAsia="Times New Roman" w:hAnsi="Times New Roman" w:cs="Times New Roman"/>
                <w:color w:val="000000"/>
                <w:sz w:val="20"/>
                <w:szCs w:val="20"/>
                <w:lang w:eastAsia="hr-HR"/>
              </w:rPr>
              <w:t>postojanje nacionalne ili regionalne strategije pametne specijalizacije u skladu s Nacionalnim programom reformi, kako bi se prilagodili izdaci privatnih istraživanja i inovacija, što je u skladu sa značajkama dobrog nacionalnog ili regionalnog sustava istraživanja i inovacija.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97"/>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2 –temelji se na SWOT ili sličnoj analizi kako bi se sredstva usmjerila na ograničen skup prioriteta istraživanja i inovacija; </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Na temelju saznanja ex-ante evaluatora, SWOT analize, kao i osnovne analize i odabrani tematski prioriteti, bit će ponovo sastavljeni na način da se temelje na dokazima i odražavaju jasne poveznice i opis odabira prioriteta i koncentraciju sredstava</w:t>
            </w:r>
            <w:r w:rsidRPr="009B2E82">
              <w:rPr>
                <w:rFonts w:ascii="Times New Roman" w:eastAsia="Times New Roman" w:hAnsi="Times New Roman" w:cs="Times New Roman"/>
                <w:color w:val="000000"/>
                <w:sz w:val="20"/>
                <w:szCs w:val="20"/>
                <w:lang w:eastAsia="hr-HR"/>
              </w:rPr>
              <w:t xml:space="preserve">. Organizira se savjetovanje sa stručnim grupama kako bi se saznalo mišljenje stručnjaka o SWOT-u i prioritetnim područjima odabranima za ulaganje, a savjetovanje s dionicima organizira se radi dobivanja dodatnog mišljenja. SWOT i prioritetna područja će se na temelju mišljenja stručnjaka ponovno sastaviti i predati MRS-u (međuresornoj radnoj skupini) i upravnom odboru (UO) radi dobivanja mišljenja o odabranim prioritetima (rujan 2014.). Planira se da se konačna verzija SWOT-a i prioritetnih područja ulaganja ex-ante predaju evaluatoru u listopadu 2014. Na temelju saznanja ex-ante evaluatora, za SWOT i tematska područja planirano je da se dovrše do kraja 2014. </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firstLine="10"/>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z w:val="20"/>
                <w:szCs w:val="20"/>
                <w:lang w:eastAsia="hr-HR"/>
              </w:rPr>
              <w:t xml:space="preserve">Glavni radni tim S3 koji čine predstavnici iz Ministarstva gospodarstva, Ministarstva znanosti, obrazovanja i sporta (MZOS), Ministarstva poduzetništva i obrta (MPO), </w:t>
            </w:r>
            <w:r w:rsidRPr="009B2E82">
              <w:rPr>
                <w:rFonts w:ascii="Times New Roman" w:eastAsia="Times New Roman" w:hAnsi="Times New Roman" w:cs="Times New Roman"/>
                <w:color w:val="000000"/>
                <w:spacing w:val="-1"/>
                <w:sz w:val="20"/>
                <w:szCs w:val="20"/>
                <w:lang w:eastAsia="hr-HR"/>
              </w:rPr>
              <w:t xml:space="preserve">Ministarstva regionalnoga razvoja i fondova Europske unije (MRRFEU) te </w:t>
            </w:r>
            <w:r w:rsidRPr="009B2E82">
              <w:rPr>
                <w:rFonts w:ascii="Times New Roman" w:eastAsia="Times New Roman" w:hAnsi="Times New Roman" w:cs="Times New Roman"/>
                <w:color w:val="000000"/>
                <w:spacing w:val="-2"/>
                <w:sz w:val="20"/>
                <w:szCs w:val="20"/>
                <w:lang w:eastAsia="hr-HR"/>
              </w:rPr>
              <w:t>MRS i UO</w:t>
            </w:r>
            <w:r w:rsidRPr="009B2E82">
              <w:rPr>
                <w:rFonts w:ascii="Times New Roman" w:eastAsia="Times New Roman" w:hAnsi="Times New Roman" w:cs="Times New Roman"/>
                <w:color w:val="000000"/>
                <w:spacing w:val="-1"/>
                <w:sz w:val="20"/>
                <w:szCs w:val="20"/>
                <w:lang w:eastAsia="hr-HR"/>
              </w:rPr>
              <w:t xml:space="preserve"> Ministarstva poljoprivrede</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3235"/>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87"/>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T.01.1 –Istraživanja i inovacije: </w:t>
            </w:r>
            <w:r w:rsidRPr="009B2E82">
              <w:rPr>
                <w:rFonts w:ascii="Times New Roman" w:eastAsia="Times New Roman" w:hAnsi="Times New Roman" w:cs="Times New Roman"/>
                <w:color w:val="000000"/>
                <w:sz w:val="20"/>
                <w:szCs w:val="20"/>
                <w:lang w:eastAsia="hr-HR"/>
              </w:rPr>
              <w:t>postojanje nacionalne ili regionalne strategije pametne specijalizacije u skladu s Nacionalnim programom reformi, kako bi se prilagodili izdaci privatnih istraživanja i inovacija, što je u skladu sa značajkama dobrog nacionalnog ili regionalnog sustava istraživanja i inovacija.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72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3 – izlaže mjere za poticaj privatnog ulaganja u istraživanje i tehnološki razvoj;</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4" w:hanging="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Na temelju komentara ex-ante evaluatora prilagodit će se opis mehanizama provedbe, kombinacije politika i objašnjenja kako se oni prilagođavaju potrebama dionika. Organizirat će se savjetovanje sa stručnim grupama kako bi se saznalo mišljenje stručnjaka o mehanizmima provedbe i kombinacijama politika i korelacija između mišljenja i prioritetnih područja odabranih za ulaganje. Savjetovanje s dionicima organizirat će se kako bi se dobila dodatna mišljenja, u skladu s kojima će biti prilagođena dokumentacija. Konačno mišljenje UO-a/MRS-a planira se dobiti u rujnu 2014. Dokument će se poslati na ex-ante evaluaciju u listopadu 2014., a temeljit će se na ex-ante evaluaciji završenoj do kraja 2014.</w:t>
            </w:r>
          </w:p>
          <w:p w:rsidR="009B2E82" w:rsidRPr="009B2E82" w:rsidRDefault="009B2E82" w:rsidP="009B2E82">
            <w:pPr>
              <w:widowControl w:val="0"/>
              <w:shd w:val="clear" w:color="auto" w:fill="FFFFFF"/>
              <w:autoSpaceDE w:val="0"/>
              <w:autoSpaceDN w:val="0"/>
              <w:adjustRightInd w:val="0"/>
              <w:spacing w:after="0" w:line="226" w:lineRule="exact"/>
              <w:ind w:right="34" w:hanging="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350" w:lineRule="exact"/>
              <w:ind w:left="53" w:right="461" w:firstLine="29"/>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 Tim za izradu nacrta </w:t>
            </w:r>
            <w:r w:rsidRPr="009B2E82">
              <w:rPr>
                <w:rFonts w:ascii="Times New Roman" w:eastAsia="Times New Roman" w:hAnsi="Times New Roman" w:cs="Times New Roman"/>
                <w:color w:val="000000"/>
                <w:spacing w:val="-2"/>
                <w:sz w:val="20"/>
                <w:szCs w:val="20"/>
                <w:lang w:eastAsia="hr-HR"/>
              </w:rPr>
              <w:t xml:space="preserve">– Ministarstvo gospodarstva </w:t>
            </w:r>
            <w:r w:rsidRPr="009B2E82">
              <w:rPr>
                <w:rFonts w:ascii="Times New Roman" w:eastAsia="Times New Roman" w:hAnsi="Times New Roman" w:cs="Times New Roman"/>
                <w:color w:val="000000"/>
                <w:spacing w:val="-1"/>
                <w:sz w:val="20"/>
                <w:szCs w:val="20"/>
                <w:lang w:eastAsia="hr-HR"/>
              </w:rPr>
              <w:t>– UO/MRS</w:t>
            </w:r>
          </w:p>
        </w:tc>
      </w:tr>
      <w:tr w:rsidR="009B2E82" w:rsidRPr="009B2E82" w:rsidTr="009B2E82">
        <w:trPr>
          <w:trHeight w:hRule="exact" w:val="2323"/>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87"/>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T.01.1 - Istraživanja i inovacije: </w:t>
            </w:r>
            <w:r w:rsidRPr="009B2E82">
              <w:rPr>
                <w:rFonts w:ascii="Times New Roman" w:eastAsia="Times New Roman" w:hAnsi="Times New Roman" w:cs="Times New Roman"/>
                <w:color w:val="000000"/>
                <w:sz w:val="20"/>
                <w:szCs w:val="20"/>
                <w:lang w:eastAsia="hr-HR"/>
              </w:rPr>
              <w:t>postojanje nacionalne ili regionalne strategije pametne specijalizacije u skladu s Nacionalnim programom reformi, kako bi se prilagodili izdaci privatnih istraživanja i inovacija, što je u skladu sa značajkama dobrog nacionalnog ili regionalnog sustava istraživanja i inovacija.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05"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 sadrži mehanizam praćenja.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Priprema prvog nacrta opisa mehanizma praćenja za S3, uključujući odabrane pokazatelje i upravljačke strukture, planira se za kolovoz 2014. O nacrtu će se raspravljati i dogovarati s upravljačkim tijelom i on će se u rujnu 2014. predstaviti MRS-u i UO-u. Ex-ante evaluatoru predat će se u listopadu 2014., a na temelju komentara ex-ante evaluacije dovršiti do kraja 2014.</w:t>
            </w:r>
          </w:p>
          <w:p w:rsidR="009B2E82" w:rsidRPr="009B2E82" w:rsidRDefault="009B2E82" w:rsidP="009B2E82">
            <w:pPr>
              <w:widowControl w:val="0"/>
              <w:shd w:val="clear" w:color="auto" w:fill="FFFFFF"/>
              <w:autoSpaceDE w:val="0"/>
              <w:autoSpaceDN w:val="0"/>
              <w:adjustRightInd w:val="0"/>
              <w:spacing w:after="0" w:line="226" w:lineRule="exact"/>
              <w:ind w:right="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2104.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3"/>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MG, UT, MRS i UO</w:t>
            </w:r>
          </w:p>
        </w:tc>
      </w:tr>
      <w:tr w:rsidR="009B2E82" w:rsidRPr="009B2E82" w:rsidTr="009B2E82">
        <w:trPr>
          <w:trHeight w:hRule="exact" w:val="2333"/>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T.02.1 – Digitalni rast: strateški okvir za digitalni rast radi poticanja povoljnih, kvalitetnih i interoperabilnih IKT-om potpomognutih javnih i privatnih službi te povećanja njegova korištenja od strane građana, uključujući ugrožene skupine, poduzeća i državnu upravu, uključujući prekogranične inicijative.</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firstLine="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1 – Spreman strateški okvir za digitalni rast, primjerice unutar nacionalne ili regionalne strategije pametne specijalizacije, koji sadrži: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49" w:hanging="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Odluka Vlade o radnoj skupini s dionicima iz administracije i akademija koji pripremaju strategiju e-Hrvatska donijet će se do 1. rujna 2014. Dovršeni nacrt strategije javno će se predstaviti, a javno savjetovanje održat će se u srpnju 2014. Strategija će se ažurirati u kolovozu 2014., u skladu s povratnim informacijama sa savjetovanja. Vladino usvajanje strategije planira se za prosinac 2015.</w:t>
            </w:r>
          </w:p>
          <w:p w:rsidR="009B2E82" w:rsidRPr="009B2E82" w:rsidRDefault="009B2E82" w:rsidP="009B2E82">
            <w:pPr>
              <w:widowControl w:val="0"/>
              <w:shd w:val="clear" w:color="auto" w:fill="FFFFFF"/>
              <w:autoSpaceDE w:val="0"/>
              <w:autoSpaceDN w:val="0"/>
              <w:adjustRightInd w:val="0"/>
              <w:spacing w:after="0" w:line="230" w:lineRule="exact"/>
              <w:ind w:right="149" w:hanging="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2105.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12" w:hanging="29"/>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Ministarstvo uprave i međuinstitucionalna radna skupina</w:t>
            </w:r>
            <w:r w:rsidRPr="009B2E82">
              <w:rPr>
                <w:rFonts w:ascii="Times New Roman" w:eastAsia="Times New Roman" w:hAnsi="Times New Roman" w:cs="Times New Roman"/>
                <w:color w:val="000000"/>
                <w:spacing w:val="-1"/>
                <w:sz w:val="20"/>
                <w:szCs w:val="20"/>
                <w:lang w:eastAsia="hr-HR"/>
              </w:rPr>
              <w:t xml:space="preserve"> za e-Hrvatsku</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3821"/>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T.02.1 - Digitalni rast: strateški okvir za digitalni rast radi poticanja povoljnih, kvalitetnih i interoperabilnih IKT-om potpomognutih javnih i privatnih službi te povećanja njegova korištenja od strane građana, uključujući ugrožene skupine, poduzeća i državnu upravu, uključujući prekogranične inicijative.</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2 – izrada proračuna i određivanje prioriteta aktivnosti putem SWOT ili slične analize u skladu s Prikazom rezultata provedbe Digitalne agende za Europu; </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20"/>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 xml:space="preserve">RG će pripremiti viziju strategije za e-Hrvatsku u skladu s DAE 2020 do kraja rujna 2014. SWOT analiza i analiza jaza provest će se za svako definirano područje: izvest će se snimka stanja IKT situacije u javnom sektoru; željena IKT situacija javnog sektora predvidjet će se u suradnji sa svim dionicima i uzimajući u obzir sektorske strategije; izložit će se aktivnosti potrebne za provedbu željenog statusa; izvršit će se analiza proračuna; izložit će se različiti izvori financiranja; na temelju rezultata, pripremit će se izvedivi scenariji, imajući na umu potrebna financijska sredstva (ona Europske unije, nacionalna ili druga prikladna sredstva); svi dionici sudjelovat će u procesu određivanja prioriteta/eliminacije. </w:t>
            </w:r>
          </w:p>
          <w:p w:rsidR="009B2E82" w:rsidRPr="009B2E82" w:rsidRDefault="009B2E82" w:rsidP="009B2E82">
            <w:pPr>
              <w:widowControl w:val="0"/>
              <w:shd w:val="clear" w:color="auto" w:fill="FFFFFF"/>
              <w:autoSpaceDE w:val="0"/>
              <w:autoSpaceDN w:val="0"/>
              <w:adjustRightInd w:val="0"/>
              <w:spacing w:after="0" w:line="226" w:lineRule="exact"/>
              <w:ind w:right="120"/>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svibnja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12"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Ministarstvo uprave i međuinstitucionalna radna skupina za</w:t>
            </w:r>
            <w:r w:rsidRPr="009B2E82">
              <w:rPr>
                <w:rFonts w:ascii="Times New Roman" w:eastAsia="Times New Roman" w:hAnsi="Times New Roman" w:cs="Times New Roman"/>
                <w:color w:val="000000"/>
                <w:spacing w:val="-1"/>
                <w:sz w:val="20"/>
                <w:szCs w:val="20"/>
                <w:lang w:eastAsia="hr-HR"/>
              </w:rPr>
              <w:t xml:space="preserve"> e-Hrvatsku</w:t>
            </w:r>
          </w:p>
        </w:tc>
      </w:tr>
      <w:tr w:rsidR="009B2E82" w:rsidRPr="009B2E82" w:rsidTr="009B2E82">
        <w:trPr>
          <w:trHeight w:hRule="exact" w:val="314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T.02.1 - Digitalni rast: strateški okvir za digitalni rast radi poticanja povoljnih, kvalitetnih i interoperabilnih IKT-om potpomognutih javnih i privatnih službi te povećanja njegova korištenja od strane građana, uključujući ugrožene skupine, poduzeća i državnu upravu, uključujući prekogranične inicijative.</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34"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3 – morala se provesti analiza balansirajuće potpore za potražnju i ponudu IKT-a;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8"/>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Provest će se analiza potražnje i ponude IKT-a, uz posebnu pažnju obraćenu na dobnu strukturu, obrazovanje, prihode, razinu informatičke obuke/vještina, radni status, pristupačnost usluge, produktivnost itd. Provest će se analiza željene IKT situacije u odnosu na potražnju IKT rješenja. Izložit će se projekti koji se tiču potrebe za IKT obukom/vještinama i dostupnosti opreme i Interneta na javnim mjestima, po potrebi. To će se pripremiti na temelju analize svega gore navedenog. Organizirat će se radionice za sve zainteresirane dionike.</w:t>
            </w:r>
          </w:p>
          <w:p w:rsidR="009B2E82" w:rsidRPr="009B2E82" w:rsidRDefault="009B2E82" w:rsidP="009B2E82">
            <w:pPr>
              <w:widowControl w:val="0"/>
              <w:shd w:val="clear" w:color="auto" w:fill="FFFFFF"/>
              <w:autoSpaceDE w:val="0"/>
              <w:autoSpaceDN w:val="0"/>
              <w:adjustRightInd w:val="0"/>
              <w:spacing w:after="0" w:line="230" w:lineRule="exact"/>
              <w:ind w:right="58"/>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lipnja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12"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Ministarstvo uprave i međuinstitucionalna radna skupina za</w:t>
            </w:r>
            <w:r w:rsidRPr="009B2E82">
              <w:rPr>
                <w:rFonts w:ascii="Times New Roman" w:eastAsia="Times New Roman" w:hAnsi="Times New Roman" w:cs="Times New Roman"/>
                <w:color w:val="000000"/>
                <w:spacing w:val="-1"/>
                <w:sz w:val="20"/>
                <w:szCs w:val="20"/>
                <w:lang w:eastAsia="hr-HR"/>
              </w:rPr>
              <w:t xml:space="preserve"> e-Hrvatsku</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254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T.02.1 - Digitalni rast: strateški okvir za digitalni rast radi poticanja povoljnih, kvalitetnih i interoperabilnih IKT-om potpomognutih javnih i privatnih službi te povećanja njegova korištenja od strane građana, uključujući ugrožene skupine, poduzeća i državnu upravu, uključujući prekogranične inicijative.</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pokazatelji za mjerenje napretka intervencija na područjima kao što su digitalna pismenost, e-uključivanje, e-dostupnost te napredak e-zdravlja u granicama članka 168. UFEU-a koje su, po potrebi, usklađene s </w:t>
            </w:r>
            <w:r w:rsidRPr="009B2E82">
              <w:rPr>
                <w:rFonts w:ascii="Times New Roman" w:eastAsia="Times New Roman" w:hAnsi="Times New Roman" w:cs="Times New Roman"/>
                <w:color w:val="000000"/>
                <w:sz w:val="20"/>
                <w:szCs w:val="20"/>
                <w:lang w:eastAsia="hr-HR"/>
              </w:rPr>
              <w:t xml:space="preserve">postojećim relevantnim, nacionalnim ili </w:t>
            </w:r>
            <w:r w:rsidRPr="009B2E82">
              <w:rPr>
                <w:rFonts w:ascii="Times New Roman" w:eastAsia="Times New Roman" w:hAnsi="Times New Roman" w:cs="Times New Roman"/>
                <w:color w:val="000000"/>
                <w:spacing w:val="-1"/>
                <w:sz w:val="20"/>
                <w:szCs w:val="20"/>
                <w:lang w:eastAsia="hr-HR"/>
              </w:rPr>
              <w:t>regionalnim strategijama Unije;</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Akcijski plan s jasnim pokazateljima (gdje god će se koristiti prikladni pokazatelji korišteni u rezultatima Digitalne agende) i sustavom mehanizma za praćenje radi mjerenja napretka korištenja IKT-a i njegovog utjecaja na nacionalnoj ili regionalnoj razini bit će sastavljen do kraja lipnja 2015.</w:t>
            </w:r>
          </w:p>
          <w:p w:rsidR="009B2E82" w:rsidRPr="009B2E82" w:rsidRDefault="009B2E82" w:rsidP="009B2E82">
            <w:pPr>
              <w:widowControl w:val="0"/>
              <w:shd w:val="clear" w:color="auto" w:fill="FFFFFF"/>
              <w:autoSpaceDE w:val="0"/>
              <w:autoSpaceDN w:val="0"/>
              <w:adjustRightInd w:val="0"/>
              <w:spacing w:after="0" w:line="230" w:lineRule="exact"/>
              <w:ind w:firstLine="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lipnja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12"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Ministarstvo uprave i međuinstitucionalna radna skupina za</w:t>
            </w:r>
            <w:r w:rsidRPr="009B2E82">
              <w:rPr>
                <w:rFonts w:ascii="Times New Roman" w:eastAsia="Times New Roman" w:hAnsi="Times New Roman" w:cs="Times New Roman"/>
                <w:color w:val="000000"/>
                <w:spacing w:val="-1"/>
                <w:sz w:val="20"/>
                <w:szCs w:val="20"/>
                <w:lang w:eastAsia="hr-HR"/>
              </w:rPr>
              <w:t xml:space="preserve"> e-Hrvatsku</w:t>
            </w:r>
          </w:p>
        </w:tc>
      </w:tr>
      <w:tr w:rsidR="009B2E82" w:rsidRPr="009B2E82" w:rsidTr="009B2E82">
        <w:trPr>
          <w:trHeight w:hRule="exact" w:val="337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T.02.1 - Digitalni rast: strateški okvir za digitalni rast radi poticanja povoljnih, kvalitetnih i interoperabilnih IKT-om potpomognutih javnih i privatnih službi te povećanja njegova korištenja od strane građana, uključujući ugrožene skupine, poduzeća i državnu upravu, uključujući prekogranične inicijative.</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8"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procjena potreba za pojačanjem izgradnje kapaciteta IKT-a.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34" w:firstLine="72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Analiza slabosti administrativnog kapaciteta radi utvrđivanja i provođenja IKT intervencija koje proizlaze iz postojećih Unijinih, nacionalnih ili regionalnih strategija.</w:t>
            </w:r>
          </w:p>
          <w:p w:rsidR="009B2E82" w:rsidRPr="009B2E82" w:rsidRDefault="009B2E82" w:rsidP="009B2E82">
            <w:pPr>
              <w:widowControl w:val="0"/>
              <w:shd w:val="clear" w:color="auto" w:fill="FFFFFF"/>
              <w:autoSpaceDE w:val="0"/>
              <w:autoSpaceDN w:val="0"/>
              <w:adjustRightInd w:val="0"/>
              <w:spacing w:after="0" w:line="230" w:lineRule="exact"/>
              <w:ind w:right="34" w:firstLine="72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Na temelju analize pripremit će se procjena i program s opisom mjera koje će se poduzeti kao odgovor na potrebe za pojačanjem izgradnje kapaciteta IKT-a, tako da se osigura kapacitet posredničkih tijela i korisnika radi utvrđivanja i provođenja tih intervencija.</w:t>
            </w:r>
          </w:p>
          <w:p w:rsidR="009B2E82" w:rsidRPr="009B2E82" w:rsidRDefault="009B2E82" w:rsidP="009B2E82">
            <w:pPr>
              <w:widowControl w:val="0"/>
              <w:shd w:val="clear" w:color="auto" w:fill="FFFFFF"/>
              <w:autoSpaceDE w:val="0"/>
              <w:autoSpaceDN w:val="0"/>
              <w:adjustRightInd w:val="0"/>
              <w:spacing w:after="0" w:line="226" w:lineRule="exact"/>
              <w:ind w:right="34" w:firstLine="71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lipnja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83" w:hanging="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Ministarstvo uprave u suradnji sa svim nadležnim ministarstvima i odborom za provedbu IKT-a u javnom sektoru</w:t>
            </w:r>
          </w:p>
          <w:p w:rsidR="009B2E82" w:rsidRPr="009B2E82" w:rsidRDefault="009B2E82" w:rsidP="009B2E82">
            <w:pPr>
              <w:widowControl w:val="0"/>
              <w:shd w:val="clear" w:color="auto" w:fill="FFFFFF"/>
              <w:autoSpaceDE w:val="0"/>
              <w:autoSpaceDN w:val="0"/>
              <w:adjustRightInd w:val="0"/>
              <w:spacing w:after="0" w:line="230" w:lineRule="exact"/>
              <w:ind w:right="283" w:firstLine="5"/>
              <w:rPr>
                <w:rFonts w:ascii="Arial" w:eastAsia="Times New Roman" w:hAnsi="Arial" w:cs="Arial"/>
                <w:sz w:val="20"/>
                <w:szCs w:val="20"/>
                <w:lang w:eastAsia="hr-HR"/>
              </w:rPr>
            </w:pPr>
          </w:p>
        </w:tc>
      </w:tr>
      <w:tr w:rsidR="009B2E82" w:rsidRPr="009B2E82" w:rsidTr="009B2E82">
        <w:trPr>
          <w:trHeight w:hRule="exact" w:val="2581"/>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T.02.2 – Infrastruktura mreže sljedeće generacije (NGN): postojanje nacionalnih ili regionalnih planova NGN-a</w:t>
            </w:r>
            <w:r w:rsidRPr="009B2E82">
              <w:rPr>
                <w:rFonts w:ascii="Times New Roman" w:eastAsia="Times New Roman" w:hAnsi="Times New Roman" w:cs="Times New Roman"/>
                <w:color w:val="000000"/>
                <w:spacing w:val="-1"/>
                <w:sz w:val="20"/>
                <w:szCs w:val="20"/>
                <w:lang w:eastAsia="hr-HR"/>
              </w:rPr>
              <w:t xml:space="preserve"> koji uzimaju u obzir regionalne aktivnosti</w:t>
            </w:r>
            <w:r w:rsidRPr="009B2E82">
              <w:rPr>
                <w:rFonts w:ascii="Times New Roman" w:eastAsia="Times New Roman" w:hAnsi="Times New Roman" w:cs="Times New Roman"/>
                <w:color w:val="000000"/>
                <w:sz w:val="20"/>
                <w:szCs w:val="20"/>
                <w:lang w:eastAsia="hr-HR"/>
              </w:rPr>
              <w:t xml:space="preserve"> radi postizanja ciljeva Unije povezanih s pristupom brzom Internetu, usredotočujući se na područja na kojime tržište ne uspijeva pružiti otvorenu infrastrukturu po pristupačnoj cijeni i kvaliteti koja je u skladu s pravilima Unije o</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6"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1 – spreman nacionalni ili regionalni plan NGN-a koji sadrži: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Novu strategiju za razvoj širokopojasnog pristupa Internetu u republici Hrvatskoj za razdoblje 2016. - 2020. s provedbenim programom koji sadrži detaljne mjere Vlada će usvojiti do kraja 2015. Ciljevi pristupa brzom internetu definirani u Strategiji uskladit će se s ciljevima DAE-a: 4. stup - Nacionalni program za agregacijsku širokopojasnu infrastrukturu (NP-BBI) koji pokriva mjere državne potpore za agregacijski dio NGN mreža u bijelim i sivim područjima trenutno je u pripremi. </w:t>
            </w:r>
          </w:p>
          <w:p w:rsidR="009B2E82" w:rsidRPr="009B2E82" w:rsidRDefault="009B2E82" w:rsidP="009B2E82">
            <w:pPr>
              <w:widowControl w:val="0"/>
              <w:shd w:val="clear" w:color="auto" w:fill="FFFFFF"/>
              <w:autoSpaceDE w:val="0"/>
              <w:autoSpaceDN w:val="0"/>
              <w:adjustRightInd w:val="0"/>
              <w:spacing w:after="0" w:line="230" w:lineRule="exact"/>
              <w:ind w:right="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lipnja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2"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242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34"/>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natjecanju i državnoj potpori te pristupačnu uslugu ugroženim skupinama.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Očekuje se da će se službeno poslati na uvid Općoj upravi za tržišno natjecanje do kraja 2014. (nakon što je održano javno savjetovanje, a komentari uzeti u obzir). Predviđa se da će se do sredine 2015. primiti odobrenja državne potpore NP-BBI-a.</w:t>
            </w:r>
            <w:r w:rsidRPr="009B2E82">
              <w:rPr>
                <w:rFonts w:ascii="Times New Roman" w:eastAsia="Times New Roman" w:hAnsi="Times New Roman" w:cs="Times New Roman"/>
                <w:color w:val="000000"/>
                <w:sz w:val="20"/>
                <w:szCs w:val="20"/>
                <w:lang w:eastAsia="hr-HR"/>
              </w:rPr>
              <w:t xml:space="preserve"> Nakon odobrenja, Vlada Republike Hrvatske službeno će usvojiti NP-BBI</w:t>
            </w:r>
            <w:r w:rsidRPr="009B2E82">
              <w:rPr>
                <w:rFonts w:ascii="Times New Roman" w:eastAsia="Times New Roman" w:hAnsi="Times New Roman" w:cs="Times New Roman"/>
                <w:color w:val="000000"/>
                <w:spacing w:val="-1"/>
                <w:sz w:val="20"/>
                <w:szCs w:val="20"/>
                <w:lang w:eastAsia="hr-HR"/>
              </w:rPr>
              <w:t xml:space="preserve">. Međutim, NP-BBI dokument koji predstavlja vrstu smjernica bit će spreman u rujnu 2014. </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5357"/>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8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T.03.1 – Provedene su specifične aktivnosti radi podupiranja promocije poduzetništva, uzimajući u obzir Zakon o malim poduzećima (ZMP).</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4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2 – Specifične aktivnosti su: provedene su mjere s ciljem smanjenja vremena potrebnog za dobivanje licencija i dozvola za započinjanje i izvođenje specifične aktivnosti poduzeća, uzimajući u obzir ciljeve ZMP-a;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Bit će potrebno obraditi i analizirati sva specifična područja i aktivnosti radi utvrđivanja onih za koje su potrebne specifične licencije i dozvole i vrijeme potrebno za njihovo izdavanje.</w:t>
            </w:r>
          </w:p>
          <w:p w:rsidR="009B2E82" w:rsidRPr="009B2E82" w:rsidRDefault="009B2E82" w:rsidP="009B2E82">
            <w:pPr>
              <w:widowControl w:val="0"/>
              <w:shd w:val="clear" w:color="auto" w:fill="FFFFFF"/>
              <w:autoSpaceDE w:val="0"/>
              <w:autoSpaceDN w:val="0"/>
              <w:adjustRightInd w:val="0"/>
              <w:spacing w:after="0" w:line="230" w:lineRule="exact"/>
              <w:ind w:right="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Nakon toga moraju se poduzeti koraci za smanjenje vremena potrebnog za izdavanje specifičnih licencija i dozvola, uzimajući u obzir ciljeve ZMP-a.</w:t>
            </w:r>
          </w:p>
          <w:p w:rsidR="009B2E82" w:rsidRPr="009B2E82" w:rsidRDefault="009B2E82" w:rsidP="009B2E82">
            <w:pPr>
              <w:widowControl w:val="0"/>
              <w:shd w:val="clear" w:color="auto" w:fill="FFFFFF"/>
              <w:autoSpaceDE w:val="0"/>
              <w:autoSpaceDN w:val="0"/>
              <w:adjustRightInd w:val="0"/>
              <w:spacing w:after="0" w:line="226" w:lineRule="exact"/>
              <w:ind w:right="19"/>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-Prvi korak akcijskog plana bit će izrada popisa svih potrebnih licencija i dozvola koje je potrebno izdati poduzećima koja izvode specifične aktivnosti, kao i izrada popisa odgovorne državne administracije.</w:t>
            </w:r>
          </w:p>
          <w:p w:rsidR="009B2E82" w:rsidRPr="009B2E82" w:rsidRDefault="009B2E82" w:rsidP="009B2E82">
            <w:pPr>
              <w:widowControl w:val="0"/>
              <w:shd w:val="clear" w:color="auto" w:fill="FFFFFF"/>
              <w:autoSpaceDE w:val="0"/>
              <w:autoSpaceDN w:val="0"/>
              <w:adjustRightInd w:val="0"/>
              <w:spacing w:after="0" w:line="226" w:lineRule="exact"/>
              <w:ind w:right="19"/>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-Drugi korak uključuje detaljnu analizu postupaka izdavanja utvrđenih specifičnih licencija i dozvola kako bi se utvrdili postupci koji traju dulje od 3 mjeseca.</w:t>
            </w:r>
          </w:p>
          <w:p w:rsidR="009B2E82" w:rsidRPr="009B2E82" w:rsidRDefault="009B2E82" w:rsidP="009B2E82">
            <w:pPr>
              <w:widowControl w:val="0"/>
              <w:shd w:val="clear" w:color="auto" w:fill="FFFFFF"/>
              <w:autoSpaceDE w:val="0"/>
              <w:autoSpaceDN w:val="0"/>
              <w:adjustRightInd w:val="0"/>
              <w:spacing w:after="0" w:line="226" w:lineRule="exact"/>
              <w:ind w:right="19"/>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-Treći korak uključuje razvoj akcijskog plana, zajedno sa svim odgovornim tijelima, radi smanjenja vremena izdavanja svake utvrđene licencije i dozvole na prihvatljivo razdoblje od najviše 3 mjeseca </w:t>
            </w:r>
            <w:r w:rsidRPr="009B2E82">
              <w:rPr>
                <w:rFonts w:ascii="Times New Roman" w:eastAsia="Times New Roman" w:hAnsi="Times New Roman" w:cs="Times New Roman"/>
                <w:color w:val="000000"/>
                <w:spacing w:val="-1"/>
                <w:sz w:val="20"/>
                <w:szCs w:val="20"/>
                <w:lang w:eastAsia="hr-HR"/>
              </w:rPr>
              <w:t>(putem zakonske odluke).</w:t>
            </w:r>
          </w:p>
          <w:p w:rsidR="009B2E82" w:rsidRPr="009B2E82" w:rsidRDefault="009B2E82" w:rsidP="009B2E82">
            <w:pPr>
              <w:widowControl w:val="0"/>
              <w:shd w:val="clear" w:color="auto" w:fill="FFFFFF"/>
              <w:autoSpaceDE w:val="0"/>
              <w:autoSpaceDN w:val="0"/>
              <w:adjustRightInd w:val="0"/>
              <w:spacing w:after="0" w:line="230" w:lineRule="exact"/>
              <w:ind w:right="19" w:firstLine="5"/>
              <w:rPr>
                <w:rFonts w:ascii="Times New Roman" w:eastAsia="Times New Roman" w:hAnsi="Times New Roman" w:cs="Times New Roman"/>
                <w:color w:val="000000"/>
                <w:sz w:val="20"/>
                <w:szCs w:val="20"/>
                <w:lang w:eastAsia="hr-HR"/>
              </w:rPr>
            </w:pPr>
          </w:p>
          <w:p w:rsidR="009B2E82" w:rsidRPr="009B2E82" w:rsidRDefault="009B2E82" w:rsidP="009B2E82">
            <w:pPr>
              <w:widowControl w:val="0"/>
              <w:shd w:val="clear" w:color="auto" w:fill="FFFFFF"/>
              <w:autoSpaceDE w:val="0"/>
              <w:autoSpaceDN w:val="0"/>
              <w:adjustRightInd w:val="0"/>
              <w:spacing w:after="0" w:line="226" w:lineRule="exact"/>
              <w:ind w:right="19"/>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91"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obrta i poduzetništva kao vodeće ministarstvo</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58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3" w:hanging="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4858"/>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3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T.04.1 – Provedene su aktivnosti radi promicanja isplativih poboljšanja energetske učinkovitosti krajnje primjene i isplativih ulaganja u energetsku učinkovitost pri gradnji ili obnovi zgrada.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 – Aktivnosti su: pripremljene su mjere za osiguranje minimalnih zahtjeva povezanih s energetskim učinkom zgrada u skladu s čl. 3., čl. 4. i čl. 5. Direktive 2010/31/EU Europskog parlamenta i Vijeća; </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1. U tijeku su izračuni troškovno optimalnih razina minimalnih zahtjeva za energetskim učinkom za zgrade i elemente građenja za više obitelji, urede i druge nestambene zgrade.</w:t>
            </w:r>
          </w:p>
          <w:p w:rsidR="009B2E82" w:rsidRPr="009B2E82" w:rsidRDefault="009B2E82" w:rsidP="009B2E82">
            <w:pPr>
              <w:widowControl w:val="0"/>
              <w:shd w:val="clear" w:color="auto" w:fill="FFFFFF"/>
              <w:autoSpaceDE w:val="0"/>
              <w:autoSpaceDN w:val="0"/>
              <w:adjustRightInd w:val="0"/>
              <w:spacing w:after="0" w:line="230" w:lineRule="exact"/>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2. Ažurirana verzija tehničkih propisa o uštedi energije i toplinskoj zaštiti zgrada sadržavat će zahtjeve o energetskom učinku za sve vrste zgrada, izračunate na temelju troškovno-optimalne analize. Ažurirani tehnički propisi uključivat će rezultate izračuna iz točke 1.</w:t>
            </w:r>
          </w:p>
          <w:p w:rsidR="009B2E82" w:rsidRPr="009B2E82" w:rsidRDefault="009B2E82" w:rsidP="009B2E82">
            <w:pPr>
              <w:widowControl w:val="0"/>
              <w:shd w:val="clear" w:color="auto" w:fill="FFFFFF"/>
              <w:autoSpaceDE w:val="0"/>
              <w:autoSpaceDN w:val="0"/>
              <w:adjustRightInd w:val="0"/>
              <w:spacing w:after="0" w:line="230" w:lineRule="exact"/>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Izračun troškovno optimalnih razina minimalnih zahtjeva o energetskom učinku zgrade, u skladu s čl. 5. Direktive 2010/31/EU je u tijeku. Taj se izračun zasad priprema za kategoriju obiteljskih kuća i građevinskih elemenata koji su dio vanjske ovojnice i koji značajno utječu na energetsku učinkovitost ovojnice kad ih se zamijeni ili nadogradi, odražavajući nacionalne i lokalne uvjete, uključujući one klimatske.</w:t>
            </w:r>
          </w:p>
          <w:p w:rsidR="009B2E82" w:rsidRPr="009B2E82" w:rsidRDefault="009B2E82" w:rsidP="009B2E82">
            <w:pPr>
              <w:widowControl w:val="0"/>
              <w:shd w:val="clear" w:color="auto" w:fill="FFFFFF"/>
              <w:autoSpaceDE w:val="0"/>
              <w:autoSpaceDN w:val="0"/>
              <w:adjustRightInd w:val="0"/>
              <w:spacing w:after="0" w:line="226" w:lineRule="exact"/>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2104.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graditeljstva i prostornog uređenja</w:t>
            </w:r>
          </w:p>
        </w:tc>
      </w:tr>
      <w:tr w:rsidR="009B2E82" w:rsidRPr="009B2E82" w:rsidTr="009B2E82">
        <w:trPr>
          <w:trHeight w:hRule="exact" w:val="2448"/>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3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T.04.1 - Provedene su aktivnosti radi promicanja isplativih poboljšanja energetske učinkovitosti krajnje primjene i isplativih ulaganja u energetsku učinkovitost pri gradnji ili obnovi zgrada.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39"/>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Aktivnosti su: mjere potrebne za uspostavu sustava certifikacije energetske učinkovitosti zgrada u skladu s čl. 11 Direktive 2010/31/EU;</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4"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1. Novi pravilnik o energetskim pregledima zgrada i energetskom certificiranju koji će propisivati dizajn i sadržaj nove verzije energetskog certifikata. Pravilnik će propisivati da certifikat o energetskoj učinkovitosti mora sadržavati energetsku učinkovitost zgrade i referentne vrijednosti poput minimalnih zahtjeva o energetskoj učinkovitosti, godišnje potrošnje energije za nestambene zgrade, preporuke za troškovno optimalno i troškovno učinkovito poboljšanje energetske učinkovitosti zgrade ili građevinske jedinice, procjene trajanja razdoblja povrata,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graditeljstva i prostornog uređenja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1402"/>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4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naznake gdje vlasnik ili zakupnik mogu dobiti detaljnije informacije, uključujući troškovnu učinkovitost preporuka iz certifikata o energetskoj učinkovitosti.</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313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10" w:right="13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T.04.2 – Provedene su aktivnosti za promociju visokoučinkovite kogeneracije toplinske i električne energije.</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38"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1 – Podrška kogeneraciji temelji se na potražnji korisne topline i primarnoj uštedi energije u skladu s čl. 7. st. 1. i čl. 9. točka a) i b) Direktive 2004/8/EZ. </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3"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Program za korištenje potencijala učinkovitosti u grijanju i hlađenju za razdoblje 2016. - 2030. u skladu s Direktivom 2012/27.</w:t>
            </w:r>
          </w:p>
          <w:p w:rsidR="009B2E82" w:rsidRPr="009B2E82" w:rsidRDefault="009B2E82" w:rsidP="009B2E82">
            <w:pPr>
              <w:widowControl w:val="0"/>
              <w:shd w:val="clear" w:color="auto" w:fill="FFFFFF"/>
              <w:autoSpaceDE w:val="0"/>
              <w:autoSpaceDN w:val="0"/>
              <w:adjustRightInd w:val="0"/>
              <w:spacing w:after="0" w:line="226" w:lineRule="exact"/>
              <w:ind w:right="53"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Program će sadržavati identifikaciju i izračun potencijala za potražnju korisnog grijanja i hlađenja, prikladne mehanizme radi povećanja udjela visokoučinkovite kogeneracije i identifikaciju postojećih prepreka i mjera te mjere za njihovo smanjivanje/uklanjanje.</w:t>
            </w:r>
          </w:p>
          <w:p w:rsidR="009B2E82" w:rsidRPr="009B2E82" w:rsidRDefault="009B2E82" w:rsidP="009B2E82">
            <w:pPr>
              <w:widowControl w:val="0"/>
              <w:shd w:val="clear" w:color="auto" w:fill="FFFFFF"/>
              <w:autoSpaceDE w:val="0"/>
              <w:autoSpaceDN w:val="0"/>
              <w:adjustRightInd w:val="0"/>
              <w:spacing w:after="0" w:line="230" w:lineRule="exact"/>
              <w:ind w:right="53"/>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7"/>
                <w:sz w:val="20"/>
                <w:szCs w:val="20"/>
                <w:lang w:eastAsia="hr-HR"/>
              </w:rPr>
              <w:t>l. srpnja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gospodarstva</w:t>
            </w:r>
          </w:p>
        </w:tc>
      </w:tr>
      <w:tr w:rsidR="009B2E82" w:rsidRPr="009B2E82" w:rsidTr="009B2E82">
        <w:trPr>
          <w:trHeight w:hRule="exact" w:val="366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10" w:right="13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T.04.2 - Provedene su aktivnosti za promociju visokoučinkovite kogeneracije toplinske i električne energije.</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0"/>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 xml:space="preserve">2 – Države članice ili njihova nadležna tijela evaluirali su postojeće zakonodavstvo i regulatorni okvir s obzirom na postupke autorizacije ili druge postupke radi: (a) poticaja projektiranja kogeneracijskih jedinica kako bi odgovarale ekonomski opravdanoj potražnji za iskoristivom toplinskom energijom i izbjegavanja proizvodnje viška topline u odnosu na korisnu toplinu i (b) smanjenja </w:t>
            </w:r>
          </w:p>
          <w:p w:rsidR="009B2E82" w:rsidRPr="009B2E82" w:rsidRDefault="009B2E82" w:rsidP="009B2E82">
            <w:pPr>
              <w:widowControl w:val="0"/>
              <w:shd w:val="clear" w:color="auto" w:fill="FFFFFF"/>
              <w:autoSpaceDE w:val="0"/>
              <w:autoSpaceDN w:val="0"/>
              <w:adjustRightInd w:val="0"/>
              <w:spacing w:after="0" w:line="226" w:lineRule="exact"/>
              <w:ind w:right="10"/>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 xml:space="preserve">regulatornih i neregulatornih zapreka </w:t>
            </w:r>
            <w:r w:rsidRPr="009B2E82">
              <w:rPr>
                <w:rFonts w:ascii="Times New Roman" w:eastAsia="Times New Roman" w:hAnsi="Times New Roman" w:cs="Times New Roman"/>
                <w:color w:val="000000"/>
                <w:spacing w:val="-2"/>
                <w:sz w:val="20"/>
                <w:szCs w:val="20"/>
                <w:lang w:eastAsia="hr-HR"/>
              </w:rPr>
              <w:t>povećanju kogeneracije.</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3"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Program za korištenje potencijala učinkovitosti u grijanju i hlađenju za razdoblje 2016. - 2030. u skladu s Direktivom 2012/27.</w:t>
            </w:r>
          </w:p>
          <w:p w:rsidR="009B2E82" w:rsidRPr="009B2E82" w:rsidRDefault="009B2E82" w:rsidP="009B2E82">
            <w:pPr>
              <w:widowControl w:val="0"/>
              <w:shd w:val="clear" w:color="auto" w:fill="FFFFFF"/>
              <w:autoSpaceDE w:val="0"/>
              <w:autoSpaceDN w:val="0"/>
              <w:adjustRightInd w:val="0"/>
              <w:spacing w:after="0" w:line="226" w:lineRule="exact"/>
              <w:ind w:right="53"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Program će sadržavati identifikaciju i izračun potencijala za potražnju korisnog grijanja i hlađenja, prikladne mehanizme radi povećanja udjela visokoučinkovite kogeneracije i identifikaciju postojećih prepreka te mjere za njihovo smanjivanje/uklanjanje.</w:t>
            </w:r>
          </w:p>
          <w:p w:rsidR="009B2E82" w:rsidRPr="009B2E82" w:rsidRDefault="009B2E82" w:rsidP="009B2E82">
            <w:pPr>
              <w:widowControl w:val="0"/>
              <w:shd w:val="clear" w:color="auto" w:fill="FFFFFF"/>
              <w:autoSpaceDE w:val="0"/>
              <w:autoSpaceDN w:val="0"/>
              <w:adjustRightInd w:val="0"/>
              <w:spacing w:after="0" w:line="226" w:lineRule="exact"/>
              <w:ind w:right="53"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Molimo imajte u vidu da je aktivnost koja se izvodi povezana s kriterijem b) smanjiti regulatorne i neregulatorne zapreke povećanju ko</w:t>
            </w:r>
            <w:r w:rsidRPr="009B2E82">
              <w:rPr>
                <w:rFonts w:ascii="Times New Roman" w:eastAsia="Times New Roman" w:hAnsi="Times New Roman" w:cs="Times New Roman"/>
                <w:color w:val="000000"/>
                <w:sz w:val="20"/>
                <w:szCs w:val="20"/>
                <w:lang w:eastAsia="hr-HR"/>
              </w:rPr>
              <w:t>generacije</w:t>
            </w:r>
            <w:r w:rsidRPr="009B2E82">
              <w:rPr>
                <w:rFonts w:ascii="Times New Roman" w:eastAsia="Times New Roman" w:hAnsi="Times New Roman" w:cs="Times New Roman"/>
                <w:color w:val="000000"/>
                <w:spacing w:val="-1"/>
                <w:sz w:val="20"/>
                <w:szCs w:val="20"/>
                <w:lang w:eastAsia="hr-HR"/>
              </w:rPr>
              <w:t xml:space="preserve"> </w:t>
            </w:r>
          </w:p>
          <w:p w:rsidR="009B2E82" w:rsidRPr="009B2E82" w:rsidRDefault="009B2E82" w:rsidP="009B2E82">
            <w:pPr>
              <w:widowControl w:val="0"/>
              <w:shd w:val="clear" w:color="auto" w:fill="FFFFFF"/>
              <w:autoSpaceDE w:val="0"/>
              <w:autoSpaceDN w:val="0"/>
              <w:adjustRightInd w:val="0"/>
              <w:spacing w:after="0" w:line="226" w:lineRule="exact"/>
              <w:ind w:right="53" w:hanging="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7"/>
                <w:sz w:val="20"/>
                <w:szCs w:val="20"/>
                <w:lang w:eastAsia="hr-HR"/>
              </w:rPr>
              <w:t>l. srpnja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gospodarstva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1853"/>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xml:space="preserve">Za kriterij a) potaknuti dizajn kogeneracijskih jedinica kako bi odgovarale ekonomski opravdanoj potražnji za iskoristivom toplinskom energijom i izbjeći proizvodnju više topline nego korisne topline procjenjuje se da će se ispuniti kao što je objašnjeno u Tablici 24 i dodatnim informacijama i objašnjenjima danima u zasebnim datotekama u odjeljku Dokumenti. </w:t>
            </w:r>
          </w:p>
          <w:p w:rsidR="009B2E82" w:rsidRPr="009B2E82" w:rsidRDefault="009B2E82" w:rsidP="009B2E82">
            <w:pPr>
              <w:widowControl w:val="0"/>
              <w:shd w:val="clear" w:color="auto" w:fill="FFFFFF"/>
              <w:autoSpaceDE w:val="0"/>
              <w:autoSpaceDN w:val="0"/>
              <w:adjustRightInd w:val="0"/>
              <w:spacing w:after="0" w:line="226" w:lineRule="exact"/>
              <w:ind w:right="29"/>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2928"/>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0" w:righ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T.05.1 - Sprječavanje rizika i upravljanje rizicima: postojanje državne ili regionalne procjene rizika za upravljanje kriznim situacijama, uzimajući u obzir prilagodbu klimatskim promjenama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97"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1 - Provest će se državna ili regionalna procjena rizika sa sljedećim elementima: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4"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1. Informiranje javnosti putem službenih internetskih stranica</w:t>
            </w:r>
          </w:p>
          <w:p w:rsidR="009B2E82" w:rsidRPr="009B2E82" w:rsidRDefault="009B2E82" w:rsidP="009B2E82">
            <w:pPr>
              <w:widowControl w:val="0"/>
              <w:shd w:val="clear" w:color="auto" w:fill="FFFFFF"/>
              <w:autoSpaceDE w:val="0"/>
              <w:autoSpaceDN w:val="0"/>
              <w:adjustRightInd w:val="0"/>
              <w:spacing w:after="0" w:line="240" w:lineRule="auto"/>
              <w:ind w:right="34"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2. Javna savjetovanja</w:t>
            </w:r>
          </w:p>
          <w:p w:rsidR="009B2E82" w:rsidRPr="009B2E82" w:rsidRDefault="009B2E82" w:rsidP="009B2E82">
            <w:pPr>
              <w:widowControl w:val="0"/>
              <w:shd w:val="clear" w:color="auto" w:fill="FFFFFF"/>
              <w:autoSpaceDE w:val="0"/>
              <w:autoSpaceDN w:val="0"/>
              <w:adjustRightInd w:val="0"/>
              <w:spacing w:after="0" w:line="240" w:lineRule="auto"/>
              <w:ind w:right="34"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3. Usvajanje dokumenta koji sadrži situacije jednog ili više rizika za svaki od glavnih rizika (usvajanje procjene rizika od nepogoda za Republiku Hrvatsku).</w:t>
            </w:r>
          </w:p>
          <w:p w:rsidR="009B2E82" w:rsidRPr="009B2E82" w:rsidRDefault="009B2E82" w:rsidP="009B2E82">
            <w:pPr>
              <w:widowControl w:val="0"/>
              <w:shd w:val="clear" w:color="auto" w:fill="FFFFFF"/>
              <w:autoSpaceDE w:val="0"/>
              <w:autoSpaceDN w:val="0"/>
              <w:adjustRightInd w:val="0"/>
              <w:spacing w:after="0" w:line="240" w:lineRule="auto"/>
              <w:ind w:right="3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Dodatni podaci i objašnjenja predviđeni su u zasebnim datotekama u odjeljku Dokumenti</w:t>
            </w:r>
            <w:r w:rsidRPr="009B2E82">
              <w:rPr>
                <w:rFonts w:ascii="Times New Roman" w:eastAsia="Times New Roman" w:hAnsi="Times New Roman" w:cs="Times New Roman"/>
                <w:color w:val="000000"/>
                <w:spacing w:val="-1"/>
                <w:sz w:val="20"/>
                <w:szCs w:val="20"/>
                <w:lang w:eastAsia="hr-HR"/>
              </w:rPr>
              <w:t>.</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2"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Vlada Republike Hrvatske i Državna uprava za zaštitu i spašavanje</w:t>
            </w:r>
          </w:p>
        </w:tc>
      </w:tr>
      <w:tr w:rsidR="009B2E82" w:rsidRPr="009B2E82" w:rsidTr="009B2E82">
        <w:trPr>
          <w:trHeight w:hRule="exact" w:val="2813"/>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0" w:righ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T.05.1 - Sprječavanje rizika i upravljanje rizicima: postojanje državne ili regionalne procjene rizika za upravljanje kriznim situacijama, uzimajući u obzir prilagodbu klimatskim promjenama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1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2 - opis postupka, metodologija, metode i neosjetljivih podataka korištenih za procjenu rizika, kao i kriterija temeljenih na riziku za određivanje prioriteta ulaganja</w:t>
            </w:r>
            <w:r w:rsidRPr="009B2E82">
              <w:rPr>
                <w:rFonts w:ascii="Times New Roman" w:eastAsia="Times New Roman" w:hAnsi="Times New Roman" w:cs="Times New Roman"/>
                <w:color w:val="000000"/>
                <w:sz w:val="20"/>
                <w:szCs w:val="20"/>
                <w:lang w:eastAsia="hr-HR"/>
              </w:rPr>
              <w:t>;</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1"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1. Vladina odluka o postupku procjene rizika</w:t>
            </w:r>
          </w:p>
          <w:p w:rsidR="009B2E82" w:rsidRPr="009B2E82" w:rsidRDefault="009B2E82" w:rsidP="009B2E82">
            <w:pPr>
              <w:widowControl w:val="0"/>
              <w:shd w:val="clear" w:color="auto" w:fill="FFFFFF"/>
              <w:autoSpaceDE w:val="0"/>
              <w:autoSpaceDN w:val="0"/>
              <w:adjustRightInd w:val="0"/>
              <w:spacing w:after="0" w:line="230" w:lineRule="exact"/>
              <w:ind w:right="101"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2. Osnivanje glavne radne skupine za procjenu rizika (gRSPR)</w:t>
            </w:r>
          </w:p>
          <w:p w:rsidR="009B2E82" w:rsidRPr="009B2E82" w:rsidRDefault="009B2E82" w:rsidP="009B2E82">
            <w:pPr>
              <w:widowControl w:val="0"/>
              <w:shd w:val="clear" w:color="auto" w:fill="FFFFFF"/>
              <w:autoSpaceDE w:val="0"/>
              <w:autoSpaceDN w:val="0"/>
              <w:adjustRightInd w:val="0"/>
              <w:spacing w:after="0" w:line="230" w:lineRule="exact"/>
              <w:ind w:right="101"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3. Priprema metodologije za procjenu i ocrtavanje rizika</w:t>
            </w:r>
          </w:p>
          <w:p w:rsidR="009B2E82" w:rsidRPr="009B2E82" w:rsidRDefault="009B2E82" w:rsidP="009B2E82">
            <w:pPr>
              <w:widowControl w:val="0"/>
              <w:shd w:val="clear" w:color="auto" w:fill="FFFFFF"/>
              <w:autoSpaceDE w:val="0"/>
              <w:autoSpaceDN w:val="0"/>
              <w:adjustRightInd w:val="0"/>
              <w:spacing w:after="0" w:line="230" w:lineRule="exact"/>
              <w:ind w:right="101" w:firstLine="19"/>
              <w:rPr>
                <w:rFonts w:ascii="Times New Roman" w:eastAsia="Times New Roman" w:hAnsi="Times New Roman" w:cs="Times New Roman"/>
                <w:color w:val="000000"/>
                <w:spacing w:val="-2"/>
                <w:sz w:val="20"/>
                <w:szCs w:val="20"/>
                <w:lang w:eastAsia="hr-HR"/>
              </w:rPr>
            </w:pPr>
            <w:r w:rsidRPr="009B2E82">
              <w:rPr>
                <w:rFonts w:ascii="Times New Roman" w:eastAsia="Times New Roman" w:hAnsi="Times New Roman" w:cs="Times New Roman"/>
                <w:color w:val="000000"/>
                <w:spacing w:val="-2"/>
                <w:sz w:val="20"/>
                <w:szCs w:val="20"/>
                <w:lang w:eastAsia="hr-HR"/>
              </w:rPr>
              <w:t>4. Utvrđivanje i prihvaćanje glavnih rizika</w:t>
            </w:r>
          </w:p>
          <w:p w:rsidR="009B2E82" w:rsidRPr="009B2E82" w:rsidRDefault="009B2E82" w:rsidP="009B2E82">
            <w:pPr>
              <w:widowControl w:val="0"/>
              <w:shd w:val="clear" w:color="auto" w:fill="FFFFFF"/>
              <w:autoSpaceDE w:val="0"/>
              <w:autoSpaceDN w:val="0"/>
              <w:adjustRightInd w:val="0"/>
              <w:spacing w:after="0" w:line="230" w:lineRule="exact"/>
              <w:ind w:right="101"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5. Utvrđivanje radnih skupina za "specifične rizike" među glavnim rizicima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lipnja 2014.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2"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Vlada Republike Hrvatske i Državna uprava za zaštitu i spašavanje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49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1632"/>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0" w:righ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T.05.1 - Sprječavanje rizika i upravljanje rizicima: postojanje državne ili regionalne procjene rizika za upravljanje kriznim situacijama, uzimajući u obzir prilagodbu klimatskim promjenama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5" w:lineRule="exact"/>
              <w:ind w:right="211"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 opis scenarija s jednim i više rizika;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365"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1. Priprema dokumenta koji sadrži situacije jednog ili više rizika za svaki od glavnih rizika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studenog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2"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Vlada Republike Hrvatske i Državna uprava za zaštitu i spašavanje</w:t>
            </w:r>
          </w:p>
        </w:tc>
      </w:tr>
      <w:tr w:rsidR="009B2E82" w:rsidRPr="009B2E82" w:rsidTr="009B2E82">
        <w:trPr>
          <w:trHeight w:hRule="exact" w:val="1632"/>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0" w:right="25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T.05.1 - Sprječavanje rizika i upravljanje rizicima: postojanje državne ili regionalne procjene rizika za upravljanje kriznim situacijama, uzimajući u obzir prilagodbu klimatskim promjenama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3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 uzimanje u obzir, po potrebi, nacionalnih strategija za prilagodbu klimatskim promjenama.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Tijekom cijelog procesa procjene rizika, nacionalne strategije za prilagodbu klimatskim promjenama i stručnjaci će biti konzultirani o utjecaju klimatske promjene na sva relevantna i analizirana područja. Dionici odgovorni za klimatske promjene također su dio glavne radne skupine za procjenu rizika</w:t>
            </w:r>
            <w:r w:rsidRPr="009B2E82">
              <w:rPr>
                <w:rFonts w:ascii="Times New Roman" w:eastAsia="Times New Roman" w:hAnsi="Times New Roman" w:cs="Times New Roman"/>
                <w:color w:val="000000"/>
                <w:spacing w:val="-2"/>
                <w:sz w:val="20"/>
                <w:szCs w:val="20"/>
                <w:lang w:eastAsia="hr-HR"/>
              </w:rPr>
              <w:t>.</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43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Državna uprava za zaštitu i spašavanje</w:t>
            </w:r>
          </w:p>
        </w:tc>
      </w:tr>
      <w:tr w:rsidR="009B2E82" w:rsidRPr="009B2E82" w:rsidTr="009B2E82">
        <w:trPr>
          <w:trHeight w:hRule="exact" w:val="407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8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T.06.1 - Sektor vodoopskrbe: Postojanje a) politike postavljanja cijena vode koja potiče korisnike na učinkovito korištenje vodnih dobara i b) odgovarajućeg doprinosa različitih svrha korištenja vode povratu troškova distribucije vode u razinama utvrđenima u odobrenom planu upravljanja riječnim slivovima za ulaganja podržana iz programa.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2 - Usvajanje plana upravljanja riječnim slivovima za područje riječnog sliva u skladu s člankom 13. Direktive 2000/60/EZ.</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4" w:firstLine="19"/>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1. Potrebno je sastaviti dokument pod nazivom "Program praćenja stanja voda u razdoblju 2014. - 2019." s detaljnim višegodišnjim programom praćenja.</w:t>
            </w:r>
          </w:p>
          <w:p w:rsidR="009B2E82" w:rsidRPr="009B2E82" w:rsidRDefault="009B2E82" w:rsidP="009B2E82">
            <w:pPr>
              <w:widowControl w:val="0"/>
              <w:shd w:val="clear" w:color="auto" w:fill="FFFFFF"/>
              <w:autoSpaceDE w:val="0"/>
              <w:autoSpaceDN w:val="0"/>
              <w:adjustRightInd w:val="0"/>
              <w:spacing w:after="0" w:line="230" w:lineRule="exact"/>
              <w:ind w:right="24" w:firstLine="19"/>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2. Praćenje se uspostavlja i vrši u opsegu, vrsti i metodi ispitivanja u potpunosti usklađenima s europskim i nacionalnim standardima</w:t>
            </w:r>
          </w:p>
          <w:p w:rsidR="009B2E82" w:rsidRPr="009B2E82" w:rsidRDefault="009B2E82" w:rsidP="009B2E82">
            <w:pPr>
              <w:widowControl w:val="0"/>
              <w:shd w:val="clear" w:color="auto" w:fill="FFFFFF"/>
              <w:autoSpaceDE w:val="0"/>
              <w:autoSpaceDN w:val="0"/>
              <w:adjustRightInd w:val="0"/>
              <w:spacing w:after="0" w:line="230" w:lineRule="exact"/>
              <w:ind w:right="24" w:firstLine="19"/>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Proveden Plan upravljanja vodnim područjima za razdoblje 2016. - 2021., uključujući konačni popis umjetnih i značajno izmijenjenih vodnih tijela, konačni popis vodnih tijela kandidata za produženje rokova i/ili programe dodatnih mjera za postizanje dobrog stanja s obzirom na čl. 4. st. 4. ODV-a, mjere poduzete prema čl. 11. st. 5 za vodna tijela za koja ciljevi utvrđeni člankom 4. ODV-a vjerojatno neće biti postignuti</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Dodatni podaci i objašnjenja aktivnosti predviđeni su u zasebnoj datoteci u odjeljku Dokumenti</w:t>
            </w:r>
            <w:r w:rsidRPr="009B2E82">
              <w:rPr>
                <w:rFonts w:ascii="Times New Roman" w:eastAsia="Times New Roman" w:hAnsi="Times New Roman" w:cs="Times New Roman"/>
                <w:color w:val="000000"/>
                <w:spacing w:val="-1"/>
                <w:sz w:val="20"/>
                <w:szCs w:val="20"/>
                <w:lang w:eastAsia="hr-HR"/>
              </w:rPr>
              <w:t>.</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78"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Ministarstvo poljoprivrede (Hrvatske vode su institucija odgovorna za provedbu praćenja)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49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4531"/>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4"/>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T.06.2 - Sektor za zbrinjavanje otpada: Promicanje gospodarski i ekološki održivih ulaganja u sektor za zbrinjavanje otpada, posebice kroz razvoj planova gospodarenja otpadom u skladu s Direktivom 2008/98/EZ i s hijerarhijom otpada</w:t>
            </w:r>
            <w:r w:rsidRPr="009B2E82">
              <w:rPr>
                <w:rFonts w:ascii="Times New Roman" w:eastAsia="Times New Roman" w:hAnsi="Times New Roman" w:cs="Times New Roman"/>
                <w:color w:val="000000"/>
                <w:spacing w:val="-2"/>
                <w:sz w:val="20"/>
                <w:szCs w:val="20"/>
                <w:lang w:eastAsia="hr-HR"/>
              </w:rPr>
              <w:t>.</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60"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 Postojanje programa sprječavanja nastajanja otpada, prema zahtjevima članka 29. Direktive 2008/98/EZ;;</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1. Potpisivanje ugovora za projekt tehničke pomoći i početak pripreme Plana gospodarenja otpadom za razdoblje 2015. - 2021.</w:t>
            </w:r>
          </w:p>
          <w:p w:rsidR="009B2E82" w:rsidRPr="009B2E82" w:rsidRDefault="009B2E82" w:rsidP="009B2E82">
            <w:pPr>
              <w:widowControl w:val="0"/>
              <w:shd w:val="clear" w:color="auto" w:fill="FFFFFF"/>
              <w:autoSpaceDE w:val="0"/>
              <w:autoSpaceDN w:val="0"/>
              <w:adjustRightInd w:val="0"/>
              <w:spacing w:after="0" w:line="226" w:lineRule="exact"/>
              <w:ind w:right="14"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2. Pripremljen nacrt Nacionalnog plana gospodarenja otpadom za razdoblje 2015. - 2021., uključujući i nacrt Nacionalnog programa za prevenciju nastajanja otpada za isto razdoblje.</w:t>
            </w:r>
          </w:p>
          <w:p w:rsidR="009B2E82" w:rsidRPr="009B2E82" w:rsidRDefault="009B2E82" w:rsidP="009B2E82">
            <w:pPr>
              <w:widowControl w:val="0"/>
              <w:shd w:val="clear" w:color="auto" w:fill="FFFFFF"/>
              <w:autoSpaceDE w:val="0"/>
              <w:autoSpaceDN w:val="0"/>
              <w:adjustRightInd w:val="0"/>
              <w:spacing w:after="0" w:line="226" w:lineRule="exact"/>
              <w:ind w:right="14"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3. Nacrt izvješća strateške procjene utjecaja na okoliš za Nacionalni plan gospodarenja otpadom 2015.-2021. uključujući Nacionalni program za prevenciju nastajanja otpada</w:t>
            </w:r>
          </w:p>
          <w:p w:rsidR="009B2E82" w:rsidRPr="009B2E82" w:rsidRDefault="009B2E82" w:rsidP="009B2E82">
            <w:pPr>
              <w:widowControl w:val="0"/>
              <w:shd w:val="clear" w:color="auto" w:fill="FFFFFF"/>
              <w:autoSpaceDE w:val="0"/>
              <w:autoSpaceDN w:val="0"/>
              <w:adjustRightInd w:val="0"/>
              <w:spacing w:after="0" w:line="226" w:lineRule="exact"/>
              <w:ind w:right="14"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4. Međuresorne konzultacije o nacrtu Nacionalnog plana gospodarenja otpadom za razdoblje 2015. - 2021.</w:t>
            </w:r>
          </w:p>
          <w:p w:rsidR="009B2E82" w:rsidRPr="009B2E82" w:rsidRDefault="009B2E82" w:rsidP="009B2E82">
            <w:pPr>
              <w:widowControl w:val="0"/>
              <w:shd w:val="clear" w:color="auto" w:fill="FFFFFF"/>
              <w:autoSpaceDE w:val="0"/>
              <w:autoSpaceDN w:val="0"/>
              <w:adjustRightInd w:val="0"/>
              <w:spacing w:after="0" w:line="226" w:lineRule="exact"/>
              <w:ind w:right="14"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5. Dovršetak postupka strateške procjene utjecaja na okoliš za Nacionalni plan gospodarenja otpadom 2015.-2021. uključujući Nacionalni program za prevenciju nastajanja otpada.</w:t>
            </w:r>
          </w:p>
          <w:p w:rsidR="009B2E82" w:rsidRPr="009B2E82" w:rsidRDefault="009B2E82" w:rsidP="009B2E82">
            <w:pPr>
              <w:widowControl w:val="0"/>
              <w:shd w:val="clear" w:color="auto" w:fill="FFFFFF"/>
              <w:autoSpaceDE w:val="0"/>
              <w:autoSpaceDN w:val="0"/>
              <w:adjustRightInd w:val="0"/>
              <w:spacing w:after="0" w:line="226" w:lineRule="exact"/>
              <w:ind w:righ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6. Usvajanje Nacionalnog plana gospodarenja otpadom 2015.-2021. uključujući Nacionalni program za prevenciju nastajanja otpada od strane Vlade RH.</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1. listopada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98"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zaštite okoliša i prirode</w:t>
            </w:r>
          </w:p>
        </w:tc>
      </w:tr>
      <w:tr w:rsidR="009B2E82" w:rsidRPr="009B2E82" w:rsidTr="009B2E82">
        <w:trPr>
          <w:trHeight w:hRule="exact" w:val="2688"/>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4"/>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T.06.2 - Sektor za zbrinjavanje otpada: Promicanje gospodarski i ekološki održivih ulaganja u sektor za zbrinjavanje otpada, posebice kroz razvoj planova gospodarenja otpadom u skladu s Direktivom 2008/98/EZ i s hijerarhijom otpada</w:t>
            </w:r>
            <w:r w:rsidRPr="009B2E82">
              <w:rPr>
                <w:rFonts w:ascii="Times New Roman" w:eastAsia="Times New Roman" w:hAnsi="Times New Roman" w:cs="Times New Roman"/>
                <w:color w:val="000000"/>
                <w:spacing w:val="-2"/>
                <w:sz w:val="20"/>
                <w:szCs w:val="20"/>
                <w:lang w:eastAsia="hr-HR"/>
              </w:rPr>
              <w:t>.</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7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 Usvojene su mjere potrebne za postizanje ciljeva pripreme za ponovno korištenje i recikliranje do 2020. u skladu s člankom 11. stavkom 2. Direktive 2008/98/EZ</w:t>
            </w:r>
            <w:r w:rsidRPr="009B2E82">
              <w:rPr>
                <w:rFonts w:ascii="Times New Roman" w:eastAsia="Times New Roman" w:hAnsi="Times New Roman" w:cs="Times New Roman"/>
                <w:color w:val="000000"/>
                <w:spacing w:val="-2"/>
                <w:sz w:val="20"/>
                <w:szCs w:val="20"/>
                <w:lang w:eastAsia="hr-HR"/>
              </w:rPr>
              <w:t>.</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01" w:firstLine="10"/>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Dio potrebnih mjera (npr. porez na odlaganje otpada, sustav odlaganja, iznos komunalne pristojbe proporcionalan sa iznosom proizvedenog otpada itd.) već je uveden postojećim Zakonom o održivom gospodarenju otpadom. U skladu sa Zakonom, do srpnja 2014. usvojit će se niz dodatnih pravilnika koji će pridonijeti realizaciji ciljeva.</w:t>
            </w:r>
          </w:p>
          <w:p w:rsidR="009B2E82" w:rsidRPr="009B2E82" w:rsidRDefault="009B2E82" w:rsidP="009B2E82">
            <w:pPr>
              <w:widowControl w:val="0"/>
              <w:shd w:val="clear" w:color="auto" w:fill="FFFFFF"/>
              <w:autoSpaceDE w:val="0"/>
              <w:autoSpaceDN w:val="0"/>
              <w:adjustRightInd w:val="0"/>
              <w:spacing w:after="0" w:line="230" w:lineRule="exact"/>
              <w:ind w:right="101"/>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U skladu sa Zakonom o održivom gospodarenju otpadom, sve jedinice lokalne samouprave moraju na svom području osigurati odvojeno prikupljanje otpadnog papira, metala, stakla, plastike, tkanine i glomaznog komunalnog otpada do srpnja 2014. g</w:t>
            </w:r>
            <w:r w:rsidRPr="009B2E82">
              <w:rPr>
                <w:rFonts w:ascii="Times New Roman" w:eastAsia="Times New Roman" w:hAnsi="Times New Roman" w:cs="Times New Roman"/>
                <w:color w:val="000000"/>
                <w:sz w:val="20"/>
                <w:szCs w:val="20"/>
                <w:lang w:eastAsia="hr-HR"/>
              </w:rPr>
              <w:t>.</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31. srpnja 2014.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82"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Ministarstvo zaštite okoliša i prirode</w:t>
            </w:r>
            <w:r w:rsidRPr="009B2E82">
              <w:rPr>
                <w:rFonts w:ascii="Times New Roman" w:eastAsia="Times New Roman" w:hAnsi="Times New Roman" w:cs="Times New Roman"/>
                <w:color w:val="000000"/>
                <w:spacing w:val="-1"/>
                <w:sz w:val="20"/>
                <w:szCs w:val="20"/>
                <w:lang w:eastAsia="hr-HR"/>
              </w:rPr>
              <w:t>, jedinice samouprave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255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1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Trenutno su u procesu izrade pravilnici o energetskom iskorištavanju i spaljivanju otpada, koji razmatraju uvođenje politike tarifa za spaljivanje otpada koja bi bila regulirana novim pravilima.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349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T.07.1 - Promet: Postojanje sveobuhvatnog prometnog plana/planova ili okvira za ulaganje u prijevoz u skladu s institucionalnim uređenjem država članica (uključujući javni prijevoz na regionalnoj i lokalnoj razini) koji podržavaju razvoj infrastrukture i povećaju povezanost sa sveobuhvatnim i osnovnim TEN-T mrežama.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96"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 realistična i zrela baza projekata s predviđenom potporom iz EFRR-a i Kohezijskog fonda;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p w:rsidR="009B2E82" w:rsidRPr="009B2E82" w:rsidRDefault="009B2E82" w:rsidP="009B2E82">
            <w:pPr>
              <w:widowControl w:val="0"/>
              <w:shd w:val="clear" w:color="auto" w:fill="FFFFFF"/>
              <w:autoSpaceDE w:val="0"/>
              <w:autoSpaceDN w:val="0"/>
              <w:adjustRightInd w:val="0"/>
              <w:spacing w:after="0" w:line="226" w:lineRule="exact"/>
              <w:ind w:right="6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Republika Hrvatska pripremila je nacrt baze projekata s realističnim popisom projekata i vremenskim rasporedom kojeg je moguće izmijeniti i dopuniti. Temelj za razvoj baze projekata čine ciljevi i mjere navedeni u Strategiji prometnog razvoja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r w:rsidR="009B2E82" w:rsidRPr="009B2E82" w:rsidTr="009B2E82">
        <w:trPr>
          <w:trHeight w:hRule="exact" w:val="203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T.07.1 - Promet: Postojanje sveobuhvatnog prometnog plana/planova ili okvira za ulaganje u prijevoz u skladu s institucionalnim uređenjem država članica (uključujući javni prijevoz na regionalnoj i lokalnoj razini)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4"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1 - Postojanje sveobuhvatnog prometnog plana/planova ili okvira za ulaganje u prijevoz koji su u skladu sa zakonskim uvjetima za stratešku procjenu utjecaja na okoliš i koji navode</w:t>
            </w:r>
            <w:r w:rsidRPr="009B2E82">
              <w:rPr>
                <w:rFonts w:ascii="Times New Roman" w:eastAsia="Times New Roman" w:hAnsi="Times New Roman" w:cs="Times New Roman"/>
                <w:color w:val="000000"/>
                <w:spacing w:val="-4"/>
                <w:sz w:val="20"/>
                <w:szCs w:val="20"/>
                <w:lang w:eastAsia="hr-HR"/>
              </w:rPr>
              <w:t>:</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104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144"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koji podržavaju razvoj infrastrukture i povećaju povezanost sa sveobuhvatnim i osnovnim TEN-T mrežama</w:t>
            </w:r>
            <w:r w:rsidRPr="009B2E82">
              <w:rPr>
                <w:rFonts w:ascii="Times New Roman" w:eastAsia="Times New Roman" w:hAnsi="Times New Roman" w:cs="Times New Roman"/>
                <w:color w:val="000000"/>
                <w:spacing w:val="-2"/>
                <w:sz w:val="20"/>
                <w:szCs w:val="20"/>
                <w:lang w:eastAsia="hr-HR"/>
              </w:rPr>
              <w:t>.</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6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278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T.07.1 - Promet: Postojanje sveobuhvatnog prometnog plana/planova ili okvira za ulaganje u prijevoz u skladu s institucionalnim uređenjem država članica (uključujući javni prijevoz na regionalnoj i lokalnoj razini) koji podržavaju razvoj infrastrukture i povećaju povezanost sa sveobuhvatnim i osnovnim TEN-T mrežama.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8"/>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2 - doprinos jedinstvenom europskom prometnom području u skladu s člankom 10. Uredbe (EU) br. 72013 Europskog parlamenta i Vijeća, uključujući prioritete za ulaganja u:</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r w:rsidR="009B2E82" w:rsidRPr="009B2E82" w:rsidTr="009B2E82">
        <w:trPr>
          <w:trHeight w:hRule="exact" w:val="277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T.07.1 - Promet: Postojanje sveobuhvatnog prometnog plana/planova ili okvira za ulaganje u prijevoz u skladu s institucionalnim uređenjem država članica (uključujući javni prijevoz na regionalnoj i lokalnoj razini) koji podržavaju razvoj infrastrukture i povećaju povezanost sa sveobuhvatnim i osnovnim TEN-T mrežama.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29"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 osnovnu TEN-T mrežu i sveobuhvatnu mrežu, gdje je predviđeno ulaganje iz EFRR-a i Kohezijskog fonda; 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r w:rsidR="009B2E82" w:rsidRPr="009B2E82" w:rsidTr="009B2E82">
        <w:trPr>
          <w:trHeight w:hRule="exact" w:val="1597"/>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T.07.1 - Promet: Postojanje sveobuhvatnog prometnog plana/planova ili okvira za ulaganje u prijevoz u skladu s institucionalnim uređenjem država članica </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4 - sekundarna povezanost;</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firstLine="19"/>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14908" w:type="dxa"/>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Tematski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 xml:space="preserve">Rok </w:t>
            </w:r>
            <w:r w:rsidRPr="009B2E82">
              <w:rPr>
                <w:rFonts w:ascii="Times New Roman" w:eastAsia="Times New Roman" w:hAnsi="Times New Roman" w:cs="Times New Roman"/>
                <w:b/>
                <w:bCs/>
                <w:color w:val="000000"/>
                <w:spacing w:val="-3"/>
                <w:sz w:val="20"/>
                <w:szCs w:val="20"/>
                <w:lang w:eastAsia="hr-HR"/>
              </w:rPr>
              <w:t>(datum)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1507"/>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(uključujući javni prijevoz na regionalnoj i lokalnoj razini) koji podržavaju razvoj infrastrukture i povećaju povezanost sa sveobuhvatnim i osnovnim TEN-T mrežama.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p w:rsidR="009B2E82" w:rsidRPr="009B2E82" w:rsidRDefault="009B2E82" w:rsidP="009B2E82">
            <w:pPr>
              <w:widowControl w:val="0"/>
              <w:shd w:val="clear" w:color="auto" w:fill="FFFFFF"/>
              <w:autoSpaceDE w:val="0"/>
              <w:autoSpaceDN w:val="0"/>
              <w:adjustRightInd w:val="0"/>
              <w:spacing w:after="0" w:line="230" w:lineRule="exact"/>
              <w:ind w:right="52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2784"/>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T.07.1 - Prijevoz: Postojanje sveobuhvatnog plana/planova ili okvira za ulaganje u prijevoz u skladu s institucionalnim uređenjem država članica (uključujući javni prijevoz na regionalnoj i lokalnoj razini) koji podržava razvoj infrastrukture i povećava povezanost s osnovnim i sveobuhvatnim TEN-T mrežama.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96"/>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6 - mjere za osiguravanje kapaciteta posredničkih tijela i korisnika za dostavu baze projekata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14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Republika Hrvatska, s ciljem povećanja kapaciteta krajnjih korisnika, razmatra uvođenje specijaliziranih promotora projekata za pojedine grupe projekata čiji bi zadaci bili razvoj, nabava i provedba projekata. Trenutno se razmatraju različite mogućnosti (agencija ili vanjsko ugovaranje usluga s privatnim subjektima)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r w:rsidR="009B2E82" w:rsidRPr="009B2E82" w:rsidTr="009B2E82">
        <w:trPr>
          <w:trHeight w:hRule="exact" w:val="3491"/>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4"/>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T.07.2 - Željeznice: Postojanje posebnog odjeljka o razvoju željezničkog sustava unutar sveobuhvatnog prometnog plana/planova ili okvira koji je u skladu s institucionalnim uređenjem država članica (uključujući javni prijevoz na regionalnoj i lokalnoj razini) i koji podržava razvoj infrastrukture i povećava povezanost s osnovnim i sveobuhvatnim TEN-T mrežama. Ulaganja uključuju mobilna sredstva, interoperabilnost i izgradnju kapaciteta.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9"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Postojanje odjeljka o razvoju željezničkog sustava unutar gore opisanog prometnog plana/planova ili okvira koji je u skladu s pravnim zahtjevima za stratešku procjenu utjecaja na okoliš (SPUO) i koji utvrđuje realističnu i zrelu bazu projekata (uključujući vremenski raspored i proračunski okvir) koji sadrži; </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7"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Opći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Rok (datum)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499"/>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370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4"/>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T.07.2 - Željeznice: Postojanje posebnog odjeljka o razvoju željezničkog sustava unutar sveobuhvatnog prometnog plana/planova ili okvira koji je u skladu s institucionalnim uređenjem država članica (uključujući javni prijevoz na regionalnoj i lokalnoj razini) i koji podržava razvoj infrastrukture i povećava povezanost s osnovnim i sveobuhvatnim TEN-T mrežama. Ulaganja uključuju mobilna sredstva, interoperabilnost i izgradnju kapaciteta.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96"/>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mjere za osiguravanje kapaciteta posredničkih tijela i korisnika za dostavu baze projekata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Republika Hrvatska, s ciljem povećanja kapaciteta krajnjih korisnika, razmatra uvođenje specijaliziranih promotora projekata za pojedine grupe projekata čiji bi zadaci bili razvoj, nabava i provedba projekata. Trenutno se razmatraju različite mogućnosti (agencija ili vanjsko ugovaranje usluga s privatnim subjektima)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r w:rsidR="009B2E82" w:rsidRPr="009B2E82" w:rsidTr="009B2E82">
        <w:trPr>
          <w:trHeight w:hRule="exact" w:val="3245"/>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67"/>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T.09.1 - Postojanje i provedba nacionalnog strateškog okvira za smanjenje siromaštva s ciljem aktivnog uključivanja ljudi isključenih iz tržišta rada, i to u skladu sa Smjernicama o zapošljavanju.</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4"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3 - mjere koje podržavaju postizanje ciljeva borbe protiv nacionalnog siromaštva i socijalne isključenosti (utvrđenih u Nacionalnom programu reformi), i koje uključuju promicanje održivih i kvalitetnih mogućnosti za zapošljavanje za ljude koji su u najvećoj opasnosti od socijalne isključenosti, uključujući pripadnike marginaliziranih zajednica; </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Mjere koje se trebaju provesti kako bi se postigli ciljevi Strategije za borbu protiv siromaštva i socijalne isključenosti za razdoblje 2014. - 2020. bit će razrađene unutar zasebnog Provedbenog programa za razdoblje od tri godine (prvi provedbeni program pokrivat će razdoblje 2014. - 2016.). Program će uključivati konkretne mjere, tijela nadležna za pojedine mjere, rokove za ispunjavanje te pokazatelje uspjeha koji će biti u skladu s pokazateljima aktivne uključenosti za Europu 2020 i koji će pridonijeti postignuću nacionalnih ciljeva borbe protiv siromaštva i socijalne isključenosti. Provedbeni program također će uključivati i sustav nadzora podataka o siromaštvu i socijalnoj isključenosti</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rujna 2014.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7"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Ministarstvo socijalne politike i mladih</w:t>
            </w:r>
          </w:p>
          <w:p w:rsidR="009B2E82" w:rsidRPr="009B2E82" w:rsidRDefault="009B2E82" w:rsidP="009B2E82">
            <w:pPr>
              <w:widowControl w:val="0"/>
              <w:shd w:val="clear" w:color="auto" w:fill="FFFFFF"/>
              <w:autoSpaceDE w:val="0"/>
              <w:autoSpaceDN w:val="0"/>
              <w:adjustRightInd w:val="0"/>
              <w:spacing w:after="0" w:line="226" w:lineRule="exact"/>
              <w:ind w:right="6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Tijela nadležna za provedbu i praćenje pojedinih mjera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Opći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Rok (datum)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337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6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T.09.2 – Postojanje nacionalnog strateškog okvira za uključivanje Roma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2"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3 - utvrđuje relevantne socijalno ugrožene mikroregije, izolirana naselja i najugroženije zajednice koristeći već raspoložive socioekonomske i teritorijalne pokazatelje (tj. vrlo niska razina obrazovanja, dugoročna nezaposlenost itd.); </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48" w:hanging="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U okviru projekta IPA 2012 pod nazivom "Potpora nacionalnim manjinama na lokalnoj razini" provest će se mapiranje romskih zajednica u Republici Hrvatskoj koje će biti temelj za politiku zasnovanu na dokazima i za praćenje utjecaja intervencija i politika.</w:t>
            </w:r>
          </w:p>
          <w:p w:rsidR="009B2E82" w:rsidRPr="009B2E82" w:rsidRDefault="009B2E82" w:rsidP="009B2E82">
            <w:pPr>
              <w:widowControl w:val="0"/>
              <w:shd w:val="clear" w:color="auto" w:fill="FFFFFF"/>
              <w:autoSpaceDE w:val="0"/>
              <w:autoSpaceDN w:val="0"/>
              <w:adjustRightInd w:val="0"/>
              <w:spacing w:after="0" w:line="230" w:lineRule="exact"/>
              <w:ind w:right="48" w:hanging="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Koristeći raspoložive podatke, ULJPPNM izradit će nacrt novog Akcijskog plana za provedbu NSIR-a (AP NSIR), za razdoblje 2016. - 2018. koji će utvrditi ciljane mjere.</w:t>
            </w:r>
          </w:p>
          <w:p w:rsidR="009B2E82" w:rsidRPr="009B2E82" w:rsidRDefault="009B2E82" w:rsidP="009B2E82">
            <w:pPr>
              <w:widowControl w:val="0"/>
              <w:shd w:val="clear" w:color="auto" w:fill="FFFFFF"/>
              <w:autoSpaceDE w:val="0"/>
              <w:autoSpaceDN w:val="0"/>
              <w:adjustRightInd w:val="0"/>
              <w:spacing w:after="0" w:line="230" w:lineRule="exact"/>
              <w:ind w:right="48"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Rezultati mapiranja bit će temelj za razvoj ciljanih mjera, posebno na lokalnoj razini.</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8"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Ured za ljudska prava i prava nacionalnih manjina Vlade RH </w:t>
            </w:r>
            <w:r w:rsidRPr="009B2E82">
              <w:rPr>
                <w:rFonts w:ascii="Times New Roman" w:eastAsia="Times New Roman" w:hAnsi="Times New Roman" w:cs="Times New Roman"/>
                <w:color w:val="000000"/>
                <w:spacing w:val="-2"/>
                <w:sz w:val="20"/>
                <w:szCs w:val="20"/>
                <w:lang w:eastAsia="hr-HR"/>
              </w:rPr>
              <w:t>(ULJPPNM)</w:t>
            </w:r>
          </w:p>
        </w:tc>
      </w:tr>
      <w:tr w:rsidR="009B2E82" w:rsidRPr="009B2E82" w:rsidTr="009B2E82">
        <w:trPr>
          <w:trHeight w:hRule="exact" w:val="393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6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T.09.2 - Postojanje nacionalnog strateškog okvira za uključivanje Roma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12"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5 –izrađuje se, provodi i prati u bliskoj suradnji i neprekidnom dijalogu s romskim civilnim društvom i tijelima regionalne i lokalne samouprave</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29" w:hanging="5"/>
              <w:rPr>
                <w:rFonts w:ascii="Times New Roman" w:eastAsia="Times New Roman" w:hAnsi="Times New Roman" w:cs="Times New Roman"/>
                <w:color w:val="000000"/>
                <w:sz w:val="20"/>
                <w:szCs w:val="20"/>
                <w:lang w:eastAsia="hr-HR"/>
              </w:rPr>
            </w:pPr>
            <w:r w:rsidRPr="009B2E82">
              <w:rPr>
                <w:rFonts w:ascii="Times New Roman" w:eastAsia="Times New Roman" w:hAnsi="Times New Roman" w:cs="Times New Roman"/>
                <w:color w:val="000000"/>
                <w:sz w:val="20"/>
                <w:szCs w:val="20"/>
                <w:lang w:eastAsia="hr-HR"/>
              </w:rPr>
              <w:t>Formiranje polutrajnog koordinacijskog tijela koje će se sastojati od gradonačelnika/načelnika jedinica lokalne samouprave sa značajnim romskim stanovništvom. Suradnja i razmjena informacija odvijat će se putem Interneta, a organizirat će se polugodišnji sastanci s ciljem raspravljanja o problemima s kojima se romske zajednice susreću na lokalnoj razini te poticanja izrade i usvajanja županijskih akcijskih planova u županijama u kojima takvi planovi još nisu usvojeni.</w:t>
            </w:r>
          </w:p>
          <w:p w:rsidR="009B2E82" w:rsidRPr="009B2E82" w:rsidRDefault="009B2E82" w:rsidP="009B2E82">
            <w:pPr>
              <w:widowControl w:val="0"/>
              <w:shd w:val="clear" w:color="auto" w:fill="FFFFFF"/>
              <w:autoSpaceDE w:val="0"/>
              <w:autoSpaceDN w:val="0"/>
              <w:adjustRightInd w:val="0"/>
              <w:spacing w:after="0" w:line="230" w:lineRule="exact"/>
              <w:ind w:right="29"/>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U suradnji s Ministarstvom financija, ULJPPNM izradit će nacrt preporuka jedinicama lokalne samouprave za uvođenje posebne proračunske stavke za financiranje ciljanih mjera usmjerenih na poboljšanje stanja u romskim zajednicama, što bi omogućilo transparentniji i prikladniji proračunski sustav.</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48"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ULJPPNM (u suradnji s romskim civilnim društvom, jedinicama lokalne/regionalne samouprave, Ministarstvom financija, profesionalnim udruženjima općina, gradova i županija te ostalim relevantnim dionicima)</w:t>
            </w:r>
          </w:p>
        </w:tc>
      </w:tr>
      <w:tr w:rsidR="009B2E82" w:rsidRPr="009B2E82" w:rsidTr="009B2E82">
        <w:trPr>
          <w:trHeight w:hRule="exact" w:val="605"/>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10" w:right="72"/>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Opći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Rok (datum)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3955"/>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240"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T.09.3 - Zdravstvo: Postojanje nacionalnog ili regionalnog strateškog okvira za zdravstvo u granicama članka 168. UFEU-a koji osigurava ekonomsku održivost.</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 sustav praćenja i revizije</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Strateški planovi za različite segmente zdravstva koji će se odnositi na praćenje.</w:t>
            </w: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Usvajanje Nacionalnog plana razvoja kliničkih bolničkih centara, kliničkih bolnica, klinika i općih bolnica od strane Hrvatskog sabora.</w:t>
            </w: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Akcijski plan za usvajanje Strateškog plana razvoja ljudskih resursa u zdravstvu.</w:t>
            </w: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Javna savjetovanja, uz nacrte planova javno dostupne na internetskim stranicama Ministarstva zdravlja.</w:t>
            </w:r>
          </w:p>
          <w:p w:rsidR="009B2E82" w:rsidRPr="009B2E82" w:rsidRDefault="009B2E82" w:rsidP="009B2E82">
            <w:pPr>
              <w:widowControl w:val="0"/>
              <w:shd w:val="clear" w:color="auto" w:fill="FFFFFF"/>
              <w:autoSpaceDE w:val="0"/>
              <w:autoSpaceDN w:val="0"/>
              <w:adjustRightInd w:val="0"/>
              <w:spacing w:after="0" w:line="230" w:lineRule="exact"/>
              <w:ind w:right="139"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Revizija Strateškog plana u skladu s rezultatima javnih savjetovanja i usvajanje Strateškog plana od strane Vlade Republike Hrvatske.</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listopada 2014.</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2"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Ministarstvo zdravlja</w:t>
            </w:r>
          </w:p>
          <w:p w:rsidR="009B2E82" w:rsidRPr="009B2E82" w:rsidRDefault="009B2E82" w:rsidP="009B2E82">
            <w:pPr>
              <w:widowControl w:val="0"/>
              <w:shd w:val="clear" w:color="auto" w:fill="FFFFFF"/>
              <w:autoSpaceDE w:val="0"/>
              <w:autoSpaceDN w:val="0"/>
              <w:adjustRightInd w:val="0"/>
              <w:spacing w:after="0" w:line="230" w:lineRule="exact"/>
              <w:ind w:right="62"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Hrvatski sabor</w:t>
            </w:r>
          </w:p>
          <w:p w:rsidR="009B2E82" w:rsidRPr="009B2E82" w:rsidRDefault="009B2E82" w:rsidP="009B2E82">
            <w:pPr>
              <w:widowControl w:val="0"/>
              <w:shd w:val="clear" w:color="auto" w:fill="FFFFFF"/>
              <w:autoSpaceDE w:val="0"/>
              <w:autoSpaceDN w:val="0"/>
              <w:adjustRightInd w:val="0"/>
              <w:spacing w:after="0" w:line="230" w:lineRule="exact"/>
              <w:ind w:right="62"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Vlada Republike Hrvatske</w:t>
            </w:r>
          </w:p>
        </w:tc>
      </w:tr>
      <w:tr w:rsidR="009B2E82" w:rsidRPr="009B2E82" w:rsidTr="009B2E82">
        <w:trPr>
          <w:trHeight w:hRule="exact" w:val="3715"/>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T.07.3 - Drugi načini prijevoza, uključujući unutarnje plovne putove i pomorski prijevoz, luke, multimodalne veze i aerodromsku infrastrukturu: postojanje posebnog odjeljka o unutarnjim plovnim putovima i pomorskom prijevozu, lukama, multimodalnim vezama i aerodromskoj infrastrukturi unutar sveobuhvatnog prometnog plana/planova ili okvira, koji pridonosi boljoj povezanosti s osnovnim i sveobuhvatnim TEN-T mrežama te promoviranju održive regionalne i lokalne mobilnosti.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9"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0"/>
                <w:szCs w:val="20"/>
                <w:lang w:eastAsia="hr-HR"/>
              </w:rPr>
              <w:t xml:space="preserve">1 - </w:t>
            </w:r>
            <w:r w:rsidRPr="009B2E82">
              <w:rPr>
                <w:rFonts w:ascii="Times New Roman" w:eastAsia="Times New Roman" w:hAnsi="Times New Roman" w:cs="Times New Roman"/>
                <w:color w:val="000000"/>
                <w:sz w:val="20"/>
                <w:szCs w:val="20"/>
                <w:lang w:eastAsia="hr-HR"/>
              </w:rPr>
              <w:t>Postojanje posebnog odjeljka o unutarnjim plovnim putovima i pomorskom prijevozu, lukama, multimodalnim vezama i aerodromskoj infrastrukturi unutar sveobuhvatnog prometnog plana/planova ili okvira, koji sadrži</w:t>
            </w:r>
            <w:r w:rsidRPr="009B2E82">
              <w:rPr>
                <w:rFonts w:ascii="Times New Roman" w:eastAsia="Times New Roman" w:hAnsi="Times New Roman" w:cs="Times New Roman"/>
                <w:color w:val="000000"/>
                <w:spacing w:val="-1"/>
                <w:sz w:val="20"/>
                <w:szCs w:val="20"/>
                <w:lang w:eastAsia="hr-HR"/>
              </w:rPr>
              <w:t>:</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7"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Opći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Rok (datum)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369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T.07.3 - Drugi načini prijevoza, uključujući unutarnje plovne putove i pomorski prijevoz, luke, multimodalne veze i aerodromsku infrastrukturu: postojanje posebnog odjeljka o unutarnjim plovnim putovima i pomorskom prijevozu, lukama, multimodalnim vezama i aerodromskoj infrastrukturi unutar sveobuhvatnog prometnog plana/planova ili okvira, koji pridonosi boljoj povezanosti s osnovnim i sveobuhvatnim TEN-T mrežama te promoviranju održive regionalne i lokalne mobilnosti.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48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2 - </w:t>
            </w:r>
            <w:r w:rsidRPr="009B2E82">
              <w:rPr>
                <w:rFonts w:ascii="Times New Roman" w:eastAsia="Times New Roman" w:hAnsi="Times New Roman" w:cs="Times New Roman"/>
                <w:color w:val="000000"/>
                <w:spacing w:val="-2"/>
                <w:sz w:val="20"/>
                <w:szCs w:val="20"/>
                <w:lang w:eastAsia="hr-HR"/>
              </w:rPr>
              <w:t>u skladu s pravnim zahtjevima za stratešku procjenu utjecaja na okoliš;</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7"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r w:rsidR="009B2E82" w:rsidRPr="009B2E82" w:rsidTr="009B2E82">
        <w:trPr>
          <w:trHeight w:hRule="exact" w:val="3696"/>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0"/>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T.07.3 - Drugi načini prijevoza, uključujući unutarnje plovne putove i pomorski prijevoz, luke, multimodalne veze i aerodromsku infrastrukturu: postojanje posebnog odjeljka o unutarnjim plovnim putovima i pomorskom prijevozu, lukama, multimodalnim vezama i aerodromskoj infrastrukturi unutar sveobuhvatnog prometnog plana/planova ili okvira, koji pridonosi boljoj povezanosti s osnovnim i sveobuhvatnim TEN-T mrežama te promoviranju održive regionalne i lokalne mobilnosti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23" w:firstLine="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 xml:space="preserve">3 - </w:t>
            </w:r>
            <w:r w:rsidRPr="009B2E82">
              <w:rPr>
                <w:rFonts w:ascii="Times New Roman" w:eastAsia="Times New Roman" w:hAnsi="Times New Roman" w:cs="Times New Roman"/>
                <w:color w:val="000000"/>
                <w:spacing w:val="-2"/>
                <w:sz w:val="20"/>
                <w:szCs w:val="20"/>
                <w:lang w:eastAsia="hr-HR"/>
              </w:rPr>
              <w:t>utvrđuje realističnu i zrelu bazu projekata (uključujući vremenski raspored i proračunski okvir)</w:t>
            </w:r>
            <w:r w:rsidRPr="009B2E82">
              <w:rPr>
                <w:rFonts w:ascii="Times New Roman" w:eastAsia="Times New Roman" w:hAnsi="Times New Roman" w:cs="Times New Roman"/>
                <w:color w:val="000000"/>
                <w:sz w:val="20"/>
                <w:szCs w:val="20"/>
                <w:lang w:eastAsia="hr-HR"/>
              </w:rPr>
              <w:t>;</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67" w:firstLine="1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1. Razvoj Strategije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2. Strateška procjena utjecaja na okoliš za Strategiju prometnog razvoja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3. Razvoj Nacionalnog prometnog modela</w:t>
            </w:r>
          </w:p>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4. Revidirana i konačna Strategija prometnog razvoja (usvojila Vlada RH)</w:t>
            </w:r>
          </w:p>
          <w:p w:rsidR="009B2E82" w:rsidRPr="009B2E82" w:rsidRDefault="009B2E82" w:rsidP="009B2E82">
            <w:pPr>
              <w:widowControl w:val="0"/>
              <w:shd w:val="clear" w:color="auto" w:fill="FFFFFF"/>
              <w:autoSpaceDE w:val="0"/>
              <w:autoSpaceDN w:val="0"/>
              <w:adjustRightInd w:val="0"/>
              <w:spacing w:after="0" w:line="230" w:lineRule="exact"/>
              <w:ind w:right="67" w:hanging="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Republika Hrvatska pripremila je nacrt baze projekata tako što je utvrdila realističan popis projekata s vremenskim rasporedom kojeg je moguće izmijeniti i dopuniti. Temelj za razvoj baze projekata čine ciljevi i mjere navedeni u Strategiji prometnog razvoja.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557" w:hanging="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r w:rsidR="009B2E82" w:rsidRPr="009B2E82" w:rsidTr="009B2E82">
        <w:trPr>
          <w:trHeight w:hRule="exact" w:val="518"/>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Opći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Rok (datum)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335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10"/>
              <w:rPr>
                <w:rFonts w:ascii="Arial" w:eastAsia="Times New Roman" w:hAnsi="Arial" w:cs="Arial"/>
                <w:sz w:val="18"/>
                <w:szCs w:val="18"/>
                <w:lang w:eastAsia="hr-HR"/>
              </w:rPr>
            </w:pPr>
            <w:r w:rsidRPr="009B2E82">
              <w:rPr>
                <w:rFonts w:ascii="Times New Roman" w:eastAsia="Times New Roman" w:hAnsi="Times New Roman" w:cs="Times New Roman"/>
                <w:color w:val="000000"/>
                <w:sz w:val="18"/>
                <w:szCs w:val="18"/>
                <w:lang w:eastAsia="hr-HR"/>
              </w:rPr>
              <w:t>T.07.3 - Drugi načini prijevoza, uključujući unutarnje plovne putove i pomorski prijevoz, luke, multimodalne veze i aerodromsku infrastrukturu: postojanje posebnog odjeljka o unutarnjim plovnim putovima i pomorskom prijevozu, lukama, multimodalnim vezama i aerodromskoj infrastrukturi unutar sveobuhvatnog prometnog plana/planova ili okvira, koji pridonosi boljoj povezanosti s osnovnim i sveobuhvatnim TEN-T mrežama te promoviranju održive regionalne i lokalne mobilnosti.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96"/>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4 - </w:t>
            </w:r>
            <w:r w:rsidRPr="009B2E82">
              <w:rPr>
                <w:rFonts w:ascii="Times New Roman" w:eastAsia="Times New Roman" w:hAnsi="Times New Roman" w:cs="Times New Roman"/>
                <w:color w:val="000000"/>
                <w:sz w:val="20"/>
                <w:szCs w:val="20"/>
                <w:lang w:eastAsia="hr-HR"/>
              </w:rPr>
              <w:t>mjere za osiguravanje kapaciteta posredničkih tijela i korisnika za dostavu baze projekata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9"/>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Republika Hrvatska, s ciljem povećanja kapaciteta krajnjih korisnika, razmatra uvođenje specijaliziranih promotora projekata za pojedine grupe projekata čiji bi zadaci bili razvoj, nabava i provedba projekata. Trenutno se razmatraju različite mogućnosti (agencija ili vanjsko ugovaranje usluga s privatnim subjektima)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30.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557"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pomorstva, prometa i infrastrukture</w:t>
            </w:r>
          </w:p>
        </w:tc>
      </w:tr>
      <w:tr w:rsidR="009B2E82" w:rsidRPr="009B2E82" w:rsidTr="009B2E82">
        <w:trPr>
          <w:trHeight w:hRule="exact" w:val="4531"/>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left="5" w:right="62"/>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T.10.4 - Postojanje nacionalnog ili regionalnog strateškog okvira za povećanje kvalitete i učinkovitosti sustava SOO-a u okviru članka 165. UFEU-a.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xml:space="preserve">2 - povećati relevantnost sustava SOO-a za tržište rada u bliskoj suradnji s relevantnim dionicima kroz mehanizme predviđanja vještina, prilagodbu nastavnih programa i jačanje različitih oblika učenja kroz rad </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4"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izravna dodjela sredstava Ministarstvu znanosti, obrazovanja i športa predviđena u okviru OP-a 2007. - 2013. kojom će se podržati osnivanje sektorskih vijeća kao i obrazovne i informativne aktivnosti povezane s HKO-om.</w:t>
            </w:r>
          </w:p>
          <w:p w:rsidR="009B2E82" w:rsidRPr="009B2E82" w:rsidRDefault="009B2E82" w:rsidP="009B2E82">
            <w:pPr>
              <w:widowControl w:val="0"/>
              <w:shd w:val="clear" w:color="auto" w:fill="FFFFFF"/>
              <w:autoSpaceDE w:val="0"/>
              <w:autoSpaceDN w:val="0"/>
              <w:adjustRightInd w:val="0"/>
              <w:spacing w:after="0" w:line="226" w:lineRule="exact"/>
              <w:ind w:right="14"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izravna dodjela sredstava Ministarstvu rada i mirovinskog sustava predviđena u okviru OP-a 2007. - 2013. kojom će se podržati proces daljnjeg razvoja profesionalnih standarda.</w:t>
            </w:r>
          </w:p>
          <w:p w:rsidR="009B2E82" w:rsidRPr="009B2E82" w:rsidRDefault="009B2E82" w:rsidP="009B2E82">
            <w:pPr>
              <w:widowControl w:val="0"/>
              <w:shd w:val="clear" w:color="auto" w:fill="FFFFFF"/>
              <w:autoSpaceDE w:val="0"/>
              <w:autoSpaceDN w:val="0"/>
              <w:adjustRightInd w:val="0"/>
              <w:spacing w:after="0" w:line="226" w:lineRule="exact"/>
              <w:ind w:right="14" w:firstLine="5"/>
              <w:rPr>
                <w:rFonts w:ascii="Times New Roman" w:eastAsia="Times New Roman" w:hAnsi="Times New Roman" w:cs="Times New Roman"/>
                <w:color w:val="000000"/>
                <w:spacing w:val="-1"/>
                <w:sz w:val="20"/>
                <w:szCs w:val="20"/>
                <w:lang w:eastAsia="hr-HR"/>
              </w:rPr>
            </w:pPr>
            <w:r w:rsidRPr="009B2E82">
              <w:rPr>
                <w:rFonts w:ascii="Times New Roman" w:eastAsia="Times New Roman" w:hAnsi="Times New Roman" w:cs="Times New Roman"/>
                <w:color w:val="000000"/>
                <w:spacing w:val="-1"/>
                <w:sz w:val="20"/>
                <w:szCs w:val="20"/>
                <w:lang w:eastAsia="hr-HR"/>
              </w:rPr>
              <w:t>- razvoj Nacionalnog okvirnog kurikuluma kao i sektorskih nastavnih programa SOO-a koji će učenicima pružiti kompetencije koje će im omogućiti konkurentnost na tržištu rada i osigurati uspješno uključivanje u visokoškolsko obrazovane i/ili cjeloživotno učenje (2015. i 2016.)</w:t>
            </w:r>
          </w:p>
          <w:p w:rsidR="009B2E82" w:rsidRPr="009B2E82" w:rsidRDefault="009B2E82" w:rsidP="009B2E82">
            <w:pPr>
              <w:widowControl w:val="0"/>
              <w:shd w:val="clear" w:color="auto" w:fill="FFFFFF"/>
              <w:autoSpaceDE w:val="0"/>
              <w:autoSpaceDN w:val="0"/>
              <w:adjustRightInd w:val="0"/>
              <w:spacing w:after="0" w:line="226" w:lineRule="exact"/>
              <w:ind w:right="14" w:firstLine="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 usklađivanje obrazovne ponude SOO-a s potrebama tržišta rada bit će podržano kroz provedbu projekata financiranih iz SKF-a.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prosinca 2016.</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3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znanosti, obrazovanja i športa</w:t>
            </w:r>
          </w:p>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Ministarstvo rada, zapošljavanja i socijalne politike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2832"/>
        <w:gridCol w:w="4963"/>
        <w:gridCol w:w="1411"/>
        <w:gridCol w:w="2563"/>
      </w:tblGrid>
      <w:tr w:rsidR="009B2E82" w:rsidRPr="009B2E82" w:rsidTr="009B2E82">
        <w:trPr>
          <w:trHeight w:hRule="exact" w:val="720"/>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0"/>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lastRenderedPageBreak/>
              <w:t>Opći ex-ante uvjeti</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Neispunjeni kriteriji</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54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20"/>
                <w:szCs w:val="20"/>
                <w:lang w:eastAsia="hr-HR"/>
              </w:rPr>
              <w:t>Mjere koje se poduzimaju</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216" w:right="216"/>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Rok (datum)</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74"/>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0"/>
                <w:szCs w:val="20"/>
                <w:lang w:eastAsia="hr-HR"/>
              </w:rPr>
              <w:t>Odgovorna tijela</w:t>
            </w:r>
          </w:p>
        </w:tc>
      </w:tr>
      <w:tr w:rsidR="009B2E82" w:rsidRPr="009B2E82" w:rsidTr="009B2E82">
        <w:trPr>
          <w:trHeight w:hRule="exact" w:val="2333"/>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left="5" w:right="4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T.10.3 - Cjeloživotno učenje (CU): Postojanje nacionalnog i/ili regionalnog strateškog okvira za cjeloživotno učenje u okviru članka 165. UFEU-a.</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115"/>
              <w:rPr>
                <w:rFonts w:ascii="Arial" w:eastAsia="Times New Roman" w:hAnsi="Arial" w:cs="Arial"/>
                <w:sz w:val="20"/>
                <w:szCs w:val="20"/>
                <w:lang w:eastAsia="hr-HR"/>
              </w:rPr>
            </w:pPr>
            <w:r w:rsidRPr="009B2E82">
              <w:rPr>
                <w:rFonts w:ascii="Times New Roman" w:eastAsia="Times New Roman" w:hAnsi="Times New Roman" w:cs="Times New Roman"/>
                <w:color w:val="000000"/>
                <w:sz w:val="20"/>
                <w:szCs w:val="20"/>
                <w:lang w:eastAsia="hr-HR"/>
              </w:rPr>
              <w:t>2 - podržati razvijanje i povezivanje usluga cjeloživotnog učenja, uključujući njihovu provedbu i unaprjeđenje vještina (tj. vrednovanje, usmjeravanje, obrazovanje i izobrazba) te ostvarivanje uvjeta za uključivanje i partnerstvo s relevantnim dionicima;</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26" w:lineRule="exact"/>
              <w:ind w:right="31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Pravilnik o priznavanju i vrednovanju neformalnog i informalnog učenja u postupku je izrade. Pravilnik će po prvi put uspostaviti nacionalni sustav priznavanja neformalnog i informalnog učenja.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20"/>
                <w:szCs w:val="20"/>
                <w:lang w:eastAsia="hr-HR"/>
              </w:rPr>
              <w:t>31. ožujka 2015.</w:t>
            </w:r>
          </w:p>
        </w:tc>
        <w:tc>
          <w:tcPr>
            <w:tcW w:w="256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30" w:lineRule="exact"/>
              <w:ind w:right="634"/>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0"/>
                <w:szCs w:val="20"/>
                <w:lang w:eastAsia="hr-HR"/>
              </w:rPr>
              <w:t>Ministarstvo znanosti, obrazovanja i športa</w:t>
            </w:r>
          </w:p>
          <w:p w:rsidR="009B2E82" w:rsidRPr="009B2E82" w:rsidRDefault="009B2E82" w:rsidP="009B2E82">
            <w:pPr>
              <w:widowControl w:val="0"/>
              <w:shd w:val="clear" w:color="auto" w:fill="FFFFFF"/>
              <w:autoSpaceDE w:val="0"/>
              <w:autoSpaceDN w:val="0"/>
              <w:adjustRightInd w:val="0"/>
              <w:spacing w:after="0" w:line="230" w:lineRule="exact"/>
              <w:ind w:right="634"/>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2"/>
          <w:sz w:val="24"/>
          <w:szCs w:val="24"/>
          <w:lang w:eastAsia="hr-HR"/>
        </w:rPr>
      </w:pPr>
    </w:p>
    <w:p w:rsidR="009B2E82" w:rsidRPr="009B2E82" w:rsidRDefault="009B2E82" w:rsidP="009B2E82">
      <w:pPr>
        <w:widowControl w:val="0"/>
        <w:shd w:val="clear" w:color="auto" w:fill="FFFFFF"/>
        <w:autoSpaceDE w:val="0"/>
        <w:autoSpaceDN w:val="0"/>
        <w:adjustRightInd w:val="0"/>
        <w:spacing w:after="0" w:line="240" w:lineRule="auto"/>
        <w:ind w:left="83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24"/>
          <w:szCs w:val="24"/>
          <w:lang w:eastAsia="hr-HR"/>
        </w:rPr>
        <w:t>10. SMANJENJE ADMINISTRATIVNOG OPTEREĆENJA ZA KORISNIKE</w:t>
      </w:r>
    </w:p>
    <w:p w:rsidR="009B2E82" w:rsidRPr="009B2E82" w:rsidRDefault="009B2E82" w:rsidP="009B2E82">
      <w:pPr>
        <w:widowControl w:val="0"/>
        <w:shd w:val="clear" w:color="auto" w:fill="FFFFFF"/>
        <w:autoSpaceDE w:val="0"/>
        <w:autoSpaceDN w:val="0"/>
        <w:adjustRightInd w:val="0"/>
        <w:spacing w:before="278" w:after="0" w:line="274" w:lineRule="exact"/>
        <w:ind w:left="816" w:right="1243"/>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Sažetak procjene administrativnog opterećenja za korisnike i, po potrebi, aktivnosti koje se planira poduzeti kako bi se smanjilo administrativno opterećenje, zajedno s njihovim indikativnim vremenskim okvirom.</w:t>
      </w:r>
    </w:p>
    <w:p w:rsidR="009B2E82" w:rsidRPr="009B2E82" w:rsidRDefault="009B2E82" w:rsidP="009B2E82">
      <w:pPr>
        <w:widowControl w:val="0"/>
        <w:shd w:val="clear" w:color="auto" w:fill="FFFFFF"/>
        <w:autoSpaceDE w:val="0"/>
        <w:autoSpaceDN w:val="0"/>
        <w:adjustRightInd w:val="0"/>
        <w:spacing w:before="278" w:after="0" w:line="274" w:lineRule="exact"/>
        <w:ind w:left="816" w:right="1243"/>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Kao jedna od stalnih ključnih mjera koje pridonose sveukupnoj učinkovitosti SUK-a, a čiji je rezultat smanjene administrativnog opterećenja za korisnike, odnosi se na kontinuirano korištenje standardiziranih procesa (poslovnih procesa), alata i metoda, koji su, po potrebi, podržani zajedničkim ISU-om.</w:t>
      </w:r>
    </w:p>
    <w:p w:rsidR="009B2E82" w:rsidRPr="009B2E82" w:rsidRDefault="009B2E82" w:rsidP="009B2E82">
      <w:pPr>
        <w:widowControl w:val="0"/>
        <w:shd w:val="clear" w:color="auto" w:fill="FFFFFF"/>
        <w:autoSpaceDE w:val="0"/>
        <w:autoSpaceDN w:val="0"/>
        <w:adjustRightInd w:val="0"/>
        <w:spacing w:before="274" w:after="0" w:line="274" w:lineRule="exact"/>
        <w:ind w:left="816" w:right="1272"/>
        <w:jc w:val="both"/>
        <w:rPr>
          <w:rFonts w:ascii="Times New Roman" w:eastAsia="Times New Roman" w:hAnsi="Times New Roman" w:cs="Times New Roman"/>
          <w:bCs/>
          <w:color w:val="000000"/>
          <w:spacing w:val="-1"/>
          <w:sz w:val="24"/>
          <w:szCs w:val="24"/>
          <w:lang w:eastAsia="hr-HR"/>
        </w:rPr>
      </w:pPr>
      <w:r w:rsidRPr="009B2E82">
        <w:rPr>
          <w:rFonts w:ascii="Times New Roman" w:eastAsia="Times New Roman" w:hAnsi="Times New Roman" w:cs="Times New Roman"/>
          <w:b/>
          <w:bCs/>
          <w:color w:val="000000"/>
          <w:spacing w:val="-1"/>
          <w:sz w:val="24"/>
          <w:szCs w:val="24"/>
          <w:lang w:eastAsia="hr-HR"/>
        </w:rPr>
        <w:t xml:space="preserve">Korpus standardiziranih poslovnih procesa </w:t>
      </w:r>
      <w:r w:rsidRPr="009B2E82">
        <w:rPr>
          <w:rFonts w:ascii="Times New Roman" w:eastAsia="Times New Roman" w:hAnsi="Times New Roman" w:cs="Times New Roman"/>
          <w:bCs/>
          <w:color w:val="000000"/>
          <w:spacing w:val="-1"/>
          <w:sz w:val="24"/>
          <w:szCs w:val="24"/>
          <w:lang w:eastAsia="hr-HR"/>
        </w:rPr>
        <w:t>za programe EFRR-a i KF-a (kao i za programe ESF-a) kodificiran je u Zajedničkim nacionalnim pravilima (ZNP), koja su utvrđena za razdoblje 2007. - 2013. i koja su u procesu ažuriranja, unaprjeđenja i prilagodbe za potrebe SUK-a za razdoblje 2014. - 2020. (vremenski okvir za ovu vježbu postavljen je za kraj 2014. godine). ZNP-ovi obuhvaćaju poslovne procese s popratnim propisanim oblicima povezanima s prihvatljivošću izdataka, upravljanjem rizicima i unaprjeđenjem sustava, uvjetima za pripremu i provedbu projekata, predviđanjem i praćenjem, revizijskim tragom, odabirom i ugovaranjem, provjerama, plaćanjima, certifikacijom, povratima, revizijama, nepravilnostima, informiranjem i vidljivošću, strateškim planiranjem, programiranjem, evaluacijom i zatvaranjem. Konstantno se ulažu napori u standardizaciju poslovnih procesa povezanih s uvjetima pripreme i provedbe projekata, koja će pridonijeti jačanju kompetencija korisnika i time smanjiti nužnu količinu posla, sve kako bi se riješili problemi povezani s ključnim aspektima administrativnog opterećenja za utvrđene korisnike, što se najviše odnosi na proceduralnu složenost, proceduralnu neusklađenost i različitosti koje nastaju zbog različitih administrativnih zahtjeva različitih tijela SUK-a. Stoga bi dodatno pojednostavljenje zajedničkih postupaka (posebno uvjeta pripreme i provedbe projekata), standardiziranih na razini ZNP-a trebalo omogućiti korisnicima: (a) pripremu značajnog dijela prijave za projekt unaprijed prije objave poziva, (b) izgradnju kapaciteta za provedbu projekta unaprijed i (c) smanjenje sredstava potrebnih za administrativnu provedbu projekta, što će im omogućiti da se više usredotoče na sadržaj samog projekta.</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U sklopu daljnjeg pojednostavljenja zajedničkih postupaka, planira se i uvođenje novih diversificiranih i pojednostavljenih postupaka prijave i odabira projekata, što bi omogućilo dovršavanje odabira projekata u kraćem vremenskom okviru i s optimalnim korištenjem sredstava SUK-a i korisnika. </w:t>
      </w:r>
    </w:p>
    <w:p w:rsidR="009B2E82" w:rsidRPr="009B2E82" w:rsidRDefault="009B2E82" w:rsidP="009B2E82">
      <w:pPr>
        <w:widowControl w:val="0"/>
        <w:shd w:val="clear" w:color="auto" w:fill="FFFFFF"/>
        <w:autoSpaceDE w:val="0"/>
        <w:autoSpaceDN w:val="0"/>
        <w:adjustRightInd w:val="0"/>
        <w:spacing w:before="278" w:after="0" w:line="240" w:lineRule="auto"/>
        <w:ind w:left="826" w:right="1206"/>
        <w:jc w:val="both"/>
        <w:rPr>
          <w:rFonts w:ascii="Times New Roman" w:eastAsia="Times New Roman" w:hAnsi="Times New Roman" w:cs="Times New Roman"/>
          <w:color w:val="000000"/>
          <w:spacing w:val="4"/>
          <w:sz w:val="24"/>
          <w:szCs w:val="24"/>
          <w:lang w:eastAsia="hr-HR"/>
        </w:rPr>
      </w:pPr>
      <w:r w:rsidRPr="009B2E82">
        <w:rPr>
          <w:rFonts w:ascii="Times New Roman" w:eastAsia="Times New Roman" w:hAnsi="Times New Roman" w:cs="Times New Roman"/>
          <w:color w:val="000000"/>
          <w:spacing w:val="4"/>
          <w:sz w:val="24"/>
          <w:szCs w:val="24"/>
          <w:lang w:eastAsia="hr-HR"/>
        </w:rPr>
        <w:t xml:space="preserve">Također, moguće je i uvođenje pojednostavljenih troškovnih mogućnosti kroz razvoj potrebne metodologije, što bi omogućilo dovršavanje procesa provjere i nadoknade sredstava u kraćem vremenskom okviru i s optimalnim korištenjem sredstava SUK-a i korisnika. </w:t>
      </w:r>
    </w:p>
    <w:p w:rsidR="009B2E82" w:rsidRPr="009B2E82" w:rsidRDefault="009B2E82" w:rsidP="009B2E82">
      <w:pPr>
        <w:widowControl w:val="0"/>
        <w:shd w:val="clear" w:color="auto" w:fill="FFFFFF"/>
        <w:autoSpaceDE w:val="0"/>
        <w:autoSpaceDN w:val="0"/>
        <w:adjustRightInd w:val="0"/>
        <w:spacing w:before="269" w:after="0" w:line="278" w:lineRule="exact"/>
        <w:ind w:left="821" w:right="1206"/>
        <w:jc w:val="both"/>
        <w:rPr>
          <w:rFonts w:ascii="Times New Roman" w:eastAsia="Times New Roman" w:hAnsi="Times New Roman" w:cs="Times New Roman"/>
          <w:color w:val="000000"/>
          <w:spacing w:val="3"/>
          <w:sz w:val="24"/>
          <w:szCs w:val="24"/>
          <w:lang w:eastAsia="hr-HR"/>
        </w:rPr>
      </w:pPr>
      <w:r w:rsidRPr="009B2E82">
        <w:rPr>
          <w:rFonts w:ascii="Times New Roman" w:eastAsia="Times New Roman" w:hAnsi="Times New Roman" w:cs="Times New Roman"/>
          <w:color w:val="000000"/>
          <w:spacing w:val="3"/>
          <w:sz w:val="24"/>
          <w:szCs w:val="24"/>
          <w:lang w:eastAsia="hr-HR"/>
        </w:rPr>
        <w:t xml:space="preserve">Postizanju ovog cilja pridonijet će i </w:t>
      </w:r>
      <w:r w:rsidRPr="009B2E82">
        <w:rPr>
          <w:rFonts w:ascii="Times New Roman" w:eastAsia="Times New Roman" w:hAnsi="Times New Roman" w:cs="Times New Roman"/>
          <w:b/>
          <w:color w:val="000000"/>
          <w:spacing w:val="3"/>
          <w:sz w:val="24"/>
          <w:szCs w:val="24"/>
          <w:lang w:eastAsia="hr-HR"/>
        </w:rPr>
        <w:t>daljnji razvoj i međupovezivanje računalnih sustava</w:t>
      </w:r>
      <w:r w:rsidRPr="009B2E82">
        <w:rPr>
          <w:rFonts w:ascii="Times New Roman" w:eastAsia="Times New Roman" w:hAnsi="Times New Roman" w:cs="Times New Roman"/>
          <w:color w:val="000000"/>
          <w:spacing w:val="3"/>
          <w:sz w:val="24"/>
          <w:szCs w:val="24"/>
          <w:lang w:eastAsia="hr-HR"/>
        </w:rPr>
        <w:t xml:space="preserve"> za upravljanje, praćenje, reviziju, kontrolu i evaluaciju, što rezultira jednostavnijim administrativnim postupcima (podržanima kroz intervencije TP-a).</w:t>
      </w:r>
    </w:p>
    <w:p w:rsidR="009B2E82" w:rsidRPr="009B2E82" w:rsidRDefault="009B2E82" w:rsidP="009B2E82">
      <w:pPr>
        <w:widowControl w:val="0"/>
        <w:shd w:val="clear" w:color="auto" w:fill="FFFFFF"/>
        <w:tabs>
          <w:tab w:val="left" w:pos="5174"/>
          <w:tab w:val="left" w:pos="10099"/>
        </w:tabs>
        <w:autoSpaceDE w:val="0"/>
        <w:autoSpaceDN w:val="0"/>
        <w:adjustRightInd w:val="0"/>
        <w:spacing w:before="538" w:after="0" w:line="240" w:lineRule="auto"/>
        <w:ind w:left="851" w:right="1206"/>
        <w:jc w:val="both"/>
        <w:rPr>
          <w:rFonts w:ascii="Times New Roman" w:eastAsia="Times New Roman" w:hAnsi="Times New Roman" w:cs="Times New Roman"/>
          <w:color w:val="000000"/>
          <w:spacing w:val="8"/>
          <w:sz w:val="24"/>
          <w:szCs w:val="24"/>
          <w:lang w:eastAsia="hr-HR"/>
        </w:rPr>
      </w:pPr>
      <w:r w:rsidRPr="009B2E82">
        <w:rPr>
          <w:rFonts w:ascii="Times New Roman" w:eastAsia="Times New Roman" w:hAnsi="Times New Roman" w:cs="Times New Roman"/>
          <w:color w:val="000000"/>
          <w:spacing w:val="8"/>
          <w:sz w:val="24"/>
          <w:szCs w:val="24"/>
          <w:lang w:eastAsia="hr-HR"/>
        </w:rPr>
        <w:t>Širenje opsega primjene elektroničkih sustava u kontekstu upravljanja OP-ovima, točnije kroz:</w:t>
      </w:r>
    </w:p>
    <w:p w:rsidR="009B2E82" w:rsidRPr="009B2E82" w:rsidRDefault="009B2E82" w:rsidP="009B2E82">
      <w:pPr>
        <w:widowControl w:val="0"/>
        <w:shd w:val="clear" w:color="auto" w:fill="FFFFFF"/>
        <w:tabs>
          <w:tab w:val="left" w:pos="5174"/>
          <w:tab w:val="left" w:pos="10099"/>
        </w:tabs>
        <w:autoSpaceDE w:val="0"/>
        <w:autoSpaceDN w:val="0"/>
        <w:adjustRightInd w:val="0"/>
        <w:spacing w:before="538" w:after="0" w:line="240" w:lineRule="auto"/>
        <w:rPr>
          <w:rFonts w:ascii="Times New Roman" w:eastAsia="Times New Roman" w:hAnsi="Times New Roman" w:cs="Times New Roman"/>
          <w:color w:val="000000"/>
          <w:spacing w:val="8"/>
          <w:sz w:val="24"/>
          <w:szCs w:val="24"/>
          <w:lang w:eastAsia="hr-HR"/>
        </w:rPr>
      </w:pPr>
    </w:p>
    <w:p w:rsidR="009B2E82" w:rsidRPr="009B2E82" w:rsidRDefault="009B2E82" w:rsidP="009B2E82">
      <w:pPr>
        <w:widowControl w:val="0"/>
        <w:shd w:val="clear" w:color="auto" w:fill="FFFFFF"/>
        <w:tabs>
          <w:tab w:val="left" w:pos="5174"/>
          <w:tab w:val="left" w:pos="10099"/>
        </w:tabs>
        <w:autoSpaceDE w:val="0"/>
        <w:autoSpaceDN w:val="0"/>
        <w:adjustRightInd w:val="0"/>
        <w:spacing w:before="538" w:after="0" w:line="240" w:lineRule="auto"/>
        <w:rPr>
          <w:rFonts w:ascii="Arial" w:eastAsia="Times New Roman" w:hAnsi="Arial" w:cs="Arial"/>
          <w:sz w:val="20"/>
          <w:szCs w:val="20"/>
          <w:lang w:eastAsia="hr-HR"/>
        </w:rPr>
        <w:sectPr w:rsidR="009B2E82" w:rsidRPr="009B2E82">
          <w:pgSz w:w="11909" w:h="16834"/>
          <w:pgMar w:top="1032" w:right="435" w:bottom="360" w:left="770" w:header="720" w:footer="720" w:gutter="0"/>
          <w:cols w:space="60"/>
          <w:noEndnote/>
        </w:sectPr>
      </w:pP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15" w:after="0" w:line="240" w:lineRule="auto"/>
        <w:ind w:left="1214" w:right="1206"/>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korisnički portal - interaktivnu platformu koja će biti uspostavljena do kraja 2015. nadogradnjom postojeće središnje internetske stranice, s ciljem daljnjeg poboljšanja elektroničke komunikacije između prijavitelja/korisnika i tijela SUK-a, u skladu sa zahtjevima e-kohezije, olakšavajući razmjenu informacija i smanjujući sredstva potrebna za tu svrhu. Korisnički portal trebao bi omogućiti potencijalnim prijaviteljima/korisnicima prikupljanje svih relevantnih podataka iz jednog izvora, posebno u smislu pomoći pri pripremi projekata, i to kroz korištenje centralno koordiniranih mehanizama pružanja informacija korisnicima. Planira se i nadogradnja središnje internetske stranice kojom upravlja KT na kojoj bi korisnici imali "sve na jednom mjestu" i mogli prikupiti: (a) informacije o mogućnostima financiranja, (b) informacije o primjenjivim pravilima i postupcima, (c) sadržaje za e-učenje dostupne putem Interneta kao i informacije o ostalim prilikama za učenje povezanim s upravljanjem projektima i (d) kontakte tijela nadležnih za daljnju korisničku podršku unutar određenog područja politike;</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15" w:after="0" w:line="240" w:lineRule="auto"/>
        <w:ind w:left="1214" w:right="1206"/>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nove karakteristike ISU-a, kao i</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15" w:after="0" w:line="240" w:lineRule="auto"/>
        <w:ind w:left="1214"/>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međupovezivanje s drugim elektroničkim sustavima</w:t>
      </w:r>
    </w:p>
    <w:p w:rsidR="009B2E82" w:rsidRPr="009B2E82" w:rsidRDefault="009B2E82" w:rsidP="009B2E82">
      <w:pPr>
        <w:widowControl w:val="0"/>
        <w:shd w:val="clear" w:color="auto" w:fill="FFFFFF"/>
        <w:autoSpaceDE w:val="0"/>
        <w:autoSpaceDN w:val="0"/>
        <w:adjustRightInd w:val="0"/>
        <w:spacing w:before="283" w:after="0" w:line="274" w:lineRule="exact"/>
        <w:ind w:left="816" w:right="1243"/>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trebalo bi: (a) omogućiti pružanje korisničkih podataka u elektroničkom obliku, i to samo jedanput (princip jednokratnog kodiranja), (b) smanjiti sveukupnu količinu informacija i prateće dokumentacije koja se zahtjeva od korisnika i koju SUK može samostalno pribaviti i potvrditi i (c) smanjiti napore korisnika pri ponovnoj predaji informacija i prateće dokumentacije (u slučaju da isti korisnik predaje više prijava za različite projekte (i unutar različitih programa). Ove aktivnosti obavljat će se neprekidno.</w:t>
      </w:r>
    </w:p>
    <w:p w:rsidR="009B2E82" w:rsidRPr="009B2E82" w:rsidRDefault="009B2E82" w:rsidP="009B2E82">
      <w:pPr>
        <w:widowControl w:val="0"/>
        <w:shd w:val="clear" w:color="auto" w:fill="FFFFFF"/>
        <w:autoSpaceDE w:val="0"/>
        <w:autoSpaceDN w:val="0"/>
        <w:adjustRightInd w:val="0"/>
        <w:spacing w:before="269" w:after="0" w:line="274" w:lineRule="exact"/>
        <w:ind w:left="816" w:right="1243"/>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4"/>
          <w:szCs w:val="24"/>
          <w:lang w:eastAsia="hr-HR"/>
        </w:rPr>
        <w:t xml:space="preserve">Također bi smanjenju administrativnog opterećenja korisnika pridonijelo i daljnje unaprjeđenje rada postojeće mreže službenika za odnose s javnošću (MSOJ), kako bi ona </w:t>
      </w:r>
      <w:r w:rsidRPr="009B2E82">
        <w:rPr>
          <w:rFonts w:ascii="Times New Roman" w:eastAsia="Times New Roman" w:hAnsi="Times New Roman" w:cs="Times New Roman"/>
          <w:b/>
          <w:color w:val="000000"/>
          <w:spacing w:val="2"/>
          <w:sz w:val="24"/>
          <w:szCs w:val="24"/>
          <w:lang w:eastAsia="hr-HR"/>
        </w:rPr>
        <w:t>ne samo osigurala usklađeno i istovremeno širenje informacija povezanih s upravljanjem OP-om već i pružala korisnicima osnovnu tehničku podršku na svim razinama</w:t>
      </w:r>
      <w:r w:rsidRPr="009B2E82">
        <w:rPr>
          <w:rFonts w:ascii="Times New Roman" w:eastAsia="Times New Roman" w:hAnsi="Times New Roman" w:cs="Times New Roman"/>
          <w:color w:val="000000"/>
          <w:spacing w:val="2"/>
          <w:sz w:val="24"/>
          <w:szCs w:val="24"/>
          <w:lang w:eastAsia="hr-HR"/>
        </w:rPr>
        <w:t>. KT će obučavati i licencirati članove MSOJ-a. Ova aktivnost provodit će se konstantno, a prvi ciklus licenciranja trebao bi biti završen do polovice 2015. godine.</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S obzirom na napore uložene u poboljšanje sposobnosti korisnika za pravilnu i uspješnu provedbu projekata, planira se uvesti i stalno dostupno i redovito </w:t>
      </w:r>
      <w:r w:rsidRPr="009B2E82">
        <w:rPr>
          <w:rFonts w:ascii="Times New Roman" w:eastAsia="Times New Roman" w:hAnsi="Times New Roman" w:cs="Times New Roman"/>
          <w:b/>
          <w:color w:val="000000"/>
          <w:spacing w:val="-1"/>
          <w:sz w:val="24"/>
          <w:szCs w:val="24"/>
          <w:lang w:eastAsia="hr-HR"/>
        </w:rPr>
        <w:t>osposobljavanje korisnika</w:t>
      </w:r>
      <w:r w:rsidRPr="009B2E82">
        <w:rPr>
          <w:rFonts w:ascii="Times New Roman" w:eastAsia="Times New Roman" w:hAnsi="Times New Roman" w:cs="Times New Roman"/>
          <w:color w:val="000000"/>
          <w:spacing w:val="-1"/>
          <w:sz w:val="24"/>
          <w:szCs w:val="24"/>
          <w:lang w:eastAsia="hr-HR"/>
        </w:rPr>
        <w:t xml:space="preserve"> (usredotočeno na određena pitanja, primarno na područja gdje je visok rizik nastajanja potencijalnih nepravilnosti, kao što je javna nabava i državna potpora, ili usredotočeno na pojedinačne pozive na dostavu prijedloga), kako bi se korisnicima pružilo dodatno i stručno znanje o pitanjima važnima za pripremu i provedbu projekata. </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pacing w:val="-1"/>
          <w:sz w:val="24"/>
          <w:szCs w:val="24"/>
          <w:lang w:eastAsia="hr-HR"/>
        </w:rPr>
        <w:sectPr w:rsidR="009B2E82" w:rsidRPr="009B2E82">
          <w:pgSz w:w="11909" w:h="16834"/>
          <w:pgMar w:top="912" w:right="435" w:bottom="360" w:left="770" w:header="720" w:footer="720" w:gutter="0"/>
          <w:cols w:space="60"/>
          <w:noEndnote/>
        </w:sectPr>
      </w:pPr>
      <w:r w:rsidRPr="009B2E82">
        <w:rPr>
          <w:rFonts w:ascii="Times New Roman" w:eastAsia="Times New Roman" w:hAnsi="Times New Roman" w:cs="Times New Roman"/>
          <w:color w:val="000000"/>
          <w:spacing w:val="-1"/>
          <w:sz w:val="24"/>
          <w:szCs w:val="24"/>
          <w:lang w:eastAsia="hr-HR"/>
        </w:rPr>
        <w:t xml:space="preserve">Osim gore navedenih mjera, posebna obilježja postupaka i zahtjeva konstantno će se poboljšavati, na temelju stalnog upravljanja rizicima u sustavu upravljanja i kontrole i na temelju s vremenom naučenih lekcija. </w:t>
      </w:r>
    </w:p>
    <w:p w:rsidR="009B2E82" w:rsidRPr="009B2E82" w:rsidRDefault="009B2E82" w:rsidP="009B2E82">
      <w:pPr>
        <w:widowControl w:val="0"/>
        <w:shd w:val="clear" w:color="auto" w:fill="FFFFFF"/>
        <w:autoSpaceDE w:val="0"/>
        <w:autoSpaceDN w:val="0"/>
        <w:adjustRightInd w:val="0"/>
        <w:spacing w:after="0" w:line="240" w:lineRule="auto"/>
        <w:ind w:left="835"/>
        <w:rPr>
          <w:rFonts w:ascii="Times New Roman" w:eastAsia="Times New Roman" w:hAnsi="Times New Roman" w:cs="Times New Roman"/>
          <w:b/>
          <w:bCs/>
          <w:color w:val="000000"/>
          <w:spacing w:val="-4"/>
          <w:sz w:val="24"/>
          <w:szCs w:val="24"/>
          <w:lang w:eastAsia="hr-HR"/>
        </w:rPr>
      </w:pPr>
      <w:r w:rsidRPr="009B2E82">
        <w:rPr>
          <w:rFonts w:ascii="Times New Roman" w:eastAsia="Times New Roman" w:hAnsi="Times New Roman" w:cs="Times New Roman"/>
          <w:b/>
          <w:bCs/>
          <w:color w:val="000000"/>
          <w:spacing w:val="-4"/>
          <w:sz w:val="24"/>
          <w:szCs w:val="24"/>
          <w:lang w:eastAsia="hr-HR"/>
        </w:rPr>
        <w:lastRenderedPageBreak/>
        <w:t>11. HORIZONTALNA NAČELA</w:t>
      </w:r>
    </w:p>
    <w:p w:rsidR="009B2E82" w:rsidRPr="009B2E82" w:rsidRDefault="009B2E82" w:rsidP="009B2E82">
      <w:pPr>
        <w:widowControl w:val="0"/>
        <w:shd w:val="clear" w:color="auto" w:fill="FFFFFF"/>
        <w:autoSpaceDE w:val="0"/>
        <w:autoSpaceDN w:val="0"/>
        <w:adjustRightInd w:val="0"/>
        <w:spacing w:after="0" w:line="240" w:lineRule="auto"/>
        <w:ind w:left="835"/>
        <w:rPr>
          <w:rFonts w:ascii="Times New Roman" w:eastAsia="Times New Roman" w:hAnsi="Times New Roman" w:cs="Times New Roman"/>
          <w:b/>
          <w:bCs/>
          <w:color w:val="000000"/>
          <w:spacing w:val="-4"/>
          <w:sz w:val="24"/>
          <w:szCs w:val="24"/>
          <w:lang w:eastAsia="hr-HR"/>
        </w:rPr>
      </w:pPr>
    </w:p>
    <w:p w:rsidR="009B2E82" w:rsidRPr="009B2E82" w:rsidRDefault="009B2E82" w:rsidP="009B2E82">
      <w:pPr>
        <w:widowControl w:val="0"/>
        <w:shd w:val="clear" w:color="auto" w:fill="FFFFFF"/>
        <w:autoSpaceDE w:val="0"/>
        <w:autoSpaceDN w:val="0"/>
        <w:adjustRightInd w:val="0"/>
        <w:spacing w:after="0" w:line="240" w:lineRule="auto"/>
        <w:ind w:left="835"/>
        <w:rPr>
          <w:rFonts w:ascii="Times New Roman" w:eastAsia="Times New Roman" w:hAnsi="Times New Roman" w:cs="Times New Roman"/>
          <w:b/>
          <w:bCs/>
          <w:color w:val="000000"/>
          <w:spacing w:val="-1"/>
          <w:sz w:val="24"/>
          <w:szCs w:val="24"/>
          <w:lang w:eastAsia="hr-HR"/>
        </w:rPr>
      </w:pPr>
      <w:r w:rsidRPr="009B2E82">
        <w:rPr>
          <w:rFonts w:ascii="Times New Roman" w:eastAsia="Times New Roman" w:hAnsi="Times New Roman" w:cs="Times New Roman"/>
          <w:b/>
          <w:bCs/>
          <w:color w:val="000000"/>
          <w:spacing w:val="-1"/>
          <w:sz w:val="24"/>
          <w:szCs w:val="24"/>
          <w:lang w:eastAsia="hr-HR"/>
        </w:rPr>
        <w:t>11.1 Održivi razvoj</w:t>
      </w:r>
    </w:p>
    <w:p w:rsidR="009B2E82" w:rsidRPr="009B2E82" w:rsidRDefault="009B2E82" w:rsidP="009B2E82">
      <w:pPr>
        <w:widowControl w:val="0"/>
        <w:shd w:val="clear" w:color="auto" w:fill="FFFFFF"/>
        <w:autoSpaceDE w:val="0"/>
        <w:autoSpaceDN w:val="0"/>
        <w:adjustRightInd w:val="0"/>
        <w:spacing w:after="0" w:line="240" w:lineRule="auto"/>
        <w:ind w:left="835"/>
        <w:rPr>
          <w:rFonts w:ascii="Times New Roman" w:eastAsia="Times New Roman" w:hAnsi="Times New Roman" w:cs="Times New Roman"/>
          <w:b/>
          <w:bCs/>
          <w:color w:val="000000"/>
          <w:spacing w:val="-1"/>
          <w:sz w:val="24"/>
          <w:szCs w:val="24"/>
          <w:lang w:eastAsia="hr-HR"/>
        </w:rPr>
      </w:pPr>
    </w:p>
    <w:p w:rsidR="009B2E82" w:rsidRPr="009B2E82" w:rsidRDefault="009B2E82" w:rsidP="009B2E82">
      <w:pPr>
        <w:widowControl w:val="0"/>
        <w:shd w:val="clear" w:color="auto" w:fill="FFFFFF"/>
        <w:autoSpaceDE w:val="0"/>
        <w:autoSpaceDN w:val="0"/>
        <w:adjustRightInd w:val="0"/>
        <w:spacing w:after="0" w:line="240" w:lineRule="auto"/>
        <w:ind w:left="835" w:right="1206"/>
        <w:jc w:val="both"/>
        <w:rPr>
          <w:rFonts w:ascii="Times New Roman" w:eastAsia="Times New Roman" w:hAnsi="Times New Roman" w:cs="Times New Roman"/>
          <w:color w:val="000000"/>
          <w:spacing w:val="8"/>
          <w:sz w:val="24"/>
          <w:szCs w:val="24"/>
          <w:lang w:eastAsia="hr-HR"/>
        </w:rPr>
      </w:pPr>
      <w:r w:rsidRPr="009B2E82">
        <w:rPr>
          <w:rFonts w:ascii="Times New Roman" w:eastAsia="Times New Roman" w:hAnsi="Times New Roman" w:cs="Times New Roman"/>
          <w:color w:val="000000"/>
          <w:spacing w:val="8"/>
          <w:sz w:val="24"/>
          <w:szCs w:val="24"/>
          <w:lang w:eastAsia="hr-HR"/>
        </w:rPr>
        <w:t>Opis pojedinih aktivnosti koje valja uzeti u obzir prilikom odabira operacija: zahtjevi zaštite okoliša, resursna učinkovitost, ublažavanje klimatskih promjena i prilagodba, otpornost na katastrofe i sprječavanje i upravljanje rizicima.</w:t>
      </w:r>
    </w:p>
    <w:p w:rsidR="009B2E82" w:rsidRPr="009B2E82" w:rsidRDefault="009B2E82" w:rsidP="009B2E82">
      <w:pPr>
        <w:widowControl w:val="0"/>
        <w:shd w:val="clear" w:color="auto" w:fill="FFFFFF"/>
        <w:autoSpaceDE w:val="0"/>
        <w:autoSpaceDN w:val="0"/>
        <w:adjustRightInd w:val="0"/>
        <w:spacing w:after="0" w:line="240" w:lineRule="auto"/>
        <w:ind w:left="835" w:right="1206"/>
        <w:jc w:val="both"/>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74" w:lineRule="exact"/>
        <w:ind w:left="816" w:right="1243"/>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 xml:space="preserve">Kao što je opisano u Sporazumu o partnerstvu, tri glavna nacionalna razvojna cilja su </w:t>
      </w:r>
      <w:r w:rsidRPr="009B2E82">
        <w:rPr>
          <w:rFonts w:ascii="Times New Roman" w:eastAsia="Times New Roman" w:hAnsi="Times New Roman" w:cs="Times New Roman"/>
          <w:b/>
          <w:color w:val="000000"/>
          <w:spacing w:val="-1"/>
          <w:sz w:val="24"/>
          <w:szCs w:val="24"/>
          <w:lang w:eastAsia="hr-HR"/>
        </w:rPr>
        <w:t>gospodarski rast, rast zaposlenosti i očuvanje nacionalnih resursa</w:t>
      </w:r>
      <w:r w:rsidRPr="009B2E82">
        <w:rPr>
          <w:rFonts w:ascii="Times New Roman" w:eastAsia="Times New Roman" w:hAnsi="Times New Roman" w:cs="Times New Roman"/>
          <w:color w:val="000000"/>
          <w:spacing w:val="-1"/>
          <w:sz w:val="24"/>
          <w:szCs w:val="24"/>
          <w:lang w:eastAsia="hr-HR"/>
        </w:rPr>
        <w:t xml:space="preserve">. Budući da bi načela održivog rasta trebala biti prisutna u svim sektorima gospodarstva i razvoja, posebna pozornost prilikom odabira operacija pridaje se zaštiti okoliša, resursnoj učinkovitosti, ublažavanju klimatskih promjena i sprječavanju i upravljanju rizicima. Na brojnim područjima planirane aktivnosti dosežu daleko izvan granica izravne ekološke i klimatske koristi, pružajući veći potencijal za zapošljavanje stvaranjem takozvanih zelenih radnih mjesta i razvojem poslovanja, ali također i omogućujući socijalnu integraciju i dobro stanje kroz povećanje kvalitete življenja. </w:t>
      </w:r>
    </w:p>
    <w:p w:rsidR="009B2E82" w:rsidRPr="009B2E82" w:rsidRDefault="009B2E82" w:rsidP="009B2E82">
      <w:pPr>
        <w:widowControl w:val="0"/>
        <w:shd w:val="clear" w:color="auto" w:fill="FFFFFF"/>
        <w:autoSpaceDE w:val="0"/>
        <w:autoSpaceDN w:val="0"/>
        <w:adjustRightInd w:val="0"/>
        <w:spacing w:before="283" w:after="0" w:line="274" w:lineRule="exact"/>
        <w:ind w:left="816" w:right="126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 xml:space="preserve">OPKK trenutno provodi sveobuhvatnu </w:t>
      </w:r>
      <w:r w:rsidRPr="009B2E82">
        <w:rPr>
          <w:rFonts w:ascii="Times New Roman" w:eastAsia="Times New Roman" w:hAnsi="Times New Roman" w:cs="Times New Roman"/>
          <w:b/>
          <w:color w:val="000000"/>
          <w:spacing w:val="-1"/>
          <w:sz w:val="24"/>
          <w:szCs w:val="24"/>
          <w:lang w:eastAsia="hr-HR"/>
        </w:rPr>
        <w:t>stratešku procjenu utjecaja na okoliš</w:t>
      </w:r>
      <w:r w:rsidRPr="009B2E82">
        <w:rPr>
          <w:rFonts w:ascii="Times New Roman" w:eastAsia="Times New Roman" w:hAnsi="Times New Roman" w:cs="Times New Roman"/>
          <w:color w:val="000000"/>
          <w:spacing w:val="-1"/>
          <w:sz w:val="24"/>
          <w:szCs w:val="24"/>
          <w:lang w:eastAsia="hr-HR"/>
        </w:rPr>
        <w:t xml:space="preserve">, koja će opisati mjere za ublažavanje nepovoljnih utjecaja na okoliš u provedbi planiranih intervencija. Bit će potrebna i detaljna analiza u obliku procjene utjecaja na okoliš na razini projekta kako bi se odredile sve vrste mogućih utjecaja i popisale mjere za njihovo izbjegavanje. Za sve projekte, podnositelji zahtjeva će morati moći dokazati da njihov projekt nema štetan utjecaj na okoliš, i/ili predočiti na koji će način njihov projekt pozitivno pridonijeti održivom razvoju. </w:t>
      </w:r>
    </w:p>
    <w:p w:rsidR="009B2E82" w:rsidRPr="009B2E82" w:rsidRDefault="009B2E82" w:rsidP="009B2E82">
      <w:pPr>
        <w:widowControl w:val="0"/>
        <w:shd w:val="clear" w:color="auto" w:fill="FFFFFF"/>
        <w:autoSpaceDE w:val="0"/>
        <w:autoSpaceDN w:val="0"/>
        <w:adjustRightInd w:val="0"/>
        <w:spacing w:before="278" w:after="0" w:line="274" w:lineRule="exact"/>
        <w:ind w:left="821" w:right="1267"/>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Pri provedbi na razini projekta vrijedit će </w:t>
      </w:r>
      <w:r w:rsidRPr="009B2E82">
        <w:rPr>
          <w:rFonts w:ascii="Times New Roman" w:eastAsia="Times New Roman" w:hAnsi="Times New Roman" w:cs="Times New Roman"/>
          <w:b/>
          <w:color w:val="000000"/>
          <w:sz w:val="24"/>
          <w:szCs w:val="24"/>
          <w:lang w:eastAsia="hr-HR"/>
        </w:rPr>
        <w:t>načelo „onečišćivač plaća“</w:t>
      </w:r>
      <w:r w:rsidRPr="009B2E82">
        <w:rPr>
          <w:rFonts w:ascii="Times New Roman" w:eastAsia="Times New Roman" w:hAnsi="Times New Roman" w:cs="Times New Roman"/>
          <w:color w:val="000000"/>
          <w:sz w:val="24"/>
          <w:szCs w:val="24"/>
          <w:lang w:eastAsia="hr-HR"/>
        </w:rPr>
        <w:t>, koje je već uključeno u Zakon o zaštiti okoliša (NN 80/13), u skladu s kojim je onečišćivač dužan pokriti troškove proizašle iz onečišćivanja okoliša i uklanjanja štete iz okoliša, kao i troškove mjera za sprječavanje onečišćenja okoliša. Dodatni regulatorni mehanizmi uvodit će se po potrebi kako bi pridonijeli poštivanju načela „onečišćivač plaća“. Što se tiče sektora za zbrinjavanje otpada, sve potrebne mjere obuhvaćene su Zakonom o održivom gospodarenju otpadom: porez na odlaganje otpada, sustav odlaganja, iznos komunalne pristojbe proporcionalan iznosu proizvedenog otpada, a u izradi je i dodatni set pravila koji će pridonijeti provedbi zakona. Zakonodavni okvir za gospodarenje vodama uključuje načela nadoknade troškova za usluge distribucije vode i načela „onečišćivač plaća“/„korisnik plaća“.</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Times New Roman" w:eastAsia="Times New Roman" w:hAnsi="Times New Roman" w:cs="Times New Roman"/>
          <w:color w:val="000000"/>
          <w:spacing w:val="3"/>
          <w:sz w:val="24"/>
          <w:szCs w:val="24"/>
          <w:lang w:eastAsia="hr-HR"/>
        </w:rPr>
      </w:pPr>
      <w:r w:rsidRPr="009B2E82">
        <w:rPr>
          <w:rFonts w:ascii="Times New Roman" w:eastAsia="Times New Roman" w:hAnsi="Times New Roman" w:cs="Times New Roman"/>
          <w:color w:val="000000"/>
          <w:spacing w:val="3"/>
          <w:sz w:val="24"/>
          <w:szCs w:val="24"/>
          <w:lang w:eastAsia="hr-HR"/>
        </w:rPr>
        <w:t xml:space="preserve">Unutar </w:t>
      </w:r>
      <w:r w:rsidRPr="009B2E82">
        <w:rPr>
          <w:rFonts w:ascii="Times New Roman" w:eastAsia="Times New Roman" w:hAnsi="Times New Roman" w:cs="Times New Roman"/>
          <w:b/>
          <w:color w:val="000000"/>
          <w:spacing w:val="3"/>
          <w:sz w:val="24"/>
          <w:szCs w:val="24"/>
          <w:lang w:eastAsia="hr-HR"/>
        </w:rPr>
        <w:t>Prioritetne osi 6</w:t>
      </w:r>
      <w:r w:rsidRPr="009B2E82">
        <w:rPr>
          <w:rFonts w:ascii="Times New Roman" w:eastAsia="Times New Roman" w:hAnsi="Times New Roman" w:cs="Times New Roman"/>
          <w:color w:val="000000"/>
          <w:spacing w:val="3"/>
          <w:sz w:val="24"/>
          <w:szCs w:val="24"/>
          <w:lang w:eastAsia="hr-HR"/>
        </w:rPr>
        <w:t xml:space="preserve"> treba obratiti pozornost na upravljanje Natura 2000 područjima. Budući da </w:t>
      </w:r>
      <w:r w:rsidRPr="009B2E82">
        <w:rPr>
          <w:rFonts w:ascii="Times New Roman" w:eastAsia="Times New Roman" w:hAnsi="Times New Roman" w:cs="Times New Roman"/>
          <w:b/>
          <w:color w:val="000000"/>
          <w:spacing w:val="3"/>
          <w:sz w:val="24"/>
          <w:szCs w:val="24"/>
          <w:lang w:eastAsia="hr-HR"/>
        </w:rPr>
        <w:t>Natura 2000</w:t>
      </w:r>
      <w:r w:rsidRPr="009B2E82">
        <w:rPr>
          <w:rFonts w:ascii="Times New Roman" w:eastAsia="Times New Roman" w:hAnsi="Times New Roman" w:cs="Times New Roman"/>
          <w:color w:val="000000"/>
          <w:spacing w:val="3"/>
          <w:sz w:val="24"/>
          <w:szCs w:val="24"/>
          <w:lang w:eastAsia="hr-HR"/>
        </w:rPr>
        <w:t xml:space="preserve"> područja pružaju osnovni potencijal za regionalni razvoj, planirana ulaganja pridonijet će postizanju ciljeva održivog upravljanja i pozitivno utjecati na lokalno i regionalno gospodarstvo.</w:t>
      </w:r>
    </w:p>
    <w:p w:rsidR="009B2E82" w:rsidRPr="009B2E82" w:rsidRDefault="009B2E82" w:rsidP="009B2E82">
      <w:pPr>
        <w:widowControl w:val="0"/>
        <w:shd w:val="clear" w:color="auto" w:fill="FFFFFF"/>
        <w:autoSpaceDE w:val="0"/>
        <w:autoSpaceDN w:val="0"/>
        <w:adjustRightInd w:val="0"/>
        <w:spacing w:before="278" w:after="0" w:line="274" w:lineRule="exact"/>
        <w:ind w:left="816"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 xml:space="preserve">Unutar </w:t>
      </w:r>
      <w:r w:rsidRPr="009B2E82">
        <w:rPr>
          <w:rFonts w:ascii="Times New Roman" w:eastAsia="Times New Roman" w:hAnsi="Times New Roman" w:cs="Times New Roman"/>
          <w:b/>
          <w:color w:val="000000"/>
          <w:spacing w:val="3"/>
          <w:sz w:val="24"/>
          <w:szCs w:val="24"/>
          <w:lang w:eastAsia="hr-HR"/>
        </w:rPr>
        <w:t xml:space="preserve">Prioritetne osi </w:t>
      </w:r>
      <w:r w:rsidRPr="009B2E82">
        <w:rPr>
          <w:rFonts w:ascii="Times New Roman" w:eastAsia="Times New Roman" w:hAnsi="Times New Roman" w:cs="Times New Roman"/>
          <w:b/>
          <w:color w:val="000000"/>
          <w:sz w:val="24"/>
          <w:szCs w:val="24"/>
          <w:lang w:eastAsia="hr-HR"/>
        </w:rPr>
        <w:t>2</w:t>
      </w:r>
      <w:r w:rsidRPr="009B2E82">
        <w:rPr>
          <w:rFonts w:ascii="Times New Roman" w:eastAsia="Times New Roman" w:hAnsi="Times New Roman" w:cs="Times New Roman"/>
          <w:color w:val="000000"/>
          <w:sz w:val="24"/>
          <w:szCs w:val="24"/>
          <w:lang w:eastAsia="hr-HR"/>
        </w:rPr>
        <w:t>, ulaganja u širokopojasnu infrastrukturu bit će izvedena na način koji je najmanje štetan za okoliš i prirodu. Točnije, postojeći infrastrukturni koridori koristit će se za novu širokopojasnu infrastrukturu, osiguravajući usklađivanje i grupiranje građevinskih radova za različite tipove ulaganja i infrastrukture.</w:t>
      </w:r>
    </w:p>
    <w:p w:rsidR="009B2E82" w:rsidRPr="009B2E82" w:rsidRDefault="009B2E82" w:rsidP="009B2E82">
      <w:pPr>
        <w:widowControl w:val="0"/>
        <w:shd w:val="clear" w:color="auto" w:fill="FFFFFF"/>
        <w:tabs>
          <w:tab w:val="left" w:pos="5174"/>
          <w:tab w:val="left" w:pos="10099"/>
        </w:tabs>
        <w:autoSpaceDE w:val="0"/>
        <w:autoSpaceDN w:val="0"/>
        <w:adjustRightInd w:val="0"/>
        <w:spacing w:before="576"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tabs>
          <w:tab w:val="left" w:pos="5174"/>
          <w:tab w:val="left" w:pos="10099"/>
        </w:tabs>
        <w:autoSpaceDE w:val="0"/>
        <w:autoSpaceDN w:val="0"/>
        <w:adjustRightInd w:val="0"/>
        <w:spacing w:before="576" w:after="0" w:line="240" w:lineRule="auto"/>
        <w:rPr>
          <w:rFonts w:ascii="Arial" w:eastAsia="Times New Roman" w:hAnsi="Arial" w:cs="Arial"/>
          <w:sz w:val="20"/>
          <w:szCs w:val="20"/>
          <w:lang w:eastAsia="hr-HR"/>
        </w:rPr>
        <w:sectPr w:rsidR="009B2E82" w:rsidRPr="009B2E82">
          <w:pgSz w:w="11909" w:h="16834"/>
          <w:pgMar w:top="1032"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40" w:lineRule="auto"/>
        <w:ind w:left="83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lastRenderedPageBreak/>
        <w:t>Posebni kriteriji pri odabiru postupaka su sljedeći:</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278" w:after="0" w:line="274" w:lineRule="exact"/>
        <w:ind w:left="1536" w:right="883" w:hanging="322"/>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3"/>
          <w:sz w:val="24"/>
          <w:szCs w:val="24"/>
          <w:lang w:eastAsia="hr-HR"/>
        </w:rPr>
        <w:t>Promicanje ulaganja u manje projekte povezane s obnovljivim izvorima energije koji će proizvoditi energiju koja će se koristiti na području na kojem je proizvedena, s obzirom na „prilagodbu temeljenu na ekosustavu“.</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20" w:after="0" w:line="240" w:lineRule="auto"/>
        <w:ind w:left="1214"/>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Korištenje održivo proizvedene biomase.</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883" w:hanging="322"/>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Prioritet će biti operacije koje se provode unutar postojećih građevinskih zona ili koridora.</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10" w:after="0" w:line="278" w:lineRule="exact"/>
        <w:ind w:left="1536" w:right="883" w:hanging="322"/>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Unutar Prioritetne osi 7, odabir će se provoditi s naglaskom na smanjenju potrošnje primarnih izvora energije i doprinosu ublažavanju klimatskih promjena i atmosferskog onečišćenja.</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15" w:after="0" w:line="274" w:lineRule="exact"/>
        <w:ind w:left="1536" w:right="883" w:hanging="322"/>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Projekti povezani s unutarnjim plovnim putovima koji stvaraju ekološke prednosti u prometu tereta, ali koji se nalaze u osjetljivim ekosustavima, morat će osigurati obuhvaćanje svih potrebnih ekoloških aspekata.</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883" w:hanging="322"/>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 xml:space="preserve">Zeleni rast će po potrebi predstavljati dodatne kriterije odabira, primjerice kod ulaganja u infrastrukturu za istraživanje, razvoj i inovacije. </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15" w:after="0" w:line="274" w:lineRule="exact"/>
        <w:ind w:left="1536" w:right="883" w:hanging="322"/>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3"/>
          <w:sz w:val="24"/>
          <w:szCs w:val="24"/>
          <w:lang w:eastAsia="hr-HR"/>
        </w:rPr>
        <w:t>Kreativne i kulturne industrije, kao i turizam koji uključuje kreativne i kulturne aspekte lokalnog razvoja, procjenjivat će se uzimajući u obzir kriterije održivog razvoja.</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883" w:hanging="322"/>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7"/>
          <w:sz w:val="24"/>
          <w:szCs w:val="24"/>
          <w:lang w:eastAsia="hr-HR"/>
        </w:rPr>
        <w:t>Projektima društvenih inovacija dodijelit će se dodatni kvalitativni bodovi u slučaju da oni pridonose lokalnoj zajednici i odgovaraju na više od jednog društvenog izazova.</w:t>
      </w:r>
    </w:p>
    <w:p w:rsidR="009B2E82" w:rsidRPr="009B2E82" w:rsidRDefault="009B2E82" w:rsidP="009B2E82">
      <w:pPr>
        <w:widowControl w:val="0"/>
        <w:numPr>
          <w:ilvl w:val="0"/>
          <w:numId w:val="2"/>
        </w:numPr>
        <w:shd w:val="clear" w:color="auto" w:fill="FFFFFF"/>
        <w:tabs>
          <w:tab w:val="left" w:pos="1536"/>
        </w:tabs>
        <w:autoSpaceDE w:val="0"/>
        <w:autoSpaceDN w:val="0"/>
        <w:adjustRightInd w:val="0"/>
        <w:spacing w:before="120" w:after="0" w:line="274" w:lineRule="exact"/>
        <w:ind w:left="1536" w:right="883" w:hanging="322"/>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Načelo održivog razvoja uzimat će se u obzir kod operacija povezanih sa samo-zapošljavanjem i promicanjem poduzetništva, društvenim poduzetništvom, obrazovanjem i cjeloživotnim učenjem, i to tamo gdje je promicanje sektora istraživanja i razvoja izravno povezano s održivim razvojem.</w:t>
      </w:r>
    </w:p>
    <w:p w:rsidR="009B2E82" w:rsidRPr="009B2E82" w:rsidRDefault="009B2E82" w:rsidP="009B2E82">
      <w:pPr>
        <w:widowControl w:val="0"/>
        <w:shd w:val="clear" w:color="auto" w:fill="FFFFFF"/>
        <w:autoSpaceDE w:val="0"/>
        <w:autoSpaceDN w:val="0"/>
        <w:adjustRightInd w:val="0"/>
        <w:spacing w:before="278" w:after="0" w:line="274" w:lineRule="exact"/>
        <w:ind w:left="816" w:right="1267"/>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 xml:space="preserve">Pridržavanje načela održivog razvoja pratit će se na razini projekata kroz izvješća o praćenju, kao i kroz kontrolu provedbe projekta na licu mjesta te kasnije kroz procjenu doprinosa ciljevima horizontalnih načela. </w:t>
      </w:r>
    </w:p>
    <w:p w:rsidR="009B2E82" w:rsidRPr="009B2E82" w:rsidRDefault="009B2E82" w:rsidP="009B2E82">
      <w:pPr>
        <w:widowControl w:val="0"/>
        <w:shd w:val="clear" w:color="auto" w:fill="FFFFFF"/>
        <w:autoSpaceDE w:val="0"/>
        <w:autoSpaceDN w:val="0"/>
        <w:adjustRightInd w:val="0"/>
        <w:spacing w:before="274" w:after="0" w:line="274" w:lineRule="exact"/>
        <w:ind w:left="816" w:right="1243"/>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24"/>
          <w:szCs w:val="24"/>
          <w:lang w:eastAsia="hr-HR"/>
        </w:rPr>
        <w:t>Posebni problem hrvatskog područja je prisutnost mina, što je naslijeđe rata vođenog od 1991. do 1996. Prisutnost mina predstavlja problem za stabilnost i socijalno uključivanje, kao i za gospodarski razvoj. Ukupno minsko područje (podaci od 1. svibnja 2014.) u Republici Hrvatskoj iznosi 610 km</w:t>
      </w:r>
      <w:r w:rsidRPr="009B2E82">
        <w:rPr>
          <w:rFonts w:ascii="Times New Roman" w:eastAsia="Times New Roman" w:hAnsi="Times New Roman" w:cs="Times New Roman"/>
          <w:color w:val="000000"/>
          <w:spacing w:val="2"/>
          <w:sz w:val="24"/>
          <w:szCs w:val="24"/>
          <w:vertAlign w:val="superscript"/>
          <w:lang w:eastAsia="hr-HR"/>
        </w:rPr>
        <w:t>2</w:t>
      </w:r>
      <w:r w:rsidRPr="009B2E82">
        <w:rPr>
          <w:rFonts w:ascii="Times New Roman" w:eastAsia="Times New Roman" w:hAnsi="Times New Roman" w:cs="Times New Roman"/>
          <w:color w:val="000000"/>
          <w:spacing w:val="2"/>
          <w:sz w:val="24"/>
          <w:szCs w:val="24"/>
          <w:lang w:eastAsia="hr-HR"/>
        </w:rPr>
        <w:t>. Više od polovice područja za koja se sumnja da su kontaminirana minama pripada područjima</w:t>
      </w:r>
      <w:r w:rsidR="00324C8B">
        <w:rPr>
          <w:rFonts w:ascii="Times New Roman" w:eastAsia="Times New Roman" w:hAnsi="Times New Roman" w:cs="Times New Roman"/>
          <w:color w:val="000000"/>
          <w:spacing w:val="2"/>
          <w:sz w:val="24"/>
          <w:szCs w:val="24"/>
          <w:lang w:eastAsia="hr-HR"/>
        </w:rPr>
        <w:t xml:space="preserve"> </w:t>
      </w:r>
      <w:r w:rsidRPr="009B2E82">
        <w:rPr>
          <w:rFonts w:ascii="Times New Roman" w:eastAsia="Times New Roman" w:hAnsi="Times New Roman" w:cs="Times New Roman"/>
          <w:color w:val="000000"/>
          <w:spacing w:val="2"/>
          <w:sz w:val="24"/>
          <w:szCs w:val="24"/>
          <w:lang w:eastAsia="hr-HR"/>
        </w:rPr>
        <w:t>obuhvaćenim mrežom Natura 2000 i zaštićenim područjima prirode, što predstavlja prepreku za učinkovito upravljanje spomenutim područjima. Zbog toga je razminiranje i provjeravanje minskih područja prihvatljiva početna aktivnost i dobar prvi korak za pripremu terena za projekte.</w:t>
      </w:r>
    </w:p>
    <w:p w:rsidR="009B2E82" w:rsidRPr="009B2E82" w:rsidRDefault="009B2E82" w:rsidP="009B2E82">
      <w:pPr>
        <w:widowControl w:val="0"/>
        <w:shd w:val="clear" w:color="auto" w:fill="FFFFFF"/>
        <w:tabs>
          <w:tab w:val="left" w:pos="5174"/>
          <w:tab w:val="left" w:pos="10099"/>
        </w:tabs>
        <w:autoSpaceDE w:val="0"/>
        <w:autoSpaceDN w:val="0"/>
        <w:adjustRightInd w:val="0"/>
        <w:spacing w:before="2549"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tabs>
          <w:tab w:val="left" w:pos="5174"/>
          <w:tab w:val="left" w:pos="10099"/>
        </w:tabs>
        <w:autoSpaceDE w:val="0"/>
        <w:autoSpaceDN w:val="0"/>
        <w:adjustRightInd w:val="0"/>
        <w:spacing w:before="2549" w:after="0" w:line="240" w:lineRule="auto"/>
        <w:rPr>
          <w:rFonts w:ascii="Arial" w:eastAsia="Times New Roman" w:hAnsi="Arial" w:cs="Arial"/>
          <w:sz w:val="20"/>
          <w:szCs w:val="20"/>
          <w:lang w:eastAsia="hr-HR"/>
        </w:rPr>
        <w:sectPr w:rsidR="009B2E82" w:rsidRPr="009B2E82">
          <w:pgSz w:w="11909" w:h="16834"/>
          <w:pgMar w:top="912"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40" w:lineRule="auto"/>
        <w:ind w:left="835"/>
        <w:rPr>
          <w:rFonts w:ascii="Times New Roman" w:eastAsia="Times New Roman" w:hAnsi="Times New Roman" w:cs="Times New Roman"/>
          <w:b/>
          <w:bCs/>
          <w:color w:val="000000"/>
          <w:spacing w:val="-1"/>
          <w:sz w:val="24"/>
          <w:szCs w:val="24"/>
          <w:lang w:eastAsia="hr-HR"/>
        </w:rPr>
      </w:pPr>
      <w:r w:rsidRPr="009B2E82">
        <w:rPr>
          <w:rFonts w:ascii="Times New Roman" w:eastAsia="Times New Roman" w:hAnsi="Times New Roman" w:cs="Times New Roman"/>
          <w:b/>
          <w:bCs/>
          <w:color w:val="000000"/>
          <w:spacing w:val="-1"/>
          <w:sz w:val="24"/>
          <w:szCs w:val="24"/>
          <w:lang w:eastAsia="hr-HR"/>
        </w:rPr>
        <w:lastRenderedPageBreak/>
        <w:t>11.2 Jednake mogućnosti i nediskriminacija</w:t>
      </w:r>
    </w:p>
    <w:p w:rsidR="009B2E82" w:rsidRPr="009B2E82" w:rsidRDefault="009B2E82" w:rsidP="009B2E82">
      <w:pPr>
        <w:widowControl w:val="0"/>
        <w:shd w:val="clear" w:color="auto" w:fill="FFFFFF"/>
        <w:autoSpaceDE w:val="0"/>
        <w:autoSpaceDN w:val="0"/>
        <w:adjustRightInd w:val="0"/>
        <w:spacing w:after="0" w:line="240" w:lineRule="auto"/>
        <w:ind w:left="835"/>
        <w:rPr>
          <w:rFonts w:ascii="Times New Roman" w:eastAsia="Times New Roman" w:hAnsi="Times New Roman" w:cs="Times New Roman"/>
          <w:b/>
          <w:bCs/>
          <w:color w:val="000000"/>
          <w:spacing w:val="-1"/>
          <w:sz w:val="24"/>
          <w:szCs w:val="24"/>
          <w:lang w:eastAsia="hr-HR"/>
        </w:rPr>
      </w:pPr>
    </w:p>
    <w:p w:rsidR="009B2E82" w:rsidRPr="009B2E82" w:rsidRDefault="009B2E82" w:rsidP="009B2E82">
      <w:pPr>
        <w:widowControl w:val="0"/>
        <w:shd w:val="clear" w:color="auto" w:fill="FFFFFF"/>
        <w:autoSpaceDE w:val="0"/>
        <w:autoSpaceDN w:val="0"/>
        <w:adjustRightInd w:val="0"/>
        <w:spacing w:before="115" w:after="0" w:line="274" w:lineRule="exact"/>
        <w:ind w:left="816" w:right="127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t>Opis posebnih aktivnosti za promicanje jednakih mogućnosti i sprječavanje diskriminacije na temelju spolne, rasne ili etičke pripadnosti, religije ili vjerovanja, invaliditeta, dobi ili spolne orijentacije tijekom pripreme, izrade i provedbe operativnog programa, posebice kod pristupa sredstvima, uzimajući u obzir potrebe raznih ciljnih skupina s visokim rizikom od takve diskriminacije, a posebice zahtjeve za osiguravanje dostupnosti osobama s invaliditetom.</w:t>
      </w:r>
    </w:p>
    <w:p w:rsidR="009B2E82" w:rsidRPr="009B2E82" w:rsidRDefault="009B2E82" w:rsidP="009B2E82">
      <w:pPr>
        <w:widowControl w:val="0"/>
        <w:shd w:val="clear" w:color="auto" w:fill="FFFFFF"/>
        <w:autoSpaceDE w:val="0"/>
        <w:autoSpaceDN w:val="0"/>
        <w:adjustRightInd w:val="0"/>
        <w:spacing w:before="283" w:after="0" w:line="274" w:lineRule="exact"/>
        <w:ind w:left="816" w:right="1272"/>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z w:val="24"/>
          <w:szCs w:val="24"/>
          <w:lang w:eastAsia="hr-HR"/>
        </w:rPr>
        <w:t xml:space="preserve">Opće informacije o </w:t>
      </w:r>
      <w:r w:rsidRPr="009B2E82">
        <w:rPr>
          <w:rFonts w:ascii="Times New Roman" w:eastAsia="Times New Roman" w:hAnsi="Times New Roman" w:cs="Times New Roman"/>
          <w:b/>
          <w:color w:val="000000"/>
          <w:sz w:val="24"/>
          <w:szCs w:val="24"/>
          <w:lang w:eastAsia="hr-HR"/>
        </w:rPr>
        <w:t>ravnopravnosti između žena i muškaraca</w:t>
      </w:r>
      <w:r w:rsidRPr="009B2E82">
        <w:rPr>
          <w:rFonts w:ascii="Times New Roman" w:eastAsia="Times New Roman" w:hAnsi="Times New Roman" w:cs="Times New Roman"/>
          <w:color w:val="000000"/>
          <w:sz w:val="24"/>
          <w:szCs w:val="24"/>
          <w:lang w:eastAsia="hr-HR"/>
        </w:rPr>
        <w:t xml:space="preserve"> predstavljene su u </w:t>
      </w:r>
      <w:r w:rsidRPr="009B2E82">
        <w:rPr>
          <w:rFonts w:ascii="Times New Roman" w:eastAsia="Times New Roman" w:hAnsi="Times New Roman" w:cs="Times New Roman"/>
          <w:b/>
          <w:color w:val="000000"/>
          <w:sz w:val="24"/>
          <w:szCs w:val="24"/>
          <w:lang w:eastAsia="hr-HR"/>
        </w:rPr>
        <w:t>Sporazumu o partnerstvu</w:t>
      </w:r>
      <w:r w:rsidRPr="009B2E82">
        <w:rPr>
          <w:rFonts w:ascii="Times New Roman" w:eastAsia="Times New Roman" w:hAnsi="Times New Roman" w:cs="Times New Roman"/>
          <w:color w:val="000000"/>
          <w:sz w:val="24"/>
          <w:szCs w:val="24"/>
          <w:lang w:eastAsia="hr-HR"/>
        </w:rPr>
        <w:t xml:space="preserve"> u poglavlju </w:t>
      </w:r>
      <w:r w:rsidRPr="009B2E82">
        <w:rPr>
          <w:rFonts w:ascii="Times New Roman" w:eastAsia="Times New Roman" w:hAnsi="Times New Roman" w:cs="Times New Roman"/>
          <w:b/>
          <w:i/>
          <w:color w:val="000000"/>
          <w:sz w:val="24"/>
          <w:szCs w:val="24"/>
          <w:lang w:eastAsia="hr-HR"/>
        </w:rPr>
        <w:t xml:space="preserve">1.5.2 Promicanje ravnopravnosti između žena i muškaraca, nediskriminacije i dostupnosti </w:t>
      </w:r>
      <w:r w:rsidRPr="009B2E82">
        <w:rPr>
          <w:rFonts w:ascii="Times New Roman" w:eastAsia="Times New Roman" w:hAnsi="Times New Roman" w:cs="Times New Roman"/>
          <w:b/>
          <w:color w:val="000000"/>
          <w:sz w:val="24"/>
          <w:szCs w:val="24"/>
          <w:lang w:eastAsia="hr-HR"/>
        </w:rPr>
        <w:t>(s obzirom na članak 7. uredbe o utvrđivanju zajedničkih odredbi)</w:t>
      </w:r>
      <w:r w:rsidRPr="009B2E82">
        <w:rPr>
          <w:rFonts w:ascii="Times New Roman" w:eastAsia="Times New Roman" w:hAnsi="Times New Roman" w:cs="Times New Roman"/>
          <w:color w:val="000000"/>
          <w:sz w:val="24"/>
          <w:szCs w:val="24"/>
          <w:lang w:eastAsia="hr-HR"/>
        </w:rPr>
        <w:t xml:space="preserve">. Politike zaštite ljudskih prava, borbe protiv diskriminacije te politike ravnopravnosti spolova kao i ravnopravnosti nacionalnih manjina prihvaćene su na najvišoj nacionalnoj razini kroz Ustav i odluke Hrvatskog sabora i Vlade RH. </w:t>
      </w:r>
      <w:r w:rsidRPr="009B2E82">
        <w:rPr>
          <w:rFonts w:ascii="Times New Roman" w:eastAsia="Times New Roman" w:hAnsi="Times New Roman" w:cs="Times New Roman"/>
          <w:color w:val="000000"/>
          <w:spacing w:val="-1"/>
          <w:sz w:val="24"/>
          <w:szCs w:val="24"/>
          <w:lang w:eastAsia="hr-HR"/>
        </w:rPr>
        <w:t xml:space="preserve">Sastavni dijelovi strateškog okvira za promicanje jednakosti su nacionalni planovi, programi i strategije, koji utvrđuju ciljeve i propisuju mjere koje će se poduzeti s ciljem poboljšanja općeg življenja i društvenih i gospodarskih uvjeta utvrđenih grupa. Povezani pravni akti i pomoćne strategije i programi preneseni su kao dio pravne stečevine. </w:t>
      </w:r>
    </w:p>
    <w:p w:rsidR="009B2E82" w:rsidRPr="009B2E82" w:rsidRDefault="009B2E82" w:rsidP="009B2E82">
      <w:pPr>
        <w:widowControl w:val="0"/>
        <w:shd w:val="clear" w:color="auto" w:fill="FFFFFF"/>
        <w:autoSpaceDE w:val="0"/>
        <w:autoSpaceDN w:val="0"/>
        <w:adjustRightInd w:val="0"/>
        <w:spacing w:before="269" w:after="0" w:line="274" w:lineRule="exact"/>
        <w:ind w:left="821" w:right="127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 skladu s člankom 7. uredbe o utvrđivanju zajedničkih odredbi, načela nediskriminacije uzimaju se i bit će uzimana u obzir tijekom razvoja i provedbe OPKK-a, uključuju i njegovo praćenje i evaluaciju. Pravni okvir i trenutni nacionalni napredak na području jednakih mogućnosti i nediskriminacije detaljno su objašnjeni u Sporazumu o partnerstvu u odjeljku 1.5.2., kao i u tablici općih ex-ante uvjeta.</w:t>
      </w:r>
    </w:p>
    <w:p w:rsidR="009B2E82" w:rsidRPr="009B2E82" w:rsidRDefault="009B2E82" w:rsidP="009B2E82">
      <w:pPr>
        <w:widowControl w:val="0"/>
        <w:shd w:val="clear" w:color="auto" w:fill="FFFFFF"/>
        <w:autoSpaceDE w:val="0"/>
        <w:autoSpaceDN w:val="0"/>
        <w:adjustRightInd w:val="0"/>
        <w:spacing w:before="269" w:after="0" w:line="274" w:lineRule="exact"/>
        <w:ind w:left="821"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 xml:space="preserve">Kako bi se smanjio rizik od diskriminacije tijekom planiranja i faza provedbe infrastrukturnih projekata, osigurat će se njihova dostupnost za osobe s invaliditetom, kao i pristup proizvodima i uslugama. S obzirom na Prioritetnu os </w:t>
      </w:r>
      <w:r w:rsidRPr="009B2E82">
        <w:rPr>
          <w:rFonts w:ascii="Times New Roman" w:eastAsia="Times New Roman" w:hAnsi="Times New Roman" w:cs="Times New Roman"/>
          <w:b/>
          <w:color w:val="000000"/>
          <w:sz w:val="24"/>
          <w:szCs w:val="24"/>
          <w:lang w:eastAsia="hr-HR"/>
        </w:rPr>
        <w:t>Povezanost i mobilnost</w:t>
      </w:r>
      <w:r w:rsidRPr="009B2E82">
        <w:rPr>
          <w:rFonts w:ascii="Times New Roman" w:eastAsia="Times New Roman" w:hAnsi="Times New Roman" w:cs="Times New Roman"/>
          <w:color w:val="000000"/>
          <w:sz w:val="24"/>
          <w:szCs w:val="24"/>
          <w:lang w:eastAsia="hr-HR"/>
        </w:rPr>
        <w:t>, jednaka mogućnosti pristupa prometnoj infrastrukturi jedan je od najvažnijih čimbenika koji utječu na životne uvjete i životni standard svih skupina stanovništva, a posebno skupina s invaliditetom i osoba s posebnim potrebama. Odredbe koje će uključivati dostupnost bit će uključene u programiranje i provedbu projekata.</w:t>
      </w:r>
    </w:p>
    <w:p w:rsidR="009B2E82" w:rsidRPr="009B2E82" w:rsidRDefault="009B2E82" w:rsidP="009B2E82">
      <w:pPr>
        <w:widowControl w:val="0"/>
        <w:shd w:val="clear" w:color="auto" w:fill="FFFFFF"/>
        <w:autoSpaceDE w:val="0"/>
        <w:autoSpaceDN w:val="0"/>
        <w:adjustRightInd w:val="0"/>
        <w:spacing w:before="283" w:after="0" w:line="274" w:lineRule="exact"/>
        <w:ind w:left="821" w:right="1262"/>
        <w:jc w:val="both"/>
        <w:rPr>
          <w:rFonts w:ascii="Times New Roman" w:eastAsia="Times New Roman" w:hAnsi="Times New Roman" w:cs="Times New Roman"/>
          <w:color w:val="000000"/>
          <w:spacing w:val="3"/>
          <w:sz w:val="24"/>
          <w:szCs w:val="24"/>
          <w:lang w:eastAsia="hr-HR"/>
        </w:rPr>
      </w:pPr>
      <w:r w:rsidRPr="009B2E82">
        <w:rPr>
          <w:rFonts w:ascii="Times New Roman" w:eastAsia="Times New Roman" w:hAnsi="Times New Roman" w:cs="Times New Roman"/>
          <w:color w:val="000000"/>
          <w:spacing w:val="3"/>
          <w:sz w:val="24"/>
          <w:szCs w:val="24"/>
          <w:lang w:eastAsia="hr-HR"/>
        </w:rPr>
        <w:t xml:space="preserve">Dio ulaganja u infrastrukturu provodit će se unutar Prioritetne osi </w:t>
      </w:r>
      <w:r w:rsidRPr="009B2E82">
        <w:rPr>
          <w:rFonts w:ascii="Times New Roman" w:eastAsia="Times New Roman" w:hAnsi="Times New Roman" w:cs="Times New Roman"/>
          <w:b/>
          <w:color w:val="000000"/>
          <w:spacing w:val="3"/>
          <w:sz w:val="24"/>
          <w:szCs w:val="24"/>
          <w:lang w:eastAsia="hr-HR"/>
        </w:rPr>
        <w:t>Socijalno uključivanje i zdravlje</w:t>
      </w:r>
      <w:r w:rsidRPr="009B2E82">
        <w:rPr>
          <w:rFonts w:ascii="Times New Roman" w:eastAsia="Times New Roman" w:hAnsi="Times New Roman" w:cs="Times New Roman"/>
          <w:color w:val="000000"/>
          <w:spacing w:val="3"/>
          <w:sz w:val="24"/>
          <w:szCs w:val="24"/>
          <w:lang w:eastAsia="hr-HR"/>
        </w:rPr>
        <w:t>, s ciljem poboljšanja životnih uvjeta skupina s rizikom od socijalne isključenosti i ugroženih skupina. Ove intervencije uključuju poboljšanje socijalnog stanovanja, obnovu i izgradnju društvene/javne infrastrukture s ciljem smanjenja siromaštva i stvaranja ravnoteže između lokalnog i regionalnog pristupa javnim uslugama, infrastrukturna ulaganja u skrb za djecu, skrb za starije i dugotrajnu skrb, infrastrukturu koja potiče prijelaz na pružanje usluga u zajednici te poboljšanje učinkovitosti pružanja zdravstvene skrbi.</w:t>
      </w:r>
    </w:p>
    <w:p w:rsidR="009B2E82" w:rsidRPr="009B2E82" w:rsidRDefault="009B2E82" w:rsidP="009B2E82">
      <w:pPr>
        <w:widowControl w:val="0"/>
        <w:shd w:val="clear" w:color="auto" w:fill="FFFFFF"/>
        <w:autoSpaceDE w:val="0"/>
        <w:autoSpaceDN w:val="0"/>
        <w:adjustRightInd w:val="0"/>
        <w:spacing w:before="283" w:after="0" w:line="274" w:lineRule="exact"/>
        <w:ind w:left="821" w:right="126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 xml:space="preserve">Načela jednakih mogućnosti i nediskriminacije primjenjivat će se kroz sve prioritetne osi, pomoću pozitivnih akcijskih mjera i aktivnosti s ciljem podržavanja pojedinih skupina. Budući da različite prioritetne osi mogu u različitoj mjeri pridonijeti promicanju jednakosti, nediskriminacije i dostupnosti, moraju se pronaći posebna rješenja za svaki projekt kako bi se utvrdili obavezni ili neobavezni zahtjevi na razini projekta. </w:t>
      </w:r>
    </w:p>
    <w:p w:rsidR="009B2E82" w:rsidRPr="009B2E82" w:rsidRDefault="009B2E82" w:rsidP="009B2E82">
      <w:pPr>
        <w:widowControl w:val="0"/>
        <w:shd w:val="clear" w:color="auto" w:fill="FFFFFF"/>
        <w:tabs>
          <w:tab w:val="left" w:pos="5174"/>
          <w:tab w:val="left" w:pos="10099"/>
        </w:tabs>
        <w:autoSpaceDE w:val="0"/>
        <w:autoSpaceDN w:val="0"/>
        <w:adjustRightInd w:val="0"/>
        <w:spacing w:before="782"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tabs>
          <w:tab w:val="left" w:pos="5174"/>
          <w:tab w:val="left" w:pos="10099"/>
        </w:tabs>
        <w:autoSpaceDE w:val="0"/>
        <w:autoSpaceDN w:val="0"/>
        <w:adjustRightInd w:val="0"/>
        <w:spacing w:before="782" w:after="0" w:line="240" w:lineRule="auto"/>
        <w:rPr>
          <w:rFonts w:ascii="Arial" w:eastAsia="Times New Roman" w:hAnsi="Arial" w:cs="Arial"/>
          <w:sz w:val="20"/>
          <w:szCs w:val="20"/>
          <w:lang w:eastAsia="hr-HR"/>
        </w:rPr>
        <w:sectPr w:rsidR="009B2E82" w:rsidRPr="009B2E82">
          <w:pgSz w:w="11909" w:h="16834"/>
          <w:pgMar w:top="910"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74" w:lineRule="exact"/>
        <w:ind w:left="821"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lastRenderedPageBreak/>
        <w:t>Kako bi se osiguralo poštivanje politike jednakosti spolova, nediskriminacije i dostupnosti na svim razinama provedbe OPKK-a, usvojit će se sljedeći postupci:</w:t>
      </w:r>
    </w:p>
    <w:p w:rsidR="009B2E82" w:rsidRPr="009B2E82" w:rsidRDefault="009B2E82" w:rsidP="009B2E82">
      <w:pPr>
        <w:widowControl w:val="0"/>
        <w:numPr>
          <w:ilvl w:val="0"/>
          <w:numId w:val="23"/>
        </w:numPr>
        <w:shd w:val="clear" w:color="auto" w:fill="FFFFFF"/>
        <w:tabs>
          <w:tab w:val="left" w:pos="1085"/>
        </w:tabs>
        <w:autoSpaceDE w:val="0"/>
        <w:autoSpaceDN w:val="0"/>
        <w:adjustRightInd w:val="0"/>
        <w:spacing w:before="278" w:after="0" w:line="274" w:lineRule="exact"/>
        <w:ind w:left="821"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5"/>
          <w:sz w:val="24"/>
          <w:szCs w:val="24"/>
          <w:lang w:eastAsia="hr-HR"/>
        </w:rPr>
        <w:t>Odabir: Kako bi se osiguralo da prijavitelji poštuju načela jednakih mogućnosti, načela će biti uključena u postupke prijave i odabira projekata. Svi prijavitelji će u prijavnom obrascu projekta morati prikazati kako će projekt pridonijeti jednakim mogućnostima, opisujući način na koji je to pitanje uzeto u obzir.</w:t>
      </w:r>
    </w:p>
    <w:p w:rsidR="009B2E82" w:rsidRPr="009B2E82" w:rsidRDefault="009B2E82" w:rsidP="009B2E82">
      <w:pPr>
        <w:widowControl w:val="0"/>
        <w:numPr>
          <w:ilvl w:val="0"/>
          <w:numId w:val="23"/>
        </w:numPr>
        <w:shd w:val="clear" w:color="auto" w:fill="FFFFFF"/>
        <w:tabs>
          <w:tab w:val="left" w:pos="1085"/>
        </w:tabs>
        <w:autoSpaceDE w:val="0"/>
        <w:autoSpaceDN w:val="0"/>
        <w:adjustRightInd w:val="0"/>
        <w:spacing w:before="278" w:after="0" w:line="274" w:lineRule="exact"/>
        <w:ind w:left="821"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Ugovaranje: Obveza poštovanja načela jednakosti tijekom provedbe projekta bit će uključena u ugovore s prijaviteljima te će se provjeravati tijekom postupaka praćenja i izvještavanja.</w:t>
      </w:r>
    </w:p>
    <w:p w:rsidR="009B2E82" w:rsidRPr="009B2E82" w:rsidRDefault="009B2E82" w:rsidP="009B2E82">
      <w:pPr>
        <w:widowControl w:val="0"/>
        <w:autoSpaceDE w:val="0"/>
        <w:autoSpaceDN w:val="0"/>
        <w:adjustRightInd w:val="0"/>
        <w:spacing w:after="0" w:line="240" w:lineRule="auto"/>
        <w:jc w:val="both"/>
        <w:rPr>
          <w:rFonts w:ascii="Times New Roman" w:eastAsia="Times New Roman" w:hAnsi="Times New Roman" w:cs="Times New Roman"/>
          <w:sz w:val="2"/>
          <w:szCs w:val="2"/>
          <w:lang w:eastAsia="hr-HR"/>
        </w:rPr>
      </w:pPr>
    </w:p>
    <w:p w:rsidR="009B2E82" w:rsidRPr="009B2E82" w:rsidRDefault="009B2E82" w:rsidP="009B2E82">
      <w:pPr>
        <w:widowControl w:val="0"/>
        <w:numPr>
          <w:ilvl w:val="0"/>
          <w:numId w:val="24"/>
        </w:numPr>
        <w:shd w:val="clear" w:color="auto" w:fill="FFFFFF"/>
        <w:tabs>
          <w:tab w:val="left" w:pos="955"/>
        </w:tabs>
        <w:autoSpaceDE w:val="0"/>
        <w:autoSpaceDN w:val="0"/>
        <w:adjustRightInd w:val="0"/>
        <w:spacing w:before="274" w:after="0" w:line="274" w:lineRule="exact"/>
        <w:ind w:left="816"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Praćenje: Kako bi se procijenilo rezultate postignute na području jednakih mogućnosti, pokazatelji će biti ugrađeni u sustav praćenja projekata. provedbena tijela će ocjenjivati rezultate na tromjesečnoj bazi i izvještavati upravljačko tijelo. Izvješća o postignutim rezultatima na području jednakosti bit će uključena u godišnja izvješća o provedbi.</w:t>
      </w:r>
    </w:p>
    <w:p w:rsidR="009B2E82" w:rsidRPr="009B2E82" w:rsidRDefault="009B2E82" w:rsidP="009B2E82">
      <w:pPr>
        <w:widowControl w:val="0"/>
        <w:numPr>
          <w:ilvl w:val="0"/>
          <w:numId w:val="24"/>
        </w:numPr>
        <w:shd w:val="clear" w:color="auto" w:fill="FFFFFF"/>
        <w:tabs>
          <w:tab w:val="left" w:pos="955"/>
        </w:tabs>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pacing w:val="1"/>
          <w:sz w:val="24"/>
          <w:szCs w:val="24"/>
          <w:lang w:eastAsia="hr-HR"/>
        </w:rPr>
        <w:t>Evaluacija: Za svaku prioritetnu os razvit će se evaluacijski plan, a mjere koje će se poduzimati u vezi s tekućim evaluacijama pratit će u kojoj mjeri kriteriji odabira, sustavi praćenja i upravljanja te kontrolni postupci podržavaju provedbu načela jednakosti.</w:t>
      </w:r>
    </w:p>
    <w:p w:rsidR="009B2E82" w:rsidRPr="009B2E82" w:rsidRDefault="009B2E82" w:rsidP="009B2E82">
      <w:pPr>
        <w:widowControl w:val="0"/>
        <w:shd w:val="clear" w:color="auto" w:fill="FFFFFF"/>
        <w:tabs>
          <w:tab w:val="left" w:pos="955"/>
        </w:tabs>
        <w:autoSpaceDE w:val="0"/>
        <w:autoSpaceDN w:val="0"/>
        <w:adjustRightInd w:val="0"/>
        <w:spacing w:before="278" w:after="0" w:line="274" w:lineRule="exact"/>
        <w:ind w:left="816" w:right="922"/>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bCs/>
          <w:color w:val="000000"/>
          <w:spacing w:val="-1"/>
          <w:sz w:val="24"/>
          <w:szCs w:val="24"/>
          <w:lang w:eastAsia="hr-HR"/>
        </w:rPr>
        <w:t>11.3 Ravnopravnost između žena i muškaraca</w:t>
      </w:r>
    </w:p>
    <w:p w:rsidR="009B2E82" w:rsidRPr="009B2E82" w:rsidRDefault="009B2E82" w:rsidP="009B2E82">
      <w:pPr>
        <w:widowControl w:val="0"/>
        <w:shd w:val="clear" w:color="auto" w:fill="FFFFFF"/>
        <w:autoSpaceDE w:val="0"/>
        <w:autoSpaceDN w:val="0"/>
        <w:adjustRightInd w:val="0"/>
        <w:spacing w:before="120" w:after="0" w:line="274" w:lineRule="exact"/>
        <w:ind w:left="816" w:right="1272"/>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 xml:space="preserve">Opis doprinosa operativnog programa promicanju ravnopravnosti između žena i muškaraca i, po potrebi, načina osiguranja integracije rodne perspektive na razini operativnog programa i na razini operacija. </w:t>
      </w:r>
    </w:p>
    <w:p w:rsidR="009B2E82" w:rsidRPr="009B2E82" w:rsidRDefault="009B2E82" w:rsidP="009B2E82">
      <w:pPr>
        <w:widowControl w:val="0"/>
        <w:shd w:val="clear" w:color="auto" w:fill="FFFFFF"/>
        <w:autoSpaceDE w:val="0"/>
        <w:autoSpaceDN w:val="0"/>
        <w:adjustRightInd w:val="0"/>
        <w:spacing w:before="269" w:after="0" w:line="274" w:lineRule="exact"/>
        <w:ind w:left="787" w:right="883"/>
        <w:jc w:val="both"/>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Opće informacije o </w:t>
      </w:r>
      <w:r w:rsidRPr="009B2E82">
        <w:rPr>
          <w:rFonts w:ascii="Times New Roman" w:eastAsia="Times New Roman" w:hAnsi="Times New Roman" w:cs="Times New Roman"/>
          <w:b/>
          <w:color w:val="000000"/>
          <w:sz w:val="24"/>
          <w:szCs w:val="24"/>
          <w:lang w:eastAsia="hr-HR"/>
        </w:rPr>
        <w:t>ravnopravnosti između žena i muškaraca</w:t>
      </w:r>
      <w:r w:rsidRPr="009B2E82">
        <w:rPr>
          <w:rFonts w:ascii="Times New Roman" w:eastAsia="Times New Roman" w:hAnsi="Times New Roman" w:cs="Times New Roman"/>
          <w:color w:val="000000"/>
          <w:sz w:val="24"/>
          <w:szCs w:val="24"/>
          <w:lang w:eastAsia="hr-HR"/>
        </w:rPr>
        <w:t xml:space="preserve"> predstavljene su u </w:t>
      </w:r>
      <w:r w:rsidRPr="009B2E82">
        <w:rPr>
          <w:rFonts w:ascii="Times New Roman" w:eastAsia="Times New Roman" w:hAnsi="Times New Roman" w:cs="Times New Roman"/>
          <w:b/>
          <w:color w:val="000000"/>
          <w:sz w:val="24"/>
          <w:szCs w:val="24"/>
          <w:lang w:eastAsia="hr-HR"/>
        </w:rPr>
        <w:t>Sporazumu o partnerstvu</w:t>
      </w:r>
      <w:r w:rsidRPr="009B2E82">
        <w:rPr>
          <w:rFonts w:ascii="Times New Roman" w:eastAsia="Times New Roman" w:hAnsi="Times New Roman" w:cs="Times New Roman"/>
          <w:color w:val="000000"/>
          <w:sz w:val="24"/>
          <w:szCs w:val="24"/>
          <w:lang w:eastAsia="hr-HR"/>
        </w:rPr>
        <w:t xml:space="preserve"> u poglavlju </w:t>
      </w:r>
      <w:r w:rsidRPr="009B2E82">
        <w:rPr>
          <w:rFonts w:ascii="Times New Roman" w:eastAsia="Times New Roman" w:hAnsi="Times New Roman" w:cs="Times New Roman"/>
          <w:i/>
          <w:color w:val="000000"/>
          <w:sz w:val="24"/>
          <w:szCs w:val="24"/>
          <w:lang w:eastAsia="hr-HR"/>
        </w:rPr>
        <w:t>1.5.2 Promicanje ravnopravnosti između žena i muškaraca, nediskriminacije i dostupnosti</w:t>
      </w:r>
      <w:r w:rsidRPr="009B2E82">
        <w:rPr>
          <w:rFonts w:ascii="Times New Roman" w:eastAsia="Times New Roman" w:hAnsi="Times New Roman" w:cs="Times New Roman"/>
          <w:color w:val="000000"/>
          <w:sz w:val="24"/>
          <w:szCs w:val="24"/>
          <w:lang w:eastAsia="hr-HR"/>
        </w:rPr>
        <w:t xml:space="preserve"> (s obzirom na članak 7. uredbe o utvrđivanju zajedničkih odredbi). Kao što je već spomenuto, politika zaštite ljudskih prava, borbe protiv diskriminacije te politike ravnopravnosti spolova kao i ravnopravnosti nacionalnih manjina prihvaćene su na najvišoj nacionalnoj razini kroz Ustav i odluke Hrvatskog sabora i Vlade RH.</w:t>
      </w:r>
    </w:p>
    <w:p w:rsidR="009B2E82" w:rsidRPr="009B2E82" w:rsidRDefault="009B2E82" w:rsidP="009B2E82">
      <w:pPr>
        <w:widowControl w:val="0"/>
        <w:shd w:val="clear" w:color="auto" w:fill="FFFFFF"/>
        <w:autoSpaceDE w:val="0"/>
        <w:autoSpaceDN w:val="0"/>
        <w:adjustRightInd w:val="0"/>
        <w:spacing w:before="283" w:after="0" w:line="274" w:lineRule="exact"/>
        <w:ind w:left="816" w:right="883"/>
        <w:jc w:val="both"/>
        <w:rPr>
          <w:rFonts w:ascii="Times New Roman" w:eastAsia="Times New Roman" w:hAnsi="Times New Roman" w:cs="Times New Roman"/>
          <w:i/>
          <w:iCs/>
          <w:color w:val="000000"/>
          <w:sz w:val="24"/>
          <w:szCs w:val="24"/>
          <w:lang w:eastAsia="hr-HR"/>
        </w:rPr>
      </w:pPr>
      <w:r w:rsidRPr="009B2E82">
        <w:rPr>
          <w:rFonts w:ascii="Times New Roman" w:eastAsia="Times New Roman" w:hAnsi="Times New Roman" w:cs="Times New Roman"/>
          <w:i/>
          <w:iCs/>
          <w:color w:val="000000"/>
          <w:sz w:val="24"/>
          <w:szCs w:val="24"/>
          <w:lang w:eastAsia="hr-HR"/>
        </w:rPr>
        <w:t>Zakon o radu [1] najvažniji je pravni akt koji sadrži odredbe za sprječavanje diskriminacije u području zapošljavanja. On je usklađen s Direktivom 2006/54/EZ Europskog parlamenta i Vijeća za provedbu načela jednakih mogućnosti i jednakog postupanja. Pravobraniteljica za ravnopravnost spolova odgovorna je za praćenje poštivanja i pravilne provedbe zakonskih uvjeta.</w:t>
      </w:r>
    </w:p>
    <w:p w:rsidR="009B2E82" w:rsidRPr="009B2E82" w:rsidRDefault="009B2E82" w:rsidP="009B2E82">
      <w:pPr>
        <w:widowControl w:val="0"/>
        <w:shd w:val="clear" w:color="auto" w:fill="FFFFFF"/>
        <w:autoSpaceDE w:val="0"/>
        <w:autoSpaceDN w:val="0"/>
        <w:adjustRightInd w:val="0"/>
        <w:spacing w:after="0" w:line="274" w:lineRule="exact"/>
        <w:ind w:left="816" w:right="885"/>
        <w:jc w:val="both"/>
        <w:rPr>
          <w:rFonts w:ascii="Times New Roman" w:eastAsia="Times New Roman" w:hAnsi="Times New Roman" w:cs="Times New Roman"/>
          <w:i/>
          <w:iCs/>
          <w:color w:val="000000"/>
          <w:sz w:val="24"/>
          <w:szCs w:val="24"/>
          <w:lang w:eastAsia="hr-HR"/>
        </w:rPr>
      </w:pPr>
    </w:p>
    <w:p w:rsidR="009B2E82" w:rsidRPr="009B2E82" w:rsidRDefault="009B2E82" w:rsidP="009B2E82">
      <w:pPr>
        <w:widowControl w:val="0"/>
        <w:shd w:val="clear" w:color="auto" w:fill="FFFFFF"/>
        <w:autoSpaceDE w:val="0"/>
        <w:autoSpaceDN w:val="0"/>
        <w:adjustRightInd w:val="0"/>
        <w:spacing w:after="0" w:line="274" w:lineRule="exact"/>
        <w:ind w:left="816" w:right="885"/>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24"/>
          <w:szCs w:val="24"/>
          <w:lang w:eastAsia="hr-HR"/>
        </w:rPr>
        <w:t xml:space="preserve">Žensko poduzetništvo bit će podržano kroz posebnu podaktivnost u okviru SEECEL inicijative unutar Prioritetne osi </w:t>
      </w:r>
      <w:r w:rsidRPr="009B2E82">
        <w:rPr>
          <w:rFonts w:ascii="Times New Roman" w:eastAsia="Times New Roman" w:hAnsi="Times New Roman" w:cs="Times New Roman"/>
          <w:b/>
          <w:color w:val="000000"/>
          <w:sz w:val="24"/>
          <w:szCs w:val="24"/>
          <w:lang w:eastAsia="hr-HR"/>
        </w:rPr>
        <w:t>Poslovna konkurentnost</w:t>
      </w:r>
      <w:r w:rsidRPr="009B2E82">
        <w:rPr>
          <w:rFonts w:ascii="Times New Roman" w:eastAsia="Times New Roman" w:hAnsi="Times New Roman" w:cs="Times New Roman"/>
          <w:color w:val="000000"/>
          <w:sz w:val="24"/>
          <w:szCs w:val="24"/>
          <w:lang w:eastAsia="hr-HR"/>
        </w:rPr>
        <w:t>, koja će pomagati u podizanju svjesnosti o posebnostima ženskog poduzetništva u Hrvatskoj i regiji jugoistočne Europe, i to promicanjem politike dobre prakse u ženskom poduzetništvu u skladu sa Zakonom o malim poduzećima (ZMP) za Europu i izgradnjom kapaciteta nacionalnih i regionalnih mreža i udruga ženskog poduzetništva, kroz zajedničke javne i privatne napore, s konačnim ciljem smanjenja nezaposlenosti žena.</w:t>
      </w:r>
    </w:p>
    <w:p w:rsidR="009B2E82" w:rsidRPr="009B2E82" w:rsidRDefault="009B2E82" w:rsidP="009B2E82">
      <w:pPr>
        <w:spacing w:after="0" w:line="240" w:lineRule="auto"/>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br w:type="page"/>
      </w:r>
    </w:p>
    <w:p w:rsidR="009B2E82" w:rsidRPr="009B2E82" w:rsidRDefault="009B2E82" w:rsidP="009B2E82">
      <w:pPr>
        <w:widowControl w:val="0"/>
        <w:shd w:val="clear" w:color="auto" w:fill="FFFFFF"/>
        <w:autoSpaceDE w:val="0"/>
        <w:autoSpaceDN w:val="0"/>
        <w:adjustRightInd w:val="0"/>
        <w:spacing w:before="278" w:after="0" w:line="274" w:lineRule="exact"/>
        <w:ind w:left="826" w:right="883"/>
        <w:jc w:val="both"/>
        <w:rPr>
          <w:rFonts w:ascii="Times New Roman" w:eastAsia="Times New Roman" w:hAnsi="Times New Roman" w:cs="Times New Roman"/>
          <w:color w:val="000000"/>
          <w:spacing w:val="-1"/>
          <w:sz w:val="24"/>
          <w:szCs w:val="24"/>
          <w:lang w:eastAsia="hr-HR"/>
        </w:rPr>
      </w:pPr>
      <w:r w:rsidRPr="009B2E82">
        <w:rPr>
          <w:rFonts w:ascii="Times New Roman" w:eastAsia="Times New Roman" w:hAnsi="Times New Roman" w:cs="Times New Roman"/>
          <w:color w:val="000000"/>
          <w:spacing w:val="-1"/>
          <w:sz w:val="24"/>
          <w:szCs w:val="24"/>
          <w:lang w:eastAsia="hr-HR"/>
        </w:rPr>
        <w:lastRenderedPageBreak/>
        <w:t>Načela ravnopravnosti spolova primjenjivat će se kroz sve prioritetne osi, pomoću pozitivnih akcijskih mjera i aktivnosti s ciljem podržavanja pojedinih skupina.</w:t>
      </w:r>
    </w:p>
    <w:p w:rsidR="009B2E82" w:rsidRPr="009B2E82" w:rsidRDefault="009B2E82" w:rsidP="009B2E82">
      <w:pPr>
        <w:widowControl w:val="0"/>
        <w:shd w:val="clear" w:color="auto" w:fill="FFFFFF"/>
        <w:autoSpaceDE w:val="0"/>
        <w:autoSpaceDN w:val="0"/>
        <w:adjustRightInd w:val="0"/>
        <w:spacing w:before="278" w:after="0" w:line="274" w:lineRule="exact"/>
        <w:ind w:left="826" w:right="883"/>
        <w:jc w:val="both"/>
        <w:rPr>
          <w:rFonts w:ascii="Arial" w:eastAsia="Times New Roman" w:hAnsi="Arial" w:cs="Arial"/>
          <w:b/>
          <w:sz w:val="20"/>
          <w:szCs w:val="20"/>
          <w:lang w:eastAsia="hr-HR"/>
        </w:rPr>
      </w:pPr>
      <w:r w:rsidRPr="009B2E82">
        <w:rPr>
          <w:rFonts w:ascii="Times New Roman" w:eastAsia="Times New Roman" w:hAnsi="Times New Roman" w:cs="Times New Roman"/>
          <w:color w:val="000000"/>
          <w:sz w:val="24"/>
          <w:szCs w:val="24"/>
          <w:lang w:eastAsia="hr-HR"/>
        </w:rPr>
        <w:t xml:space="preserve">Metode koje će osigurati da se politika ravnopravnosti spolova, nediskriminacije i dostupnosti provodi na svim razinama provedbe OPKK-a objašnjene su u poglavlju 11.2. </w:t>
      </w:r>
      <w:r w:rsidRPr="009B2E82">
        <w:rPr>
          <w:rFonts w:ascii="Times New Roman" w:eastAsia="Times New Roman" w:hAnsi="Times New Roman" w:cs="Times New Roman"/>
          <w:b/>
          <w:color w:val="000000"/>
          <w:sz w:val="24"/>
          <w:szCs w:val="24"/>
          <w:lang w:eastAsia="hr-HR"/>
        </w:rPr>
        <w:t>Jednake mogućnosti.</w:t>
      </w:r>
    </w:p>
    <w:p w:rsidR="009B2E82" w:rsidRPr="009B2E82" w:rsidRDefault="009B2E82" w:rsidP="009B2E82">
      <w:pPr>
        <w:widowControl w:val="0"/>
        <w:shd w:val="clear" w:color="auto" w:fill="FFFFFF"/>
        <w:autoSpaceDE w:val="0"/>
        <w:autoSpaceDN w:val="0"/>
        <w:adjustRightInd w:val="0"/>
        <w:spacing w:before="274" w:after="0" w:line="240" w:lineRule="auto"/>
        <w:ind w:left="83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24"/>
          <w:szCs w:val="24"/>
          <w:lang w:eastAsia="hr-HR"/>
        </w:rPr>
        <w:t>[1] Narodne novine, br. 149/09</w:t>
      </w:r>
    </w:p>
    <w:p w:rsidR="009B2E82" w:rsidRPr="009B2E82" w:rsidRDefault="009B2E82" w:rsidP="009B2E82">
      <w:pPr>
        <w:widowControl w:val="0"/>
        <w:shd w:val="clear" w:color="auto" w:fill="FFFFFF"/>
        <w:tabs>
          <w:tab w:val="left" w:pos="5174"/>
          <w:tab w:val="left" w:pos="10099"/>
        </w:tabs>
        <w:autoSpaceDE w:val="0"/>
        <w:autoSpaceDN w:val="0"/>
        <w:adjustRightInd w:val="0"/>
        <w:spacing w:before="10963" w:after="0" w:line="240" w:lineRule="auto"/>
        <w:rPr>
          <w:rFonts w:ascii="Arial" w:eastAsia="Times New Roman" w:hAnsi="Arial" w:cs="Arial"/>
          <w:sz w:val="20"/>
          <w:szCs w:val="20"/>
          <w:lang w:eastAsia="hr-HR"/>
        </w:rPr>
        <w:sectPr w:rsidR="009B2E82" w:rsidRPr="009B2E82">
          <w:pgSz w:w="11909" w:h="16834"/>
          <w:pgMar w:top="910" w:right="435" w:bottom="360" w:left="77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40" w:lineRule="auto"/>
        <w:ind w:left="552"/>
        <w:rPr>
          <w:rFonts w:ascii="Times New Roman" w:eastAsia="Times New Roman" w:hAnsi="Times New Roman" w:cs="Times New Roman"/>
          <w:b/>
          <w:color w:val="000000"/>
          <w:spacing w:val="-9"/>
          <w:sz w:val="26"/>
          <w:szCs w:val="26"/>
          <w:lang w:eastAsia="hr-HR"/>
        </w:rPr>
      </w:pPr>
      <w:r w:rsidRPr="009B2E82">
        <w:rPr>
          <w:rFonts w:ascii="Times New Roman" w:eastAsia="Times New Roman" w:hAnsi="Times New Roman" w:cs="Times New Roman"/>
          <w:color w:val="000000"/>
          <w:spacing w:val="-9"/>
          <w:sz w:val="26"/>
          <w:szCs w:val="26"/>
          <w:lang w:eastAsia="hr-HR"/>
        </w:rPr>
        <w:lastRenderedPageBreak/>
        <w:t xml:space="preserve">12. </w:t>
      </w:r>
      <w:r w:rsidRPr="009B2E82">
        <w:rPr>
          <w:rFonts w:ascii="Times New Roman" w:eastAsia="Times New Roman" w:hAnsi="Times New Roman" w:cs="Times New Roman"/>
          <w:b/>
          <w:color w:val="000000"/>
          <w:spacing w:val="-9"/>
          <w:sz w:val="26"/>
          <w:szCs w:val="26"/>
          <w:lang w:eastAsia="hr-HR"/>
        </w:rPr>
        <w:t>ZASEBNI ELEMENTI</w:t>
      </w:r>
    </w:p>
    <w:p w:rsidR="009B2E82" w:rsidRPr="009B2E82" w:rsidRDefault="009B2E82" w:rsidP="009B2E82">
      <w:pPr>
        <w:widowControl w:val="0"/>
        <w:shd w:val="clear" w:color="auto" w:fill="FFFFFF"/>
        <w:autoSpaceDE w:val="0"/>
        <w:autoSpaceDN w:val="0"/>
        <w:adjustRightInd w:val="0"/>
        <w:spacing w:before="494" w:after="0" w:line="240" w:lineRule="auto"/>
        <w:ind w:left="552"/>
        <w:rPr>
          <w:rFonts w:ascii="Times New Roman" w:eastAsia="Times New Roman" w:hAnsi="Times New Roman" w:cs="Times New Roman"/>
          <w:color w:val="000000"/>
          <w:spacing w:val="-2"/>
          <w:sz w:val="26"/>
          <w:szCs w:val="26"/>
          <w:lang w:eastAsia="hr-HR"/>
        </w:rPr>
      </w:pPr>
      <w:r w:rsidRPr="009B2E82">
        <w:rPr>
          <w:rFonts w:ascii="Times New Roman" w:eastAsia="Times New Roman" w:hAnsi="Times New Roman" w:cs="Times New Roman"/>
          <w:b/>
          <w:color w:val="000000"/>
          <w:spacing w:val="-2"/>
          <w:sz w:val="26"/>
          <w:szCs w:val="26"/>
          <w:lang w:eastAsia="hr-HR"/>
        </w:rPr>
        <w:t>12.1 Veliki projekti koji će se provoditi tijekom programskog razdoblja</w:t>
      </w:r>
      <w:r w:rsidRPr="009B2E82">
        <w:rPr>
          <w:rFonts w:ascii="Times New Roman" w:eastAsia="Times New Roman" w:hAnsi="Times New Roman" w:cs="Times New Roman"/>
          <w:color w:val="000000"/>
          <w:spacing w:val="-2"/>
          <w:sz w:val="26"/>
          <w:szCs w:val="26"/>
          <w:lang w:eastAsia="hr-HR"/>
        </w:rPr>
        <w:t xml:space="preserve"> </w:t>
      </w:r>
    </w:p>
    <w:p w:rsidR="009B2E82" w:rsidRPr="009B2E82" w:rsidRDefault="009B2E82" w:rsidP="009B2E82">
      <w:pPr>
        <w:widowControl w:val="0"/>
        <w:shd w:val="clear" w:color="auto" w:fill="FFFFFF"/>
        <w:autoSpaceDE w:val="0"/>
        <w:autoSpaceDN w:val="0"/>
        <w:adjustRightInd w:val="0"/>
        <w:spacing w:before="494" w:after="0" w:line="240" w:lineRule="auto"/>
        <w:ind w:left="552"/>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4"/>
          <w:sz w:val="26"/>
          <w:szCs w:val="26"/>
          <w:lang w:eastAsia="hr-HR"/>
        </w:rPr>
        <w:t>Tablica 27: Popis velikih projekata</w:t>
      </w:r>
    </w:p>
    <w:p w:rsidR="009B2E82" w:rsidRPr="009B2E82" w:rsidRDefault="009B2E82" w:rsidP="009B2E82">
      <w:pPr>
        <w:widowControl w:val="0"/>
        <w:autoSpaceDE w:val="0"/>
        <w:autoSpaceDN w:val="0"/>
        <w:adjustRightInd w:val="0"/>
        <w:spacing w:after="101" w:line="1" w:lineRule="exact"/>
        <w:rPr>
          <w:rFonts w:ascii="Times New Roman" w:eastAsia="Times New Roman" w:hAnsi="Times New Roman" w:cs="Times New Roman"/>
          <w:sz w:val="2"/>
          <w:szCs w:val="2"/>
          <w:lang w:eastAsia="hr-HR"/>
        </w:rPr>
      </w:pPr>
    </w:p>
    <w:tbl>
      <w:tblPr>
        <w:tblW w:w="0" w:type="auto"/>
        <w:tblInd w:w="-38" w:type="dxa"/>
        <w:tblLayout w:type="fixed"/>
        <w:tblCellMar>
          <w:left w:w="40" w:type="dxa"/>
          <w:right w:w="40" w:type="dxa"/>
        </w:tblCellMar>
        <w:tblLook w:val="0000" w:firstRow="0" w:lastRow="0" w:firstColumn="0" w:lastColumn="0" w:noHBand="0" w:noVBand="0"/>
      </w:tblPr>
      <w:tblGrid>
        <w:gridCol w:w="3197"/>
        <w:gridCol w:w="2208"/>
        <w:gridCol w:w="1949"/>
        <w:gridCol w:w="2189"/>
        <w:gridCol w:w="5395"/>
      </w:tblGrid>
      <w:tr w:rsidR="009B2E82" w:rsidRPr="009B2E82" w:rsidTr="009B2E82">
        <w:trPr>
          <w:trHeight w:hRule="exact" w:val="82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b/>
                <w:color w:val="000000"/>
                <w:spacing w:val="-2"/>
                <w:sz w:val="20"/>
                <w:szCs w:val="20"/>
                <w:lang w:eastAsia="hr-HR"/>
              </w:rPr>
            </w:pPr>
            <w:r w:rsidRPr="009B2E82">
              <w:rPr>
                <w:rFonts w:ascii="Times New Roman" w:eastAsia="Times New Roman" w:hAnsi="Times New Roman" w:cs="Times New Roman"/>
                <w:b/>
                <w:color w:val="000000"/>
                <w:spacing w:val="-2"/>
                <w:sz w:val="20"/>
                <w:szCs w:val="20"/>
                <w:lang w:eastAsia="hr-HR"/>
              </w:rPr>
              <w:t>Projekt</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1" w:right="106"/>
              <w:jc w:val="center"/>
              <w:rPr>
                <w:rFonts w:ascii="Times New Roman" w:eastAsia="Times New Roman" w:hAnsi="Times New Roman" w:cs="Times New Roman"/>
                <w:b/>
                <w:color w:val="000000"/>
                <w:spacing w:val="-3"/>
                <w:sz w:val="20"/>
                <w:szCs w:val="20"/>
                <w:lang w:eastAsia="hr-HR"/>
              </w:rPr>
            </w:pPr>
            <w:r w:rsidRPr="009B2E82">
              <w:rPr>
                <w:rFonts w:ascii="Times New Roman" w:eastAsia="Times New Roman" w:hAnsi="Times New Roman" w:cs="Times New Roman"/>
                <w:b/>
                <w:color w:val="000000"/>
                <w:spacing w:val="-3"/>
                <w:sz w:val="20"/>
                <w:szCs w:val="20"/>
                <w:lang w:eastAsia="hr-HR"/>
              </w:rPr>
              <w:t>Planirani datum obavijesti/podnošenja (godina, tromjesečje)</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 w:right="24"/>
              <w:jc w:val="center"/>
              <w:rPr>
                <w:rFonts w:ascii="Times New Roman" w:eastAsia="Times New Roman" w:hAnsi="Times New Roman" w:cs="Times New Roman"/>
                <w:b/>
                <w:color w:val="000000"/>
                <w:sz w:val="20"/>
                <w:szCs w:val="20"/>
                <w:lang w:eastAsia="hr-HR"/>
              </w:rPr>
            </w:pPr>
            <w:r w:rsidRPr="009B2E82">
              <w:rPr>
                <w:rFonts w:ascii="Times New Roman" w:eastAsia="Times New Roman" w:hAnsi="Times New Roman" w:cs="Times New Roman"/>
                <w:b/>
                <w:color w:val="000000"/>
                <w:sz w:val="20"/>
                <w:szCs w:val="20"/>
                <w:lang w:eastAsia="hr-HR"/>
              </w:rPr>
              <w:t>Planirani početak provedbe (godina, tromjesečje)</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29" w:right="34"/>
              <w:jc w:val="center"/>
              <w:rPr>
                <w:rFonts w:ascii="Times New Roman" w:eastAsia="Times New Roman" w:hAnsi="Times New Roman" w:cs="Times New Roman"/>
                <w:b/>
                <w:color w:val="000000"/>
                <w:spacing w:val="-5"/>
                <w:sz w:val="20"/>
                <w:szCs w:val="20"/>
                <w:lang w:eastAsia="hr-HR"/>
              </w:rPr>
            </w:pPr>
            <w:r w:rsidRPr="009B2E82">
              <w:rPr>
                <w:rFonts w:ascii="Times New Roman" w:eastAsia="Times New Roman" w:hAnsi="Times New Roman" w:cs="Times New Roman"/>
                <w:b/>
                <w:color w:val="000000"/>
                <w:spacing w:val="-5"/>
                <w:sz w:val="20"/>
                <w:szCs w:val="20"/>
                <w:lang w:eastAsia="hr-HR"/>
              </w:rPr>
              <w:t>Planirani rok završetka (godina, tromjesečje)</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76"/>
              <w:rPr>
                <w:rFonts w:ascii="Times New Roman" w:eastAsia="Times New Roman" w:hAnsi="Times New Roman" w:cs="Times New Roman"/>
                <w:b/>
                <w:color w:val="000000"/>
                <w:spacing w:val="-4"/>
                <w:sz w:val="20"/>
                <w:szCs w:val="20"/>
                <w:lang w:eastAsia="hr-HR"/>
              </w:rPr>
            </w:pPr>
            <w:r w:rsidRPr="009B2E82">
              <w:rPr>
                <w:rFonts w:ascii="Times New Roman" w:eastAsia="Times New Roman" w:hAnsi="Times New Roman" w:cs="Times New Roman"/>
                <w:b/>
                <w:color w:val="000000"/>
                <w:spacing w:val="-4"/>
                <w:sz w:val="20"/>
                <w:szCs w:val="20"/>
                <w:lang w:eastAsia="hr-HR"/>
              </w:rPr>
              <w:t>Prioritetne osi/Investicijski prioriteti</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0" w:right="5"/>
              <w:rPr>
                <w:rFonts w:ascii="Times New Roman" w:eastAsia="Times New Roman" w:hAnsi="Times New Roman" w:cs="Times New Roman"/>
                <w:color w:val="000000"/>
                <w:sz w:val="16"/>
                <w:szCs w:val="16"/>
                <w:lang w:eastAsia="hr-HR"/>
              </w:rPr>
            </w:pPr>
            <w:r w:rsidRPr="009B2E82">
              <w:rPr>
                <w:rFonts w:ascii="Times New Roman" w:eastAsia="Times New Roman" w:hAnsi="Times New Roman" w:cs="Times New Roman"/>
                <w:color w:val="000000"/>
                <w:sz w:val="16"/>
                <w:szCs w:val="16"/>
                <w:lang w:eastAsia="hr-HR"/>
              </w:rPr>
              <w:t>Centar kompetencije za translacijsku medicinu Dječje bolnice Srebrnjak</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2015.,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2018., T2</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43"/>
              <w:jc w:val="both"/>
              <w:rPr>
                <w:rFonts w:ascii="Times New Roman" w:eastAsia="Times New Roman" w:hAnsi="Times New Roman" w:cs="Times New Roman"/>
                <w:color w:val="000000"/>
                <w:spacing w:val="5"/>
                <w:sz w:val="16"/>
                <w:szCs w:val="16"/>
                <w:lang w:eastAsia="hr-HR"/>
              </w:rPr>
            </w:pPr>
            <w:r w:rsidRPr="009B2E82">
              <w:rPr>
                <w:rFonts w:ascii="Times New Roman" w:eastAsia="Times New Roman" w:hAnsi="Times New Roman" w:cs="Times New Roman"/>
                <w:color w:val="000000"/>
                <w:spacing w:val="5"/>
                <w:sz w:val="16"/>
                <w:szCs w:val="16"/>
                <w:lang w:eastAsia="hr-HR"/>
              </w:rPr>
              <w:t>1 - Jačanje gospodarstva primjenom istraživanja i inovacija/1a - Poboljšanje infrastrukture i kapaciteta za istraživanje i inovacije, u cilju razvijanja uspješnosti u istraživanju i inovacijama, te promoviranje centara za kompetencije, posebice onih od europskog interesa</w:t>
            </w:r>
          </w:p>
        </w:tc>
      </w:tr>
      <w:tr w:rsidR="009B2E82" w:rsidRPr="009B2E82" w:rsidTr="009B2E82">
        <w:trPr>
          <w:trHeight w:hRule="exact" w:val="79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10"/>
              <w:rPr>
                <w:rFonts w:ascii="Times New Roman" w:eastAsia="Times New Roman" w:hAnsi="Times New Roman" w:cs="Times New Roman"/>
                <w:color w:val="000000"/>
                <w:sz w:val="16"/>
                <w:szCs w:val="16"/>
                <w:lang w:eastAsia="hr-HR"/>
              </w:rPr>
            </w:pPr>
            <w:r w:rsidRPr="009B2E82">
              <w:rPr>
                <w:rFonts w:ascii="Times New Roman" w:eastAsia="Times New Roman" w:hAnsi="Times New Roman" w:cs="Times New Roman"/>
                <w:color w:val="000000"/>
                <w:sz w:val="16"/>
                <w:szCs w:val="16"/>
                <w:lang w:eastAsia="hr-HR"/>
              </w:rPr>
              <w:t>Izgradnja prometnog koridora Vc, dionica autoceste Beli Manastir-Osijek</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2015.,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2016., 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 xml:space="preserve">7 - </w:t>
            </w:r>
            <w:r w:rsidRPr="009B2E82">
              <w:rPr>
                <w:rFonts w:ascii="Times New Roman" w:eastAsia="Times New Roman" w:hAnsi="Times New Roman" w:cs="Times New Roman"/>
                <w:color w:val="000000"/>
                <w:spacing w:val="5"/>
                <w:sz w:val="16"/>
                <w:szCs w:val="16"/>
                <w:lang w:eastAsia="hr-HR"/>
              </w:rPr>
              <w:t>Povezanost i mobilnost</w:t>
            </w:r>
            <w:r w:rsidRPr="009B2E82">
              <w:rPr>
                <w:rFonts w:ascii="Times New Roman" w:eastAsia="Times New Roman" w:hAnsi="Times New Roman" w:cs="Times New Roman"/>
                <w:color w:val="000000"/>
                <w:spacing w:val="-1"/>
                <w:sz w:val="16"/>
                <w:szCs w:val="16"/>
                <w:lang w:eastAsia="hr-HR"/>
              </w:rPr>
              <w:t>/7b - Poboljšavanje regionalne mobilnosti povezivanjem sekundarnih i tercijarnih čvorišta s infrastrukturom TEN-T-a, uključujući multimodalna čvorišta</w:t>
            </w:r>
          </w:p>
        </w:tc>
      </w:tr>
      <w:tr w:rsidR="009B2E82" w:rsidRPr="009B2E82" w:rsidTr="009B2E82">
        <w:trPr>
          <w:trHeight w:hRule="exact" w:val="80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Izgradnja agregacijskih (posredničkih) mreža nove generacije (NGN) u bijelim i sivim područjima mreža sljedeće generacije u Hrvatskoj</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2015.,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2015., T3</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16"/>
                <w:szCs w:val="16"/>
                <w:lang w:eastAsia="hr-HR"/>
              </w:rPr>
              <w:t>2 - Korištenje informacijskih i komunikacijskih tehnologija / 2a - Daljnji razvoj širokopojasnog pristupa i iskorak prema mrežama velikih brzina i podrška prihvaćanju novih tehnologija i mreža za digitalno gospodarstvo</w:t>
            </w:r>
            <w:r w:rsidRPr="009B2E82" w:rsidDel="00C018A9">
              <w:rPr>
                <w:rFonts w:ascii="Times New Roman" w:eastAsia="Times New Roman" w:hAnsi="Times New Roman" w:cs="Times New Roman"/>
                <w:color w:val="000000"/>
                <w:sz w:val="16"/>
                <w:szCs w:val="16"/>
                <w:lang w:eastAsia="hr-HR"/>
              </w:rPr>
              <w:t xml:space="preserve"> </w:t>
            </w:r>
          </w:p>
        </w:tc>
      </w:tr>
      <w:tr w:rsidR="009B2E82" w:rsidRPr="009B2E82" w:rsidTr="009B2E82">
        <w:trPr>
          <w:trHeight w:hRule="exact" w:val="1162"/>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Zračna luka Dubrovnik</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2014.,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2015., 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4"/>
                <w:sz w:val="16"/>
                <w:szCs w:val="16"/>
                <w:lang w:eastAsia="hr-HR"/>
              </w:rPr>
            </w:pPr>
            <w:r w:rsidRPr="009B2E82">
              <w:rPr>
                <w:rFonts w:ascii="Times New Roman" w:eastAsia="Times New Roman" w:hAnsi="Times New Roman" w:cs="Times New Roman"/>
                <w:color w:val="000000"/>
                <w:spacing w:val="4"/>
                <w:sz w:val="16"/>
                <w:szCs w:val="16"/>
                <w:lang w:eastAsia="hr-HR"/>
              </w:rPr>
              <w:t>7 - Povezanost i mobilnost / 7ii - Razvijanje i unapređenje prometnih sustava prihvatljivih za okoliš (uključujući nisku razinu buke), i prometnih sustava sa niskim emisijama CO2, uključujući unutarnje plovne putove i pomorski prijevoz, luke, multimodalne veze i aerodromsku infrastrukturu, radi promicanja održive regionalne i lokalne mobilnosti</w:t>
            </w:r>
          </w:p>
        </w:tc>
      </w:tr>
      <w:tr w:rsidR="009B2E82" w:rsidRPr="009B2E82" w:rsidTr="009B2E82">
        <w:trPr>
          <w:trHeight w:hRule="exact" w:val="80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GSM-R</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2016.,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Times New Roman" w:eastAsia="Times New Roman" w:hAnsi="Times New Roman" w:cs="Times New Roman"/>
                <w:color w:val="000000"/>
                <w:spacing w:val="5"/>
                <w:sz w:val="16"/>
                <w:szCs w:val="16"/>
                <w:lang w:eastAsia="hr-HR"/>
              </w:rPr>
            </w:pPr>
            <w:r w:rsidRPr="009B2E82">
              <w:rPr>
                <w:rFonts w:ascii="Times New Roman" w:eastAsia="Times New Roman" w:hAnsi="Times New Roman" w:cs="Times New Roman"/>
                <w:color w:val="000000"/>
                <w:spacing w:val="5"/>
                <w:sz w:val="16"/>
                <w:szCs w:val="16"/>
                <w:lang w:eastAsia="hr-HR"/>
              </w:rPr>
              <w:t>7 - Povezanost i mobilnost / 7iii - Razvijanje i sanacija sveobuhvatnih, visokokvalitetnih i interoperabilnih željezničkih sustava te promicanje mjera za smanjenje buke</w:t>
            </w:r>
          </w:p>
        </w:tc>
      </w:tr>
      <w:tr w:rsidR="009B2E82" w:rsidRPr="009B2E82" w:rsidTr="009B2E82">
        <w:trPr>
          <w:trHeight w:hRule="exact" w:val="81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Goljak - Skradnik</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Times New Roman" w:eastAsia="Times New Roman" w:hAnsi="Times New Roman" w:cs="Times New Roman"/>
                <w:color w:val="000000"/>
                <w:spacing w:val="5"/>
                <w:sz w:val="16"/>
                <w:szCs w:val="16"/>
                <w:lang w:eastAsia="hr-HR"/>
              </w:rPr>
            </w:pPr>
            <w:r w:rsidRPr="009B2E82">
              <w:rPr>
                <w:rFonts w:ascii="Times New Roman" w:eastAsia="Times New Roman" w:hAnsi="Times New Roman" w:cs="Times New Roman"/>
                <w:color w:val="000000"/>
                <w:spacing w:val="5"/>
                <w:sz w:val="16"/>
                <w:szCs w:val="16"/>
                <w:lang w:eastAsia="hr-HR"/>
              </w:rPr>
              <w:t>7 - Povezanost i mobilnost / 7iii - Razvijanje i sanacija sveobuhvatnih, visokokvalitetnih i interoperabilnih željezničkih sustava te promicanje mjera za smanjenje buke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200"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200"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197"/>
        <w:gridCol w:w="2208"/>
        <w:gridCol w:w="1949"/>
        <w:gridCol w:w="2189"/>
        <w:gridCol w:w="5395"/>
      </w:tblGrid>
      <w:tr w:rsidR="009B2E82" w:rsidRPr="009B2E82" w:rsidTr="009B2E82">
        <w:trPr>
          <w:trHeight w:hRule="exact" w:val="81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b/>
                <w:color w:val="000000"/>
                <w:spacing w:val="-2"/>
                <w:sz w:val="20"/>
                <w:szCs w:val="20"/>
                <w:lang w:eastAsia="hr-HR"/>
              </w:rPr>
            </w:pPr>
            <w:r w:rsidRPr="009B2E82">
              <w:rPr>
                <w:rFonts w:ascii="Times New Roman" w:eastAsia="Times New Roman" w:hAnsi="Times New Roman" w:cs="Times New Roman"/>
                <w:b/>
                <w:color w:val="000000"/>
                <w:spacing w:val="-2"/>
                <w:sz w:val="20"/>
                <w:szCs w:val="20"/>
                <w:lang w:eastAsia="hr-HR"/>
              </w:rPr>
              <w:lastRenderedPageBreak/>
              <w:t>Projekt</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1" w:right="106"/>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3"/>
                <w:sz w:val="20"/>
                <w:szCs w:val="20"/>
                <w:lang w:eastAsia="hr-HR"/>
              </w:rPr>
              <w:t>Planirani datum obavijesti/podnošenja (godina, tromjesečje)</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 w:right="2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z w:val="20"/>
                <w:szCs w:val="20"/>
                <w:lang w:eastAsia="hr-HR"/>
              </w:rPr>
              <w:t>Planirani početak provedbe (godina, tromjesečje)</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29" w:right="3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5"/>
                <w:sz w:val="20"/>
                <w:szCs w:val="20"/>
                <w:lang w:eastAsia="hr-HR"/>
              </w:rPr>
              <w:t>Planirani rok završetka (godina, tromjesečje)</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76"/>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4"/>
                <w:sz w:val="20"/>
                <w:szCs w:val="20"/>
                <w:lang w:eastAsia="hr-HR"/>
              </w:rPr>
              <w:t>Prioritetne osi/Investicijski prioriteti</w:t>
            </w:r>
          </w:p>
        </w:tc>
      </w:tr>
      <w:tr w:rsidR="009B2E82" w:rsidRPr="009B2E82" w:rsidTr="009B2E82">
        <w:trPr>
          <w:trHeight w:hRule="exact" w:val="694"/>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Most Gradiška</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2015.,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 xml:space="preserve">7 - </w:t>
            </w:r>
            <w:r w:rsidRPr="009B2E82">
              <w:rPr>
                <w:rFonts w:ascii="Times New Roman" w:eastAsia="Times New Roman" w:hAnsi="Times New Roman" w:cs="Times New Roman"/>
                <w:color w:val="000000"/>
                <w:spacing w:val="5"/>
                <w:sz w:val="16"/>
                <w:szCs w:val="16"/>
                <w:lang w:eastAsia="hr-HR"/>
              </w:rPr>
              <w:t>Povezanost i mobilnost</w:t>
            </w:r>
            <w:r w:rsidRPr="009B2E82">
              <w:rPr>
                <w:rFonts w:ascii="Times New Roman" w:eastAsia="Times New Roman" w:hAnsi="Times New Roman" w:cs="Times New Roman"/>
                <w:color w:val="000000"/>
                <w:spacing w:val="-1"/>
                <w:sz w:val="16"/>
                <w:szCs w:val="16"/>
                <w:lang w:eastAsia="hr-HR"/>
              </w:rPr>
              <w:t>/7b - Poboljšavanje regionalne mobilnosti povezivanjem sekundarnih i tercijarnih čvorišta s infrastrukturom TEN-T-a, uključujući multimodalna čvorišta</w:t>
            </w:r>
          </w:p>
        </w:tc>
      </w:tr>
      <w:tr w:rsidR="009B2E82" w:rsidRPr="009B2E82" w:rsidTr="009B2E82">
        <w:trPr>
          <w:trHeight w:hRule="exact" w:val="97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KAŠTELA-TROGIR</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NIN-PRIVLAKA-VRSI-VIR</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2015.,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2016., 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294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OSIJEK</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2016.,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2018., T3</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43"/>
              <w:jc w:val="both"/>
              <w:rPr>
                <w:rFonts w:ascii="Times New Roman" w:eastAsia="Times New Roman" w:hAnsi="Times New Roman" w:cs="Times New Roman"/>
                <w:color w:val="000000"/>
                <w:sz w:val="16"/>
                <w:szCs w:val="16"/>
                <w:lang w:eastAsia="hr-HR"/>
              </w:rPr>
            </w:pPr>
            <w:r w:rsidRPr="009B2E82">
              <w:rPr>
                <w:rFonts w:ascii="Times New Roman" w:eastAsia="Times New Roman" w:hAnsi="Times New Roman" w:cs="Times New Roman"/>
                <w:color w:val="000000"/>
                <w:spacing w:val="5"/>
                <w:sz w:val="16"/>
                <w:szCs w:val="16"/>
                <w:lang w:eastAsia="hr-HR"/>
              </w:rPr>
              <w:t>1 - Jačanje gospodarstva primjenom istraživanja i inovacija</w:t>
            </w:r>
            <w:r w:rsidRPr="009B2E82">
              <w:rPr>
                <w:rFonts w:ascii="Times New Roman" w:eastAsia="Times New Roman" w:hAnsi="Times New Roman" w:cs="Times New Roman"/>
                <w:color w:val="000000"/>
                <w:sz w:val="16"/>
                <w:szCs w:val="16"/>
                <w:lang w:eastAsia="hr-HR"/>
              </w:rPr>
              <w:t>/1b - Promicanje poslovnih ulaganja u istraživanja i inovacije te razvoj veza i sinergija između poduzeća, centara za istraživanje i inovacije i sektora visokog obrazovanja, osobito promicanje ulaganja u razvoj proizvoda i usluga, transfer tehnologija, društvene inovacije, eko-inovacije, aplikacije za javne usluge, poticanje potražnje, umrežavanje, klastere i otvorene inovacije, kroz pametnu specijalizaciju i podržavanje tehnoloških i primijenjenih istraživanja, probnih linija proizvoda, akcija ranog odobravanja proizvoda, naprednih proizvodne sposobnosti i primarne proizvodnje, osobito u ključnim tehnologijama koje potiču razvoj inovacija, te širenje tehnologija opće namjene</w:t>
            </w:r>
          </w:p>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80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Okučani - Vinkovci</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Povezanost i mobilnost/7iii - Razvijanje i sanacija sveobuhvatnih, visokokvalitetnih i interoperabilnih željezničkih sustava te promicanje mjera za smanjenje buke</w:t>
            </w:r>
          </w:p>
        </w:tc>
      </w:tr>
      <w:tr w:rsidR="009B2E82" w:rsidRPr="009B2E82" w:rsidTr="009B2E82">
        <w:trPr>
          <w:trHeight w:hRule="exact" w:val="998"/>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10"/>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Otvorene znanstvene infrastrukturne platforme za inovativne primjene u gospodarstvu i društvu – O-ZIP</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2017., T2</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43"/>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1 - Jačanje gospodarstva primjenom istraživanja i inovacija/1a - Poboljšanje infrastrukture i kapaciteta za istraživanje i inovacije, u cilju razvijanja uspješnosti u istraživanju i inovacijama, te promoviranje centara za kompetencije, posebice onih od europskog interesa</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197"/>
        <w:gridCol w:w="2208"/>
        <w:gridCol w:w="1949"/>
        <w:gridCol w:w="2189"/>
        <w:gridCol w:w="5395"/>
      </w:tblGrid>
      <w:tr w:rsidR="009B2E82" w:rsidRPr="009B2E82" w:rsidTr="009B2E82">
        <w:trPr>
          <w:trHeight w:hRule="exact" w:val="81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b/>
                <w:color w:val="000000"/>
                <w:spacing w:val="-2"/>
                <w:sz w:val="20"/>
                <w:szCs w:val="20"/>
                <w:lang w:eastAsia="hr-HR"/>
              </w:rPr>
            </w:pPr>
            <w:r w:rsidRPr="009B2E82">
              <w:rPr>
                <w:rFonts w:ascii="Times New Roman" w:eastAsia="Times New Roman" w:hAnsi="Times New Roman" w:cs="Times New Roman"/>
                <w:b/>
                <w:color w:val="000000"/>
                <w:spacing w:val="-2"/>
                <w:sz w:val="20"/>
                <w:szCs w:val="20"/>
                <w:lang w:eastAsia="hr-HR"/>
              </w:rPr>
              <w:lastRenderedPageBreak/>
              <w:t>Projekt</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1" w:right="106"/>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3"/>
                <w:sz w:val="20"/>
                <w:szCs w:val="20"/>
                <w:lang w:eastAsia="hr-HR"/>
              </w:rPr>
              <w:t>Planirani datum obavijesti/podnošenja (godina, tromjesečje)</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 w:right="2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z w:val="20"/>
                <w:szCs w:val="20"/>
                <w:lang w:eastAsia="hr-HR"/>
              </w:rPr>
              <w:t>Planirani početak provedbe (godina, tromjesečje)</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29" w:right="3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5"/>
                <w:sz w:val="20"/>
                <w:szCs w:val="20"/>
                <w:lang w:eastAsia="hr-HR"/>
              </w:rPr>
              <w:t>Planirani rok završetka (godina, tromjesečje)</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76"/>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4"/>
                <w:sz w:val="20"/>
                <w:szCs w:val="20"/>
                <w:lang w:eastAsia="hr-HR"/>
              </w:rPr>
              <w:t>Prioritetne osi/Investicijski prioriteti</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3"/>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POREČ</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2016.,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79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Podsused - Samobor</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Povezanost i mobilnost/7iii - Razvijanje i sanacija sveobuhvatnih, visokokvalitetnih i interoperabilnih željezničkih sustava te promicanje mjera za smanjenje buke</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RIJEKA</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REGIONALNI VODOOPSKRBNI SUSTAV ISTOČNA SLAVONIJA</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2015.,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2016., 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REGIONALNI VODOOPSKRBNI SUSTAV ZAGREB ISTOK</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2014.,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2015., T3</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79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Željeznička pruga Dugo Selo - Novska</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2018., 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Povezanost i mobilnost/7iii - Razvijanje i sanacija sveobuhvatnih, visokokvalitetnih i interoperabilnih željezničkih sustava te promicanje mjera za smanjenje buke</w:t>
            </w:r>
          </w:p>
        </w:tc>
      </w:tr>
      <w:tr w:rsidR="009B2E82" w:rsidRPr="009B2E82" w:rsidTr="009B2E82">
        <w:trPr>
          <w:trHeight w:hRule="exact" w:val="80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10" w:right="10"/>
              <w:rPr>
                <w:rFonts w:ascii="Times New Roman" w:eastAsia="Times New Roman" w:hAnsi="Times New Roman" w:cs="Times New Roman"/>
                <w:color w:val="000000"/>
                <w:spacing w:val="4"/>
                <w:sz w:val="16"/>
                <w:szCs w:val="16"/>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10" w:right="10"/>
              <w:rPr>
                <w:rFonts w:ascii="Times New Roman" w:eastAsia="Times New Roman" w:hAnsi="Times New Roman" w:cs="Times New Roman"/>
                <w:color w:val="000000"/>
                <w:spacing w:val="4"/>
                <w:sz w:val="16"/>
                <w:szCs w:val="16"/>
                <w:lang w:eastAsia="hr-HR"/>
              </w:rPr>
            </w:pPr>
            <w:r w:rsidRPr="009B2E82">
              <w:rPr>
                <w:rFonts w:ascii="Times New Roman" w:eastAsia="Times New Roman" w:hAnsi="Times New Roman" w:cs="Times New Roman"/>
                <w:color w:val="000000"/>
                <w:spacing w:val="4"/>
                <w:sz w:val="16"/>
                <w:szCs w:val="16"/>
                <w:lang w:eastAsia="hr-HR"/>
              </w:rPr>
              <w:t>Željeznička pruga Dugo Selo - Križevci (od 2007.-2013., podložno podjeli na faze)</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Povezanost i mobilnost/7iii - Razvijanje i sanacija sveobuhvatnih, visokokvalitetnih i interoperabilnih željezničkih sustava te promicanje mjera za smanjenje buke</w:t>
            </w:r>
          </w:p>
        </w:tc>
      </w:tr>
      <w:tr w:rsidR="009B2E82" w:rsidRPr="009B2E82" w:rsidTr="009B2E82">
        <w:trPr>
          <w:trHeight w:hRule="exact" w:val="79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Željeznička pruga Hrvatski Leskovac - Karlovac</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Povezanost i mobilnost/7iii - Razvijanje i sanacija sveobuhvatnih, visokokvalitetnih i interoperabilnih željezničkih sustava te promicanje mjera za smanjenje buke</w:t>
            </w:r>
          </w:p>
        </w:tc>
      </w:tr>
      <w:tr w:rsidR="009B2E82" w:rsidRPr="009B2E82" w:rsidTr="009B2E82">
        <w:trPr>
          <w:trHeight w:hRule="exact" w:val="754"/>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 w:right="5"/>
              <w:rPr>
                <w:rFonts w:ascii="Times New Roman" w:eastAsia="Times New Roman" w:hAnsi="Times New Roman" w:cs="Times New Roman"/>
                <w:color w:val="000000"/>
                <w:sz w:val="16"/>
                <w:szCs w:val="16"/>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 w:right="5"/>
              <w:rPr>
                <w:rFonts w:ascii="Times New Roman" w:eastAsia="Times New Roman" w:hAnsi="Times New Roman" w:cs="Times New Roman"/>
                <w:color w:val="000000"/>
                <w:sz w:val="16"/>
                <w:szCs w:val="16"/>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 w:right="5"/>
              <w:rPr>
                <w:rFonts w:ascii="Times New Roman" w:eastAsia="Times New Roman" w:hAnsi="Times New Roman" w:cs="Times New Roman"/>
                <w:color w:val="000000"/>
                <w:sz w:val="16"/>
                <w:szCs w:val="16"/>
                <w:lang w:eastAsia="hr-HR"/>
              </w:rPr>
            </w:pPr>
            <w:r w:rsidRPr="009B2E82">
              <w:rPr>
                <w:rFonts w:ascii="Times New Roman" w:eastAsia="Times New Roman" w:hAnsi="Times New Roman" w:cs="Times New Roman"/>
                <w:color w:val="000000"/>
                <w:sz w:val="16"/>
                <w:szCs w:val="16"/>
                <w:lang w:eastAsia="hr-HR"/>
              </w:rPr>
              <w:t>Željeznička pruga Križevci - Koprivnica-državna granica</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2016.,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Povezanost i mobilnost/7iii - Razvijanje i sanacija sveobuhvatnih, visokokvalitetnih i interoperabilnih željezničkih sustava te promicanje mjera za smanjenje buke</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197"/>
        <w:gridCol w:w="2208"/>
        <w:gridCol w:w="1949"/>
        <w:gridCol w:w="2189"/>
        <w:gridCol w:w="5395"/>
      </w:tblGrid>
      <w:tr w:rsidR="009B2E82" w:rsidRPr="009B2E82" w:rsidTr="009B2E82">
        <w:trPr>
          <w:trHeight w:hRule="exact" w:val="81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b/>
                <w:color w:val="000000"/>
                <w:spacing w:val="-2"/>
                <w:sz w:val="20"/>
                <w:szCs w:val="20"/>
                <w:lang w:eastAsia="hr-HR"/>
              </w:rPr>
            </w:pPr>
            <w:r w:rsidRPr="009B2E82">
              <w:rPr>
                <w:rFonts w:ascii="Times New Roman" w:eastAsia="Times New Roman" w:hAnsi="Times New Roman" w:cs="Times New Roman"/>
                <w:b/>
                <w:color w:val="000000"/>
                <w:spacing w:val="-2"/>
                <w:sz w:val="20"/>
                <w:szCs w:val="20"/>
                <w:lang w:eastAsia="hr-HR"/>
              </w:rPr>
              <w:lastRenderedPageBreak/>
              <w:t>Projekt</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1" w:right="106"/>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3"/>
                <w:sz w:val="20"/>
                <w:szCs w:val="20"/>
                <w:lang w:eastAsia="hr-HR"/>
              </w:rPr>
              <w:t>Planirani datum obavijesti/podnošenja (godina, tromjesečje)</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 w:right="2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z w:val="20"/>
                <w:szCs w:val="20"/>
                <w:lang w:eastAsia="hr-HR"/>
              </w:rPr>
              <w:t>Planirani početak provedbe (godina, tromjesečje)</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29" w:right="3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5"/>
                <w:sz w:val="20"/>
                <w:szCs w:val="20"/>
                <w:lang w:eastAsia="hr-HR"/>
              </w:rPr>
              <w:t>Planirani rok završetka (godina, tromjesečje)</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76"/>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4"/>
                <w:sz w:val="20"/>
                <w:szCs w:val="20"/>
                <w:lang w:eastAsia="hr-HR"/>
              </w:rPr>
              <w:t>Prioritetne osi/Investicijski prioriteti</w:t>
            </w:r>
          </w:p>
        </w:tc>
      </w:tr>
      <w:tr w:rsidR="009B2E82" w:rsidRPr="009B2E82" w:rsidTr="009B2E82">
        <w:trPr>
          <w:trHeight w:hRule="exact" w:val="31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562"/>
              <w:jc w:val="both"/>
              <w:rPr>
                <w:rFonts w:ascii="Arial" w:eastAsia="Times New Roman" w:hAnsi="Arial" w:cs="Arial"/>
                <w:sz w:val="20"/>
                <w:szCs w:val="20"/>
                <w:lang w:eastAsia="hr-HR"/>
              </w:rPr>
            </w:pP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Sanacija odlagališta otpada Karepovac</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2017.,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2018.., 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2020., T3</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 - Ulaganje u otpadni sektor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7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
              <w:rPr>
                <w:rFonts w:ascii="Times New Roman" w:eastAsia="Times New Roman" w:hAnsi="Times New Roman" w:cs="Times New Roman"/>
                <w:color w:val="000000"/>
                <w:spacing w:val="4"/>
                <w:sz w:val="16"/>
                <w:szCs w:val="16"/>
                <w:lang w:eastAsia="hr-HR"/>
              </w:rPr>
            </w:pPr>
            <w:r w:rsidRPr="009B2E82">
              <w:rPr>
                <w:rFonts w:ascii="Times New Roman" w:eastAsia="Times New Roman" w:hAnsi="Times New Roman" w:cs="Times New Roman"/>
                <w:color w:val="000000"/>
                <w:spacing w:val="4"/>
                <w:sz w:val="16"/>
                <w:szCs w:val="16"/>
                <w:lang w:eastAsia="hr-HR"/>
              </w:rPr>
              <w:t>Sanacija lokacije visoko zagađene otpadom ("vruća točka") - Sovjak</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2015.,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2016., T3</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 - Ulaganje u otpadni sektor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80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Rijeka D403</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2018., T3</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7 - Povezanost i mobilnost/7b - Poboljšavanje regionalne mobilnosti povezivanjem sekundarnih i tercijarnih čvorišta s infrastrukturom TEN-T-a, uključujući multimodalna čvorišta</w:t>
            </w:r>
          </w:p>
        </w:tc>
      </w:tr>
      <w:tr w:rsidR="009B2E82" w:rsidRPr="009B2E82" w:rsidTr="009B2E82">
        <w:trPr>
          <w:trHeight w:hRule="exact" w:val="79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Cestovna povezanost s južnom Dalmacijom</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2016., T3</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7 - Povezanost i mobilnost/7b - Poboljšavanje regionalne mobilnosti povezivanjem sekundarnih i tercijarnih čvorišta s infrastrukturom TEN-T-a, uključujući multimodalna čvorišta</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4"/>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SPLIT-SOLIN</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80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Treći prometni trak na dionici autoceste Zagreb - Karlovac</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2018., T3</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7 - Povezanost i mobilnost/7b - Poboljšavanje regionalne mobilnosti povezivanjem sekundarnih i tercijarnih čvorišta s infrastrukturom TEN-T-a, uključujući multimodalna čvorišta</w:t>
            </w:r>
          </w:p>
        </w:tc>
      </w:tr>
      <w:tr w:rsidR="009B2E82" w:rsidRPr="009B2E82" w:rsidTr="009B2E82">
        <w:trPr>
          <w:trHeight w:hRule="exact" w:val="79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Centar za upravljanje prometom</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2017.,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2017.,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Povezanost i mobilnost/7iii - Razvijanje i sanacija sveobuhvatnih, visokokvalitetnih i interoperabilnih željezničkih sustava te promicanje mjera za smanjenje buke</w:t>
            </w:r>
          </w:p>
        </w:tc>
      </w:tr>
      <w:tr w:rsidR="009B2E82" w:rsidRPr="009B2E82" w:rsidTr="009B2E82">
        <w:trPr>
          <w:trHeight w:hRule="exact" w:val="998"/>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VELIKA GORICA</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2014.,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2015., T3</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197"/>
        <w:gridCol w:w="2208"/>
        <w:gridCol w:w="1949"/>
        <w:gridCol w:w="2189"/>
        <w:gridCol w:w="5395"/>
      </w:tblGrid>
      <w:tr w:rsidR="009B2E82" w:rsidRPr="009B2E82" w:rsidTr="009B2E82">
        <w:trPr>
          <w:trHeight w:hRule="exact" w:val="81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b/>
                <w:color w:val="000000"/>
                <w:spacing w:val="-2"/>
                <w:sz w:val="20"/>
                <w:szCs w:val="20"/>
                <w:lang w:eastAsia="hr-HR"/>
              </w:rPr>
            </w:pPr>
            <w:r w:rsidRPr="009B2E82">
              <w:rPr>
                <w:rFonts w:ascii="Times New Roman" w:eastAsia="Times New Roman" w:hAnsi="Times New Roman" w:cs="Times New Roman"/>
                <w:b/>
                <w:color w:val="000000"/>
                <w:spacing w:val="-2"/>
                <w:sz w:val="20"/>
                <w:szCs w:val="20"/>
                <w:lang w:eastAsia="hr-HR"/>
              </w:rPr>
              <w:lastRenderedPageBreak/>
              <w:t>Projekt</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1" w:right="106"/>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3"/>
                <w:sz w:val="20"/>
                <w:szCs w:val="20"/>
                <w:lang w:eastAsia="hr-HR"/>
              </w:rPr>
              <w:t>Planirani datum obavijesti/podnošenja (godina, tromjesečje)</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 w:right="2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z w:val="20"/>
                <w:szCs w:val="20"/>
                <w:lang w:eastAsia="hr-HR"/>
              </w:rPr>
              <w:t>Planirani početak provedbe (godina, tromjesečje)</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29" w:right="3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5"/>
                <w:sz w:val="20"/>
                <w:szCs w:val="20"/>
                <w:lang w:eastAsia="hr-HR"/>
              </w:rPr>
              <w:t>Planirani rok završetka (godina, tromjesečje)</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76"/>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4"/>
                <w:sz w:val="20"/>
                <w:szCs w:val="20"/>
                <w:lang w:eastAsia="hr-HR"/>
              </w:rPr>
              <w:t>Prioritetne osi/Investicijski prioriteti</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VUKOVAR</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2016.,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34"/>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79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Vinkovci - Vukovar</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2016.,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2017.,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34"/>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 Povezanost i mobilnost/7iii - Razvijanje i sanacija sveobuhvatnih, visokokvalitetnih i interoperabilnih željezničkih sustava te promicanje mjera za smanjenje buke</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Centar za gospodarenje otpadom Antunovac</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2015., 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2016., 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2018., T3</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34"/>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Centar za gospodarenje otpadom</w:t>
            </w:r>
            <w:r w:rsidRPr="009B2E82">
              <w:rPr>
                <w:rFonts w:ascii="Times New Roman" w:eastAsia="Times New Roman" w:hAnsi="Times New Roman" w:cs="Times New Roman"/>
                <w:color w:val="000000"/>
                <w:spacing w:val="-2"/>
                <w:sz w:val="16"/>
                <w:szCs w:val="16"/>
                <w:lang w:eastAsia="hr-HR"/>
              </w:rPr>
              <w:t xml:space="preserve"> Biljane donje</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2015.,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2015., T3</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2017., T3</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34"/>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Centar za gospodarenje otpadom</w:t>
            </w:r>
            <w:r w:rsidRPr="009B2E82">
              <w:rPr>
                <w:rFonts w:ascii="Times New Roman" w:eastAsia="Times New Roman" w:hAnsi="Times New Roman" w:cs="Times New Roman"/>
                <w:color w:val="000000"/>
                <w:spacing w:val="-2"/>
                <w:sz w:val="16"/>
                <w:szCs w:val="16"/>
                <w:lang w:eastAsia="hr-HR"/>
              </w:rPr>
              <w:t xml:space="preserve"> Grad Zagreb</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2016., T3</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34"/>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7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Centar za gospodarenje otpadom</w:t>
            </w:r>
            <w:r w:rsidRPr="009B2E82">
              <w:rPr>
                <w:rFonts w:ascii="Times New Roman" w:eastAsia="Times New Roman" w:hAnsi="Times New Roman" w:cs="Times New Roman"/>
                <w:color w:val="000000"/>
                <w:spacing w:val="-1"/>
                <w:sz w:val="16"/>
                <w:szCs w:val="16"/>
                <w:lang w:eastAsia="hr-HR"/>
              </w:rPr>
              <w:t xml:space="preserve"> Lećevica</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2018., T2</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34"/>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Centar za gospodarenje otpadom</w:t>
            </w:r>
            <w:r w:rsidRPr="009B2E82">
              <w:rPr>
                <w:rFonts w:ascii="Times New Roman" w:eastAsia="Times New Roman" w:hAnsi="Times New Roman" w:cs="Times New Roman"/>
                <w:color w:val="000000"/>
                <w:spacing w:val="-1"/>
                <w:sz w:val="16"/>
                <w:szCs w:val="16"/>
                <w:lang w:eastAsia="hr-HR"/>
              </w:rPr>
              <w:t xml:space="preserve"> Piskornica</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2014.,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T2</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2017., T3</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34"/>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998"/>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ZABOK-ZLATAR</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2015.,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T4</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2019.,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34"/>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197"/>
        <w:gridCol w:w="2208"/>
        <w:gridCol w:w="1949"/>
        <w:gridCol w:w="2189"/>
        <w:gridCol w:w="5395"/>
      </w:tblGrid>
      <w:tr w:rsidR="009B2E82" w:rsidRPr="009B2E82" w:rsidTr="009B2E82">
        <w:trPr>
          <w:trHeight w:hRule="exact" w:val="816"/>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210"/>
              <w:rPr>
                <w:rFonts w:ascii="Times New Roman" w:eastAsia="Times New Roman" w:hAnsi="Times New Roman" w:cs="Times New Roman"/>
                <w:b/>
                <w:color w:val="000000"/>
                <w:spacing w:val="-2"/>
                <w:sz w:val="20"/>
                <w:szCs w:val="20"/>
                <w:lang w:eastAsia="hr-HR"/>
              </w:rPr>
            </w:pPr>
            <w:r w:rsidRPr="009B2E82">
              <w:rPr>
                <w:rFonts w:ascii="Times New Roman" w:eastAsia="Times New Roman" w:hAnsi="Times New Roman" w:cs="Times New Roman"/>
                <w:b/>
                <w:color w:val="000000"/>
                <w:spacing w:val="-2"/>
                <w:sz w:val="20"/>
                <w:szCs w:val="20"/>
                <w:lang w:eastAsia="hr-HR"/>
              </w:rPr>
              <w:lastRenderedPageBreak/>
              <w:t>Projekt</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1" w:right="106"/>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3"/>
                <w:sz w:val="20"/>
                <w:szCs w:val="20"/>
                <w:lang w:eastAsia="hr-HR"/>
              </w:rPr>
              <w:t>Planirani datum obavijesti/podnošenja (godina, tromjesečje)</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10" w:right="2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z w:val="20"/>
                <w:szCs w:val="20"/>
                <w:lang w:eastAsia="hr-HR"/>
              </w:rPr>
              <w:t>Planirani početak provedbe (godina, tromjesečje)</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06" w:lineRule="exact"/>
              <w:ind w:left="29" w:right="34"/>
              <w:jc w:val="center"/>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5"/>
                <w:sz w:val="20"/>
                <w:szCs w:val="20"/>
                <w:lang w:eastAsia="hr-HR"/>
              </w:rPr>
              <w:t>Planirani rok završetka (godina, tromjesečje)</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176"/>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4"/>
                <w:sz w:val="20"/>
                <w:szCs w:val="20"/>
                <w:lang w:eastAsia="hr-HR"/>
              </w:rPr>
              <w:t>Prioritetne osi/Investicijski prioriteti</w:t>
            </w:r>
          </w:p>
        </w:tc>
      </w:tr>
      <w:tr w:rsidR="009B2E82" w:rsidRPr="009B2E82" w:rsidTr="009B2E82">
        <w:trPr>
          <w:trHeight w:hRule="exact" w:val="989"/>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6"/>
                <w:szCs w:val="16"/>
                <w:lang w:eastAsia="hr-HR"/>
              </w:rPr>
              <w:t>ZAGREB</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2017., T2</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 xml:space="preserve">6 - Zaštita okoliša i održivost resursa/6ii - Ulaganje u sektor otpada kako bi se ispunili zahtjevi pravne stečevine Europske unije u području okoliša i zadovoljile potrebe koje su utvrdile države članice za ulaganjem koje nadilazi te zahtjeve  </w:t>
            </w:r>
          </w:p>
        </w:tc>
      </w:tr>
      <w:tr w:rsidR="009B2E82" w:rsidRPr="009B2E82" w:rsidTr="009B2E82">
        <w:trPr>
          <w:trHeight w:hRule="exact" w:val="1171"/>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 w:right="10"/>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Integrirani prometni sustav zagrebačke regije - 3 županije</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2017., 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2018., T2</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4"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7 - Povezanost i mobilnost/7ii - Razvijanje i unapređenje prometnih sustava prihvatljivih za okoliš (uključujući nisku razinu buke), i prometnih sustava sa niskim emisijama CO2, uključujući unutarnje plovne putove i pomorski prijevoz, luke, multimodalne veze i aerodromsku infrastrukturu, radi promicanja održive regionalne i lokalne mobilnosti</w:t>
            </w:r>
          </w:p>
        </w:tc>
      </w:tr>
      <w:tr w:rsidR="009B2E82" w:rsidRPr="009B2E82" w:rsidTr="009B2E82">
        <w:trPr>
          <w:trHeight w:hRule="exact" w:val="797"/>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5"/>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Zaprešić - Zabok</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2014., 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2015., T1</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2017.,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7 - Povezanost i mobilnost/7iii - Razvijanje i sanacija sveobuhvatnih, visokokvalitetnih i interoperabilnih željezničkih sustava te promicanje mjera za smanjenje buke</w:t>
            </w:r>
          </w:p>
        </w:tc>
      </w:tr>
      <w:tr w:rsidR="009B2E82" w:rsidRPr="009B2E82" w:rsidTr="009B2E82">
        <w:trPr>
          <w:trHeight w:hRule="exact" w:val="2160"/>
        </w:trPr>
        <w:tc>
          <w:tcPr>
            <w:tcW w:w="319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6"/>
                <w:szCs w:val="16"/>
                <w:lang w:eastAsia="hr-HR"/>
              </w:rPr>
            </w:pPr>
            <w:r w:rsidRPr="009B2E82">
              <w:rPr>
                <w:rFonts w:ascii="Times New Roman" w:eastAsia="Times New Roman" w:hAnsi="Times New Roman" w:cs="Times New Roman"/>
                <w:color w:val="000000"/>
                <w:spacing w:val="-1"/>
                <w:sz w:val="16"/>
                <w:szCs w:val="16"/>
                <w:lang w:eastAsia="hr-HR"/>
              </w:rPr>
              <w:t>Projekt  e-Škole</w:t>
            </w:r>
          </w:p>
        </w:tc>
        <w:tc>
          <w:tcPr>
            <w:tcW w:w="220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2016., 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2016., T2</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2020., T4</w:t>
            </w:r>
          </w:p>
        </w:tc>
        <w:tc>
          <w:tcPr>
            <w:tcW w:w="539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16"/>
                <w:szCs w:val="16"/>
                <w:lang w:eastAsia="hr-HR"/>
              </w:rPr>
              <w:t>2 - Korištenje informacijskih i komunikacijskih tehnologija/2a - Proširenje korištenja širokopojasne veze i razvoj brzih mreža te podrška usvajanju nadolazećih tehnologija i mreža za digitalno gospodarstvo</w:t>
            </w:r>
          </w:p>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z w:val="16"/>
                <w:szCs w:val="16"/>
                <w:lang w:eastAsia="hr-HR"/>
              </w:rPr>
              <w:t>2 - Korištenje informacijskih i komunikacijskih tehnologija/2c - Jačanje IKT aplikacija za e-vladu, e-nastavu, e-uključivanje, e-kulturu i e-zdravstvo</w:t>
            </w:r>
          </w:p>
          <w:p w:rsidR="009B2E82" w:rsidRPr="009B2E82" w:rsidRDefault="009B2E82" w:rsidP="009B2E82">
            <w:pPr>
              <w:widowControl w:val="0"/>
              <w:shd w:val="clear" w:color="auto" w:fill="FFFFFF"/>
              <w:autoSpaceDE w:val="0"/>
              <w:autoSpaceDN w:val="0"/>
              <w:adjustRightInd w:val="0"/>
              <w:spacing w:after="0" w:line="182" w:lineRule="exact"/>
              <w:ind w:right="19" w:firstLine="29"/>
              <w:jc w:val="both"/>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9 - Obrazovanje, vještine i cjeloživotno učenje/10a - Ulaganje u obrazovanje, izobrazbu i strukovno osposobljavanje te cjeloživotno učenje</w:t>
            </w:r>
            <w:r w:rsidRPr="009B2E82">
              <w:rPr>
                <w:rFonts w:ascii="Times New Roman" w:eastAsia="Times New Roman" w:hAnsi="Times New Roman" w:cs="Times New Roman"/>
                <w:color w:val="000000"/>
                <w:sz w:val="16"/>
                <w:szCs w:val="16"/>
                <w:lang w:eastAsia="hr-HR"/>
              </w:rPr>
              <w:t xml:space="preserve"> razvojem infrastrukture obrazovanja i izobrazbe</w:t>
            </w:r>
          </w:p>
        </w:tc>
      </w:tr>
    </w:tbl>
    <w:p w:rsidR="009B2E82" w:rsidRPr="009B2E82" w:rsidRDefault="009B2E82" w:rsidP="009B2E82">
      <w:pPr>
        <w:widowControl w:val="0"/>
        <w:shd w:val="clear" w:color="auto" w:fill="FFFFFF"/>
        <w:autoSpaceDE w:val="0"/>
        <w:autoSpaceDN w:val="0"/>
        <w:adjustRightInd w:val="0"/>
        <w:spacing w:before="494" w:after="0" w:line="240" w:lineRule="auto"/>
        <w:ind w:left="552"/>
        <w:rPr>
          <w:rFonts w:ascii="Times New Roman" w:eastAsia="Times New Roman" w:hAnsi="Times New Roman" w:cs="Times New Roman"/>
          <w:b/>
          <w:color w:val="000000"/>
          <w:spacing w:val="-4"/>
          <w:sz w:val="26"/>
          <w:szCs w:val="26"/>
          <w:lang w:eastAsia="hr-HR"/>
        </w:rPr>
      </w:pPr>
      <w:r w:rsidRPr="009B2E82">
        <w:rPr>
          <w:rFonts w:ascii="Times New Roman" w:eastAsia="Times New Roman" w:hAnsi="Times New Roman" w:cs="Times New Roman"/>
          <w:b/>
          <w:color w:val="000000"/>
          <w:spacing w:val="-4"/>
          <w:sz w:val="26"/>
          <w:szCs w:val="26"/>
          <w:lang w:eastAsia="hr-HR"/>
        </w:rPr>
        <w:t>12.2 Okvir uspješnosti operativnog programa</w:t>
      </w:r>
    </w:p>
    <w:p w:rsidR="009B2E82" w:rsidRPr="009B2E82" w:rsidRDefault="009B2E82" w:rsidP="009B2E82">
      <w:pPr>
        <w:widowControl w:val="0"/>
        <w:autoSpaceDE w:val="0"/>
        <w:autoSpaceDN w:val="0"/>
        <w:adjustRightInd w:val="0"/>
        <w:spacing w:after="557" w:line="1" w:lineRule="exact"/>
        <w:rPr>
          <w:rFonts w:ascii="Times New Roman" w:eastAsia="Times New Roman" w:hAnsi="Times New Roman" w:cs="Times New Roman"/>
          <w:b/>
          <w:sz w:val="2"/>
          <w:szCs w:val="2"/>
          <w:lang w:eastAsia="hr-HR"/>
        </w:rPr>
      </w:pPr>
    </w:p>
    <w:tbl>
      <w:tblPr>
        <w:tblW w:w="0" w:type="auto"/>
        <w:tblInd w:w="-38" w:type="dxa"/>
        <w:tblLayout w:type="fixed"/>
        <w:tblCellMar>
          <w:left w:w="40" w:type="dxa"/>
          <w:right w:w="40" w:type="dxa"/>
        </w:tblCellMar>
        <w:tblLook w:val="0000" w:firstRow="0" w:lastRow="0" w:firstColumn="0" w:lastColumn="0" w:noHBand="0" w:noVBand="0"/>
      </w:tblPr>
      <w:tblGrid>
        <w:gridCol w:w="3696"/>
        <w:gridCol w:w="855"/>
        <w:gridCol w:w="1277"/>
        <w:gridCol w:w="1421"/>
        <w:gridCol w:w="1277"/>
        <w:gridCol w:w="989"/>
        <w:gridCol w:w="998"/>
        <w:gridCol w:w="989"/>
        <w:gridCol w:w="1056"/>
        <w:gridCol w:w="672"/>
        <w:gridCol w:w="451"/>
        <w:gridCol w:w="1258"/>
      </w:tblGrid>
      <w:tr w:rsidR="009B2E82" w:rsidRPr="009B2E82" w:rsidTr="009B2E82">
        <w:trPr>
          <w:trHeight w:hRule="exact" w:val="346"/>
        </w:trPr>
        <w:tc>
          <w:tcPr>
            <w:tcW w:w="14939" w:type="dxa"/>
            <w:gridSpan w:val="12"/>
            <w:tcBorders>
              <w:top w:val="nil"/>
              <w:left w:val="nil"/>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3"/>
                <w:sz w:val="26"/>
                <w:szCs w:val="26"/>
                <w:lang w:eastAsia="hr-HR"/>
              </w:rPr>
            </w:pPr>
            <w:r w:rsidRPr="009B2E82">
              <w:rPr>
                <w:rFonts w:ascii="Times New Roman" w:eastAsia="Times New Roman" w:hAnsi="Times New Roman" w:cs="Times New Roman"/>
                <w:b/>
                <w:color w:val="000000"/>
                <w:spacing w:val="-6"/>
                <w:sz w:val="26"/>
                <w:szCs w:val="26"/>
                <w:lang w:eastAsia="hr-HR"/>
              </w:rPr>
              <w:t xml:space="preserve">Tablica </w:t>
            </w:r>
            <w:r w:rsidRPr="009B2E82">
              <w:rPr>
                <w:rFonts w:ascii="Times New Roman" w:eastAsia="Times New Roman" w:hAnsi="Times New Roman" w:cs="Times New Roman"/>
                <w:b/>
                <w:color w:val="000000"/>
                <w:sz w:val="24"/>
                <w:szCs w:val="24"/>
                <w:lang w:eastAsia="hr-HR"/>
              </w:rPr>
              <w:t xml:space="preserve">28: </w:t>
            </w:r>
            <w:r w:rsidRPr="009B2E82">
              <w:rPr>
                <w:rFonts w:ascii="Times New Roman" w:eastAsia="Times New Roman" w:hAnsi="Times New Roman" w:cs="Times New Roman"/>
                <w:b/>
                <w:color w:val="000000"/>
                <w:spacing w:val="-3"/>
                <w:sz w:val="26"/>
                <w:szCs w:val="26"/>
                <w:lang w:eastAsia="hr-HR"/>
              </w:rPr>
              <w:t>Okvir uspješnosti po fondu i kategoriji regije (sažeti tablični pregled)</w:t>
            </w:r>
          </w:p>
        </w:tc>
      </w:tr>
      <w:tr w:rsidR="009B2E82" w:rsidRPr="009B2E82" w:rsidTr="009B2E82">
        <w:trPr>
          <w:trHeight w:hRule="exact" w:val="442"/>
        </w:trPr>
        <w:tc>
          <w:tcPr>
            <w:tcW w:w="3696" w:type="dxa"/>
            <w:vMerge w:val="restart"/>
            <w:tcBorders>
              <w:top w:val="single" w:sz="6" w:space="0" w:color="auto"/>
              <w:left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Prioritetna os</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855" w:type="dxa"/>
            <w:vMerge w:val="restart"/>
            <w:tcBorders>
              <w:top w:val="single" w:sz="6" w:space="0" w:color="auto"/>
              <w:left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5"/>
                <w:sz w:val="16"/>
                <w:szCs w:val="16"/>
                <w:lang w:eastAsia="hr-HR"/>
              </w:rPr>
              <w:t>Fond</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b/>
                <w:bCs/>
                <w:color w:val="000000"/>
                <w:sz w:val="16"/>
                <w:szCs w:val="16"/>
                <w:lang w:eastAsia="hr-HR"/>
              </w:rPr>
            </w:pPr>
            <w:r w:rsidRPr="009B2E82">
              <w:rPr>
                <w:rFonts w:ascii="Times New Roman" w:eastAsia="Times New Roman" w:hAnsi="Times New Roman" w:cs="Times New Roman"/>
                <w:b/>
                <w:bCs/>
                <w:color w:val="000000"/>
                <w:sz w:val="16"/>
                <w:szCs w:val="16"/>
                <w:lang w:eastAsia="hr-HR"/>
              </w:rPr>
              <w:t>Kategorija regije</w:t>
            </w:r>
          </w:p>
        </w:tc>
        <w:tc>
          <w:tcPr>
            <w:tcW w:w="1421"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b/>
                <w:bCs/>
                <w:color w:val="000000"/>
                <w:spacing w:val="-2"/>
                <w:sz w:val="16"/>
                <w:szCs w:val="16"/>
                <w:lang w:eastAsia="hr-HR"/>
              </w:rPr>
            </w:pPr>
            <w:r w:rsidRPr="009B2E82">
              <w:rPr>
                <w:rFonts w:ascii="Times New Roman" w:eastAsia="Times New Roman" w:hAnsi="Times New Roman" w:cs="Times New Roman"/>
                <w:b/>
                <w:bCs/>
                <w:color w:val="000000"/>
                <w:spacing w:val="-2"/>
                <w:sz w:val="16"/>
                <w:szCs w:val="16"/>
                <w:lang w:eastAsia="hr-HR"/>
              </w:rPr>
              <w:t>Pokazatelj ili glavni provedbeni korak</w:t>
            </w: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b/>
                <w:bCs/>
                <w:color w:val="000000"/>
                <w:spacing w:val="-2"/>
                <w:sz w:val="16"/>
                <w:szCs w:val="16"/>
                <w:lang w:eastAsia="hr-HR"/>
              </w:rPr>
            </w:pPr>
            <w:r w:rsidRPr="009B2E82">
              <w:rPr>
                <w:rFonts w:ascii="Times New Roman" w:eastAsia="Times New Roman" w:hAnsi="Times New Roman" w:cs="Times New Roman"/>
                <w:b/>
                <w:bCs/>
                <w:color w:val="000000"/>
                <w:spacing w:val="-2"/>
                <w:sz w:val="16"/>
                <w:szCs w:val="16"/>
                <w:lang w:eastAsia="hr-HR"/>
              </w:rPr>
              <w:t>Mjerna jedinica, po potrebi</w:t>
            </w: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39"/>
              <w:rPr>
                <w:rFonts w:ascii="Times New Roman" w:eastAsia="Times New Roman" w:hAnsi="Times New Roman" w:cs="Times New Roman"/>
                <w:b/>
                <w:bCs/>
                <w:color w:val="000000"/>
                <w:spacing w:val="-1"/>
                <w:sz w:val="16"/>
                <w:szCs w:val="16"/>
                <w:lang w:eastAsia="hr-HR"/>
              </w:rPr>
            </w:pPr>
            <w:r w:rsidRPr="009B2E82">
              <w:rPr>
                <w:rFonts w:ascii="Times New Roman" w:eastAsia="Times New Roman" w:hAnsi="Times New Roman" w:cs="Times New Roman"/>
                <w:b/>
                <w:bCs/>
                <w:color w:val="000000"/>
                <w:spacing w:val="-1"/>
                <w:sz w:val="16"/>
                <w:szCs w:val="16"/>
                <w:lang w:eastAsia="hr-HR"/>
              </w:rPr>
              <w:t>Kontrolna točka za 2018.</w:t>
            </w:r>
          </w:p>
        </w:tc>
        <w:tc>
          <w:tcPr>
            <w:tcW w:w="3437" w:type="dxa"/>
            <w:gridSpan w:val="4"/>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16"/>
                <w:szCs w:val="16"/>
                <w:lang w:eastAsia="hr-HR"/>
              </w:rPr>
            </w:pPr>
            <w:r w:rsidRPr="009B2E82">
              <w:rPr>
                <w:rFonts w:ascii="Times New Roman" w:eastAsia="Times New Roman" w:hAnsi="Times New Roman" w:cs="Times New Roman"/>
                <w:b/>
                <w:bCs/>
                <w:color w:val="000000"/>
                <w:sz w:val="16"/>
                <w:szCs w:val="16"/>
                <w:lang w:eastAsia="hr-HR"/>
              </w:rPr>
              <w:t>Konačni cilj (2023.)</w:t>
            </w:r>
          </w:p>
        </w:tc>
      </w:tr>
      <w:tr w:rsidR="009B2E82" w:rsidRPr="009B2E82" w:rsidTr="009B2E82">
        <w:trPr>
          <w:trHeight w:hRule="exact" w:val="490"/>
        </w:trPr>
        <w:tc>
          <w:tcPr>
            <w:tcW w:w="3696" w:type="dxa"/>
            <w:vMerge/>
            <w:tcBorders>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855" w:type="dxa"/>
            <w:vMerge/>
            <w:tcBorders>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8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8"/>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7"/>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U</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22"/>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M</w:t>
            </w:r>
          </w:p>
        </w:tc>
        <w:tc>
          <w:tcPr>
            <w:tcW w:w="672" w:type="dxa"/>
            <w:tcBorders>
              <w:top w:val="single" w:sz="6" w:space="0" w:color="auto"/>
              <w:left w:val="single" w:sz="6" w:space="0" w:color="auto"/>
              <w:bottom w:val="single" w:sz="6" w:space="0" w:color="auto"/>
              <w:right w:val="nil"/>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right"/>
              <w:rPr>
                <w:rFonts w:ascii="Arial" w:eastAsia="Times New Roman" w:hAnsi="Arial" w:cs="Arial"/>
                <w:sz w:val="20"/>
                <w:szCs w:val="20"/>
                <w:lang w:eastAsia="hr-HR"/>
              </w:rPr>
            </w:pPr>
          </w:p>
        </w:tc>
        <w:tc>
          <w:tcPr>
            <w:tcW w:w="451" w:type="dxa"/>
            <w:tcBorders>
              <w:top w:val="single" w:sz="6" w:space="0" w:color="auto"/>
              <w:left w:val="nil"/>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U</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696"/>
        <w:gridCol w:w="854"/>
        <w:gridCol w:w="1277"/>
        <w:gridCol w:w="1421"/>
        <w:gridCol w:w="1277"/>
        <w:gridCol w:w="989"/>
        <w:gridCol w:w="998"/>
        <w:gridCol w:w="989"/>
        <w:gridCol w:w="1056"/>
        <w:gridCol w:w="1123"/>
        <w:gridCol w:w="1258"/>
      </w:tblGrid>
      <w:tr w:rsidR="009B2E82" w:rsidRPr="009B2E82" w:rsidTr="009B2E82">
        <w:trPr>
          <w:trHeight w:hRule="exact" w:val="442"/>
        </w:trPr>
        <w:tc>
          <w:tcPr>
            <w:tcW w:w="3696"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lastRenderedPageBreak/>
              <w:t>Prioritetna os</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tc>
        <w:tc>
          <w:tcPr>
            <w:tcW w:w="854"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5"/>
                <w:sz w:val="16"/>
                <w:szCs w:val="16"/>
                <w:lang w:eastAsia="hr-HR"/>
              </w:rPr>
              <w:t>Fond</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r w:rsidRPr="009B2E82">
              <w:rPr>
                <w:rFonts w:ascii="Times New Roman" w:eastAsia="Times New Roman" w:hAnsi="Times New Roman" w:cs="Times New Roman"/>
                <w:b/>
                <w:bCs/>
                <w:color w:val="000000"/>
                <w:sz w:val="16"/>
                <w:szCs w:val="16"/>
                <w:lang w:eastAsia="hr-HR"/>
              </w:rPr>
              <w:t>Kategorija regije</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tc>
        <w:tc>
          <w:tcPr>
            <w:tcW w:w="1421"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r w:rsidRPr="009B2E82">
              <w:rPr>
                <w:rFonts w:ascii="Times New Roman" w:eastAsia="Times New Roman" w:hAnsi="Times New Roman" w:cs="Times New Roman"/>
                <w:b/>
                <w:bCs/>
                <w:color w:val="000000"/>
                <w:spacing w:val="-2"/>
                <w:sz w:val="16"/>
                <w:szCs w:val="16"/>
                <w:lang w:eastAsia="hr-HR"/>
              </w:rPr>
              <w:t>Pokazatelj ili glavni provedbeni korak</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3" w:right="5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Mjerna jedinica, po potrebi</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Arial" w:eastAsia="Times New Roman" w:hAnsi="Arial" w:cs="Arial"/>
                <w:sz w:val="20"/>
                <w:szCs w:val="20"/>
                <w:lang w:eastAsia="hr-HR"/>
              </w:rPr>
            </w:pP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39"/>
              <w:rPr>
                <w:rFonts w:ascii="Times New Roman" w:eastAsia="Times New Roman" w:hAnsi="Times New Roman" w:cs="Times New Roman"/>
                <w:color w:val="000000"/>
                <w:spacing w:val="-8"/>
                <w:sz w:val="18"/>
                <w:szCs w:val="18"/>
                <w:lang w:eastAsia="hr-HR"/>
              </w:rPr>
            </w:pPr>
            <w:r w:rsidRPr="009B2E82">
              <w:rPr>
                <w:rFonts w:ascii="Times New Roman" w:eastAsia="Times New Roman" w:hAnsi="Times New Roman" w:cs="Times New Roman"/>
                <w:b/>
                <w:bCs/>
                <w:color w:val="000000"/>
                <w:spacing w:val="-1"/>
                <w:sz w:val="16"/>
                <w:szCs w:val="16"/>
                <w:lang w:eastAsia="hr-HR"/>
              </w:rPr>
              <w:t>Kontrolna točka za 2018.</w:t>
            </w:r>
          </w:p>
        </w:tc>
        <w:tc>
          <w:tcPr>
            <w:tcW w:w="3437"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0"/>
              <w:rPr>
                <w:rFonts w:ascii="Times New Roman" w:eastAsia="Times New Roman" w:hAnsi="Times New Roman" w:cs="Times New Roman"/>
                <w:color w:val="000000"/>
                <w:spacing w:val="-6"/>
                <w:sz w:val="18"/>
                <w:szCs w:val="18"/>
                <w:lang w:eastAsia="hr-HR"/>
              </w:rPr>
            </w:pPr>
            <w:r w:rsidRPr="009B2E82">
              <w:rPr>
                <w:rFonts w:ascii="Times New Roman" w:eastAsia="Times New Roman" w:hAnsi="Times New Roman" w:cs="Times New Roman"/>
                <w:b/>
                <w:bCs/>
                <w:color w:val="000000"/>
                <w:sz w:val="16"/>
                <w:szCs w:val="16"/>
                <w:lang w:eastAsia="hr-HR"/>
              </w:rPr>
              <w:t>Konačni cilj (2023.)</w:t>
            </w:r>
          </w:p>
        </w:tc>
      </w:tr>
      <w:tr w:rsidR="009B2E82" w:rsidRPr="009B2E82" w:rsidTr="009B2E82">
        <w:trPr>
          <w:trHeight w:hRule="exact" w:val="490"/>
        </w:trPr>
        <w:tc>
          <w:tcPr>
            <w:tcW w:w="3696"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8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8"/>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17"/>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U</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22"/>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M</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346"/>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U</w:t>
            </w:r>
          </w:p>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10" w:right="154" w:firstLine="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1 - Jačanje gospodarstva primjenom istraživanja i inovacija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4" w:lineRule="exact"/>
              <w:ind w:right="106"/>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Produktivno ulaganje: Broj poduzeća koja primaju bespovratna sredstva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Poduzeća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60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300,00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9" w:lineRule="exact"/>
              <w:ind w:left="10" w:right="154" w:firstLine="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1 - Jačanje gospodarstva primjenom istraživanja i inovacija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171,150.352,00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782,108.429,00</w:t>
            </w:r>
          </w:p>
        </w:tc>
      </w:tr>
      <w:tr w:rsidR="009B2E82" w:rsidRPr="009B2E82" w:rsidTr="009B2E82">
        <w:trPr>
          <w:trHeight w:hRule="exact" w:val="528"/>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4" w:lineRule="exact"/>
              <w:ind w:left="10" w:right="154" w:firstLine="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1 - Jačanje gospodarstva primjenom istraživanja i inovacija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integriranih projekata istraživanja, razvoja i inovacija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4,00</w:t>
            </w:r>
          </w:p>
        </w:tc>
      </w:tr>
      <w:tr w:rsidR="009B2E82" w:rsidRPr="009B2E82" w:rsidTr="009B2E82">
        <w:trPr>
          <w:trHeight w:hRule="exact" w:val="806"/>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2 - Korištenje informacijskih i komunikacijskih tehnologija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IKT infrastruktura: Dodatna kućanstva sa širokopojasnim pristupom od najmanje 30 Mbps</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Kućanstva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80.000,00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315.000,00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2 - Korištenje informacijskih i komunikacijskih tehnologija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82,114.179,00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375,238.443,00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2 - Korištenje informacijskih i komunikacijskih tehnologija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institucija integriranih u Vladin oblak</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40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300,00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3 - Poslovna konkurentnost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253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1.263,00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3 - Poslovna konkurentnost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Produktivno ulaganje: Broj poduzeća koja primaju potporu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Poduzeća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1.137</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3.445,00</w:t>
            </w:r>
          </w:p>
        </w:tc>
      </w:tr>
      <w:tr w:rsidR="009B2E82" w:rsidRPr="009B2E82" w:rsidTr="009B2E82">
        <w:trPr>
          <w:trHeight w:hRule="exact" w:val="941"/>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4 - Promicanje energetske učinkovitosti i obnovljivih izvora energije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Energetska učinkovitost: Broj  kućanstava s poboljšanom klasifikacijom potrošnje energije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Kućanstva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6.000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60.669,00</w:t>
            </w:r>
          </w:p>
        </w:tc>
      </w:tr>
      <w:tr w:rsidR="009B2E82" w:rsidRPr="009B2E82" w:rsidTr="009B2E82">
        <w:trPr>
          <w:trHeight w:hRule="exact" w:val="960"/>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4 - Promicanje energetske učinkovitosti i obnovljivih izvora energije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Energetska učinkovitost: Smanjenje godišnje primarne potrošnje energije zgrada javne namjene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kWh /godina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135,000.000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213,000.000,00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696"/>
        <w:gridCol w:w="854"/>
        <w:gridCol w:w="1277"/>
        <w:gridCol w:w="1421"/>
        <w:gridCol w:w="1277"/>
        <w:gridCol w:w="989"/>
        <w:gridCol w:w="998"/>
        <w:gridCol w:w="989"/>
        <w:gridCol w:w="1056"/>
        <w:gridCol w:w="1123"/>
        <w:gridCol w:w="1258"/>
      </w:tblGrid>
      <w:tr w:rsidR="009B2E82" w:rsidRPr="009B2E82" w:rsidTr="009B2E82">
        <w:trPr>
          <w:trHeight w:hRule="exact" w:val="442"/>
        </w:trPr>
        <w:tc>
          <w:tcPr>
            <w:tcW w:w="3696"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lastRenderedPageBreak/>
              <w:t>Prioritetna os</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tc>
        <w:tc>
          <w:tcPr>
            <w:tcW w:w="854"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5"/>
                <w:sz w:val="16"/>
                <w:szCs w:val="16"/>
                <w:lang w:eastAsia="hr-HR"/>
              </w:rPr>
              <w:t>Fond</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r w:rsidRPr="009B2E82">
              <w:rPr>
                <w:rFonts w:ascii="Times New Roman" w:eastAsia="Times New Roman" w:hAnsi="Times New Roman" w:cs="Times New Roman"/>
                <w:b/>
                <w:bCs/>
                <w:color w:val="000000"/>
                <w:sz w:val="16"/>
                <w:szCs w:val="16"/>
                <w:lang w:eastAsia="hr-HR"/>
              </w:rPr>
              <w:t>Kategorija regije</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tc>
        <w:tc>
          <w:tcPr>
            <w:tcW w:w="1421"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r w:rsidRPr="009B2E82">
              <w:rPr>
                <w:rFonts w:ascii="Times New Roman" w:eastAsia="Times New Roman" w:hAnsi="Times New Roman" w:cs="Times New Roman"/>
                <w:b/>
                <w:bCs/>
                <w:color w:val="000000"/>
                <w:spacing w:val="-2"/>
                <w:sz w:val="16"/>
                <w:szCs w:val="16"/>
                <w:lang w:eastAsia="hr-HR"/>
              </w:rPr>
              <w:t>Pokazatelj ili glavni provedbeni korak</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3" w:right="5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Mjerna jedinica, po potrebi</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39"/>
              <w:rPr>
                <w:rFonts w:ascii="Times New Roman" w:eastAsia="Times New Roman" w:hAnsi="Times New Roman" w:cs="Times New Roman"/>
                <w:color w:val="000000"/>
                <w:spacing w:val="-8"/>
                <w:sz w:val="18"/>
                <w:szCs w:val="18"/>
                <w:lang w:eastAsia="hr-HR"/>
              </w:rPr>
            </w:pPr>
            <w:r w:rsidRPr="009B2E82">
              <w:rPr>
                <w:rFonts w:ascii="Times New Roman" w:eastAsia="Times New Roman" w:hAnsi="Times New Roman" w:cs="Times New Roman"/>
                <w:b/>
                <w:bCs/>
                <w:color w:val="000000"/>
                <w:spacing w:val="-1"/>
                <w:sz w:val="16"/>
                <w:szCs w:val="16"/>
                <w:lang w:eastAsia="hr-HR"/>
              </w:rPr>
              <w:t>Kontrolna točka za 2018.</w:t>
            </w:r>
          </w:p>
        </w:tc>
        <w:tc>
          <w:tcPr>
            <w:tcW w:w="3437"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0"/>
              <w:rPr>
                <w:rFonts w:ascii="Times New Roman" w:eastAsia="Times New Roman" w:hAnsi="Times New Roman" w:cs="Times New Roman"/>
                <w:color w:val="000000"/>
                <w:spacing w:val="-6"/>
                <w:sz w:val="18"/>
                <w:szCs w:val="18"/>
                <w:lang w:eastAsia="hr-HR"/>
              </w:rPr>
            </w:pPr>
            <w:r w:rsidRPr="009B2E82">
              <w:rPr>
                <w:rFonts w:ascii="Times New Roman" w:eastAsia="Times New Roman" w:hAnsi="Times New Roman" w:cs="Times New Roman"/>
                <w:b/>
                <w:bCs/>
                <w:color w:val="000000"/>
                <w:sz w:val="16"/>
                <w:szCs w:val="16"/>
                <w:lang w:eastAsia="hr-HR"/>
              </w:rPr>
              <w:t>Konačni cilj (2023.)</w:t>
            </w:r>
          </w:p>
        </w:tc>
      </w:tr>
      <w:tr w:rsidR="009B2E82" w:rsidRPr="009B2E82" w:rsidTr="009B2E82">
        <w:trPr>
          <w:trHeight w:hRule="exact" w:val="490"/>
        </w:trPr>
        <w:tc>
          <w:tcPr>
            <w:tcW w:w="3696"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8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8"/>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U</w:t>
            </w:r>
          </w:p>
          <w:p w:rsidR="009B2E82" w:rsidRPr="009B2E82" w:rsidRDefault="009B2E82" w:rsidP="009B2E82">
            <w:pPr>
              <w:widowControl w:val="0"/>
              <w:shd w:val="clear" w:color="auto" w:fill="FFFFFF"/>
              <w:autoSpaceDE w:val="0"/>
              <w:autoSpaceDN w:val="0"/>
              <w:adjustRightInd w:val="0"/>
              <w:spacing w:after="0" w:line="240" w:lineRule="auto"/>
              <w:ind w:left="317"/>
              <w:rPr>
                <w:rFonts w:ascii="Arial" w:eastAsia="Times New Roman" w:hAnsi="Arial" w:cs="Arial"/>
                <w:sz w:val="20"/>
                <w:szCs w:val="20"/>
                <w:lang w:eastAsia="hr-HR"/>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Arial" w:eastAsia="Times New Roman" w:hAnsi="Arial" w:cs="Arial"/>
                <w:sz w:val="20"/>
                <w:szCs w:val="20"/>
                <w:lang w:eastAsia="hr-HR"/>
              </w:rPr>
              <w:t>M</w:t>
            </w:r>
          </w:p>
          <w:p w:rsidR="009B2E82" w:rsidRPr="009B2E82" w:rsidRDefault="009B2E82" w:rsidP="009B2E82">
            <w:pPr>
              <w:widowControl w:val="0"/>
              <w:shd w:val="clear" w:color="auto" w:fill="FFFFFF"/>
              <w:autoSpaceDE w:val="0"/>
              <w:autoSpaceDN w:val="0"/>
              <w:adjustRightInd w:val="0"/>
              <w:spacing w:after="0" w:line="240" w:lineRule="auto"/>
              <w:ind w:left="322"/>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346"/>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U</w:t>
            </w:r>
          </w:p>
          <w:p w:rsidR="009B2E82" w:rsidRPr="009B2E82" w:rsidRDefault="009B2E82" w:rsidP="009B2E82">
            <w:pPr>
              <w:widowControl w:val="0"/>
              <w:shd w:val="clear" w:color="auto" w:fill="FFFFFF"/>
              <w:autoSpaceDE w:val="0"/>
              <w:autoSpaceDN w:val="0"/>
              <w:adjustRightInd w:val="0"/>
              <w:spacing w:after="0" w:line="240" w:lineRule="auto"/>
              <w:ind w:left="442"/>
              <w:rPr>
                <w:rFonts w:ascii="Arial" w:eastAsia="Times New Roman" w:hAnsi="Arial" w:cs="Arial"/>
                <w:sz w:val="20"/>
                <w:szCs w:val="20"/>
                <w:lang w:eastAsia="hr-HR"/>
              </w:rPr>
            </w:pP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4 - Promicanje energetske učinkovitosti i obnovljivih izvora energije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123.475.833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531,810.805,00</w:t>
            </w:r>
          </w:p>
        </w:tc>
      </w:tr>
      <w:tr w:rsidR="009B2E82" w:rsidRPr="009B2E82" w:rsidTr="009B2E82">
        <w:trPr>
          <w:trHeight w:hRule="exact" w:val="941"/>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4 - Promicanje energetske učinkovitosti i obnovljivih izvora energije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zgrada (javnih i stambenih) za koje je potpisan ugovor o radovima na energetskoj obnovi</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6.000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12.000,00</w:t>
            </w:r>
          </w:p>
        </w:tc>
      </w:tr>
      <w:tr w:rsidR="009B2E82" w:rsidRPr="009B2E82" w:rsidTr="009B2E82">
        <w:trPr>
          <w:trHeight w:hRule="exact" w:val="806"/>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5 - Klimatske promjene i upravljanje rizicima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Nadzor i sprječavanje rizika: Stanovništvo koje ostvaruje korist od mjera obrane od poplave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Osobe</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5.000,00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5 - Klimatske promjene i upravljanje rizicima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57.151.981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245,396.147,00</w:t>
            </w:r>
          </w:p>
        </w:tc>
      </w:tr>
      <w:tr w:rsidR="009B2E82" w:rsidRPr="009B2E82" w:rsidTr="009B2E82">
        <w:trPr>
          <w:trHeight w:hRule="exact" w:val="941"/>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5 - Klimatske promjene i upravljanje rizicima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obuka/edukativnih aktivnosti (za osoblje organizacija odgovornih za upravljanje rizicima/katastrofama)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10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2"/>
                <w:szCs w:val="12"/>
                <w:lang w:eastAsia="hr-HR"/>
              </w:rPr>
              <w:t>10,00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5 - Klimatske promjene i upravljanje rizicima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 xml:space="preserve">Broj  kompletno analiziranih područja za upravljanje poplavama.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12</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12"/>
                <w:szCs w:val="12"/>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Arial" w:eastAsia="Times New Roman" w:hAnsi="Arial" w:cs="Arial"/>
                <w:sz w:val="12"/>
                <w:szCs w:val="12"/>
                <w:lang w:eastAsia="hr-HR"/>
              </w:rPr>
              <w:t xml:space="preserve">                          </w:t>
            </w:r>
            <w:r w:rsidRPr="009B2E82">
              <w:rPr>
                <w:rFonts w:ascii="Times New Roman" w:eastAsia="Times New Roman" w:hAnsi="Times New Roman" w:cs="Times New Roman"/>
                <w:sz w:val="12"/>
                <w:szCs w:val="12"/>
                <w:lang w:eastAsia="hr-HR"/>
              </w:rPr>
              <w:t>34,00</w:t>
            </w:r>
          </w:p>
        </w:tc>
      </w:tr>
      <w:tr w:rsidR="009B2E82" w:rsidRPr="009B2E82" w:rsidTr="009B2E82">
        <w:trPr>
          <w:trHeight w:hRule="exact" w:val="1075"/>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12"/>
                <w:szCs w:val="12"/>
                <w:lang w:eastAsia="hr-HR"/>
              </w:rPr>
            </w:pPr>
            <w:r w:rsidRPr="009B2E82">
              <w:rPr>
                <w:rFonts w:ascii="Times New Roman" w:eastAsia="Times New Roman" w:hAnsi="Times New Roman" w:cs="Times New Roman"/>
                <w:color w:val="000000"/>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Održivi turizam: Porast očekivanog broja posjeta podržanim mjestima i atrakcijama kulturne i prirodne baštine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Posjeti/godina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31.000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p>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 xml:space="preserve">                 310.000,00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12"/>
                <w:szCs w:val="12"/>
                <w:lang w:eastAsia="hr-HR"/>
              </w:rPr>
            </w:pPr>
            <w:r w:rsidRPr="009B2E82">
              <w:rPr>
                <w:rFonts w:ascii="Times New Roman" w:eastAsia="Times New Roman" w:hAnsi="Times New Roman" w:cs="Times New Roman"/>
                <w:color w:val="000000"/>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77.744.690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338,020.392,00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12"/>
                <w:szCs w:val="12"/>
                <w:lang w:eastAsia="hr-HR"/>
              </w:rPr>
            </w:pPr>
            <w:r w:rsidRPr="009B2E82">
              <w:rPr>
                <w:rFonts w:ascii="Times New Roman" w:eastAsia="Times New Roman" w:hAnsi="Times New Roman" w:cs="Times New Roman"/>
                <w:color w:val="000000"/>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Odobreni projekti kulturne i prirodne baštine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12</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20,00</w:t>
            </w:r>
          </w:p>
        </w:tc>
      </w:tr>
      <w:tr w:rsidR="009B2E82" w:rsidRPr="009B2E82" w:rsidTr="009B2E82">
        <w:trPr>
          <w:trHeight w:hRule="exact" w:val="566"/>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Obrada otpadnih voda: Dodatno stanovništvo obuhvaćeno uslugom poboljšane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Ekvivalent stanovnika</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200.000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1,000.000,00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696"/>
        <w:gridCol w:w="854"/>
        <w:gridCol w:w="1277"/>
        <w:gridCol w:w="1421"/>
        <w:gridCol w:w="1277"/>
        <w:gridCol w:w="989"/>
        <w:gridCol w:w="998"/>
        <w:gridCol w:w="989"/>
        <w:gridCol w:w="1056"/>
        <w:gridCol w:w="1123"/>
        <w:gridCol w:w="1258"/>
      </w:tblGrid>
      <w:tr w:rsidR="009B2E82" w:rsidRPr="009B2E82" w:rsidTr="009B2E82">
        <w:trPr>
          <w:trHeight w:hRule="exact" w:val="442"/>
        </w:trPr>
        <w:tc>
          <w:tcPr>
            <w:tcW w:w="3696"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lastRenderedPageBreak/>
              <w:t>Prioritetna os</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tc>
        <w:tc>
          <w:tcPr>
            <w:tcW w:w="854"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5"/>
                <w:sz w:val="16"/>
                <w:szCs w:val="16"/>
                <w:lang w:eastAsia="hr-HR"/>
              </w:rPr>
              <w:t>Fond</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r w:rsidRPr="009B2E82">
              <w:rPr>
                <w:rFonts w:ascii="Times New Roman" w:eastAsia="Times New Roman" w:hAnsi="Times New Roman" w:cs="Times New Roman"/>
                <w:b/>
                <w:bCs/>
                <w:color w:val="000000"/>
                <w:sz w:val="16"/>
                <w:szCs w:val="16"/>
                <w:lang w:eastAsia="hr-HR"/>
              </w:rPr>
              <w:t>Kategorija regije</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tc>
        <w:tc>
          <w:tcPr>
            <w:tcW w:w="1421"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r w:rsidRPr="009B2E82">
              <w:rPr>
                <w:rFonts w:ascii="Times New Roman" w:eastAsia="Times New Roman" w:hAnsi="Times New Roman" w:cs="Times New Roman"/>
                <w:b/>
                <w:bCs/>
                <w:color w:val="000000"/>
                <w:spacing w:val="-2"/>
                <w:sz w:val="16"/>
                <w:szCs w:val="16"/>
                <w:lang w:eastAsia="hr-HR"/>
              </w:rPr>
              <w:t>Pokazatelj ili glavni provedbeni korak</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3" w:right="5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Mjerna jedinica, po potrebi</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39"/>
              <w:rPr>
                <w:rFonts w:ascii="Times New Roman" w:eastAsia="Times New Roman" w:hAnsi="Times New Roman" w:cs="Times New Roman"/>
                <w:color w:val="000000"/>
                <w:spacing w:val="-8"/>
                <w:sz w:val="18"/>
                <w:szCs w:val="18"/>
                <w:lang w:eastAsia="hr-HR"/>
              </w:rPr>
            </w:pPr>
            <w:r w:rsidRPr="009B2E82">
              <w:rPr>
                <w:rFonts w:ascii="Times New Roman" w:eastAsia="Times New Roman" w:hAnsi="Times New Roman" w:cs="Times New Roman"/>
                <w:b/>
                <w:bCs/>
                <w:color w:val="000000"/>
                <w:spacing w:val="-1"/>
                <w:sz w:val="16"/>
                <w:szCs w:val="16"/>
                <w:lang w:eastAsia="hr-HR"/>
              </w:rPr>
              <w:t>Kontrolna točka za 2018.</w:t>
            </w:r>
          </w:p>
        </w:tc>
        <w:tc>
          <w:tcPr>
            <w:tcW w:w="3437"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0"/>
              <w:rPr>
                <w:rFonts w:ascii="Times New Roman" w:eastAsia="Times New Roman" w:hAnsi="Times New Roman" w:cs="Times New Roman"/>
                <w:color w:val="000000"/>
                <w:spacing w:val="-6"/>
                <w:sz w:val="18"/>
                <w:szCs w:val="18"/>
                <w:lang w:eastAsia="hr-HR"/>
              </w:rPr>
            </w:pPr>
            <w:r w:rsidRPr="009B2E82">
              <w:rPr>
                <w:rFonts w:ascii="Times New Roman" w:eastAsia="Times New Roman" w:hAnsi="Times New Roman" w:cs="Times New Roman"/>
                <w:b/>
                <w:bCs/>
                <w:color w:val="000000"/>
                <w:sz w:val="16"/>
                <w:szCs w:val="16"/>
                <w:lang w:eastAsia="hr-HR"/>
              </w:rPr>
              <w:t>Konačni cilj (2023.)</w:t>
            </w:r>
          </w:p>
        </w:tc>
      </w:tr>
      <w:tr w:rsidR="009B2E82" w:rsidRPr="009B2E82" w:rsidTr="009B2E82">
        <w:trPr>
          <w:trHeight w:hRule="exact" w:val="490"/>
        </w:trPr>
        <w:tc>
          <w:tcPr>
            <w:tcW w:w="3696"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8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8"/>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U</w:t>
            </w:r>
          </w:p>
          <w:p w:rsidR="009B2E82" w:rsidRPr="009B2E82" w:rsidRDefault="009B2E82" w:rsidP="009B2E82">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b/>
                <w:sz w:val="20"/>
                <w:szCs w:val="20"/>
                <w:lang w:eastAsia="hr-HR"/>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M</w:t>
            </w:r>
          </w:p>
          <w:p w:rsidR="009B2E82" w:rsidRPr="009B2E82" w:rsidRDefault="009B2E82" w:rsidP="009B2E82">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b/>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b/>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b/>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U</w:t>
            </w:r>
          </w:p>
          <w:p w:rsidR="009B2E82" w:rsidRPr="009B2E82" w:rsidRDefault="009B2E82" w:rsidP="009B2E82">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b/>
                <w:sz w:val="20"/>
                <w:szCs w:val="20"/>
                <w:lang w:eastAsia="hr-HR"/>
              </w:rPr>
            </w:pPr>
          </w:p>
        </w:tc>
      </w:tr>
      <w:tr w:rsidR="009B2E82" w:rsidRPr="009B2E82" w:rsidTr="009B2E82">
        <w:trPr>
          <w:trHeight w:hRule="exact" w:val="298"/>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2"/>
                <w:szCs w:val="12"/>
                <w:lang w:eastAsia="hr-HR"/>
              </w:rPr>
              <w:t>obrade otpadnih voda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67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12"/>
                <w:szCs w:val="12"/>
                <w:lang w:eastAsia="hr-HR"/>
              </w:rPr>
            </w:pPr>
            <w:r w:rsidRPr="009B2E82">
              <w:rPr>
                <w:rFonts w:ascii="Times New Roman" w:eastAsia="Times New Roman" w:hAnsi="Times New Roman" w:cs="Times New Roman"/>
                <w:color w:val="000000"/>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4" w:lineRule="exact"/>
              <w:ind w:hanging="5"/>
              <w:rPr>
                <w:rFonts w:ascii="Arial" w:eastAsia="Times New Roman" w:hAnsi="Arial" w:cs="Arial"/>
                <w:sz w:val="20"/>
                <w:szCs w:val="20"/>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2"/>
                <w:szCs w:val="12"/>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382.943,811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1.649,340.216,00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12"/>
                <w:szCs w:val="12"/>
                <w:lang w:eastAsia="hr-HR"/>
              </w:rPr>
            </w:pPr>
            <w:r w:rsidRPr="009B2E82">
              <w:rPr>
                <w:rFonts w:ascii="Times New Roman" w:eastAsia="Times New Roman" w:hAnsi="Times New Roman" w:cs="Times New Roman"/>
                <w:color w:val="000000"/>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Uspostavljeni i u potpunosti funkcionalni novi centri za gospodarenje otpadom</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10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2"/>
                <w:szCs w:val="12"/>
                <w:lang w:eastAsia="hr-HR"/>
              </w:rPr>
              <w:t>10,00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12"/>
                <w:szCs w:val="12"/>
                <w:lang w:eastAsia="hr-HR"/>
              </w:rPr>
            </w:pPr>
            <w:r w:rsidRPr="009B2E82">
              <w:rPr>
                <w:rFonts w:ascii="Times New Roman" w:eastAsia="Times New Roman" w:hAnsi="Times New Roman" w:cs="Times New Roman"/>
                <w:color w:val="000000"/>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zaključenih ugovora o radovima za projekte sektora vodoopskrbe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30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80,00</w:t>
            </w:r>
          </w:p>
        </w:tc>
      </w:tr>
      <w:tr w:rsidR="009B2E82" w:rsidRPr="009B2E82" w:rsidTr="009B2E82">
        <w:trPr>
          <w:trHeight w:hRule="exact" w:val="797"/>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12"/>
                <w:szCs w:val="12"/>
                <w:lang w:eastAsia="hr-HR"/>
              </w:rPr>
            </w:pPr>
            <w:r w:rsidRPr="009B2E82">
              <w:rPr>
                <w:rFonts w:ascii="Times New Roman" w:eastAsia="Times New Roman" w:hAnsi="Times New Roman" w:cs="Times New Roman"/>
                <w:color w:val="000000"/>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velikih projekata za centre za gospodarenje otpadom koje je odobrila EZ</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7</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7,00</w:t>
            </w:r>
          </w:p>
        </w:tc>
      </w:tr>
      <w:tr w:rsidR="009B2E82" w:rsidRPr="009B2E82" w:rsidTr="009B2E82">
        <w:trPr>
          <w:trHeight w:hRule="exact" w:val="528"/>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6 - Zaštita okoliša i održivost resursa</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Zatvorena i sanirana odlagališta otpada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20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60,00</w:t>
            </w:r>
          </w:p>
        </w:tc>
      </w:tr>
      <w:tr w:rsidR="009B2E82" w:rsidRPr="009B2E82" w:rsidTr="009B2E82">
        <w:trPr>
          <w:trHeight w:hRule="exact" w:val="528"/>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7 - Povezanost i mobilnost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Ceste: ukupna duljina novoizgrađenih cesta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10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53,00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7 - Povezanost i mobilnost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4" w:lineRule="exact"/>
              <w:ind w:hanging="5"/>
              <w:rPr>
                <w:rFonts w:ascii="Arial" w:eastAsia="Times New Roman" w:hAnsi="Arial" w:cs="Arial"/>
                <w:sz w:val="20"/>
                <w:szCs w:val="20"/>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92,872.000,00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 xml:space="preserve">              400,000.000,00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7 - Povezanost i mobilnost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Obujam ugovorenih projekata koji spadaju pod SC7bl</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150,000.000,00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 xml:space="preserve">              330,000.000,00</w:t>
            </w:r>
          </w:p>
        </w:tc>
      </w:tr>
      <w:tr w:rsidR="009B2E82" w:rsidRPr="009B2E82" w:rsidTr="009B2E82">
        <w:trPr>
          <w:trHeight w:hRule="exact" w:val="806"/>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7 - Povezanost i mobilnost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Željeznica: ukupna duljina rekonstruiranih ili nadograđenih željezničkih pruga, od čega: TEN-T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km</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20,00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80,00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7 - Povezanost i mobilnost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4" w:lineRule="exact"/>
              <w:ind w:hanging="5"/>
              <w:rPr>
                <w:rFonts w:ascii="Arial" w:eastAsia="Times New Roman" w:hAnsi="Arial" w:cs="Arial"/>
                <w:sz w:val="20"/>
                <w:szCs w:val="20"/>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211,331.572,.00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910,205.55,00</w:t>
            </w:r>
          </w:p>
        </w:tc>
      </w:tr>
      <w:tr w:rsidR="009B2E82" w:rsidRPr="009B2E82" w:rsidTr="009B2E82">
        <w:trPr>
          <w:trHeight w:hRule="exact" w:val="68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7 - Povezanost i mobilnost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KF</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4" w:lineRule="exact"/>
              <w:ind w:right="149"/>
              <w:rPr>
                <w:rFonts w:ascii="Arial" w:eastAsia="Times New Roman" w:hAnsi="Arial" w:cs="Arial"/>
                <w:sz w:val="20"/>
                <w:szCs w:val="20"/>
                <w:lang w:eastAsia="hr-HR"/>
              </w:rPr>
            </w:pPr>
            <w:r w:rsidRPr="009B2E82">
              <w:rPr>
                <w:rFonts w:ascii="Times New Roman" w:eastAsia="Times New Roman" w:hAnsi="Times New Roman" w:cs="Times New Roman"/>
                <w:sz w:val="12"/>
                <w:szCs w:val="12"/>
                <w:lang w:eastAsia="hr-HR"/>
              </w:rPr>
              <w:t xml:space="preserve">Obujam ugovorenih projekata koji spadaju pod </w:t>
            </w:r>
            <w:r w:rsidRPr="009B2E82">
              <w:rPr>
                <w:rFonts w:ascii="Times New Roman" w:eastAsia="Times New Roman" w:hAnsi="Times New Roman" w:cs="Times New Roman"/>
                <w:color w:val="000000"/>
                <w:sz w:val="12"/>
                <w:szCs w:val="12"/>
                <w:lang w:eastAsia="hr-HR"/>
              </w:rPr>
              <w:t>SC 7iii1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300,000.000,00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19"/>
              <w:jc w:val="right"/>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480,205.755,00</w:t>
            </w: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17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171"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3696"/>
        <w:gridCol w:w="854"/>
        <w:gridCol w:w="1277"/>
        <w:gridCol w:w="1421"/>
        <w:gridCol w:w="1277"/>
        <w:gridCol w:w="989"/>
        <w:gridCol w:w="998"/>
        <w:gridCol w:w="989"/>
        <w:gridCol w:w="1056"/>
        <w:gridCol w:w="1123"/>
        <w:gridCol w:w="1258"/>
      </w:tblGrid>
      <w:tr w:rsidR="009B2E82" w:rsidRPr="009B2E82" w:rsidTr="009B2E82">
        <w:trPr>
          <w:trHeight w:hRule="exact" w:val="442"/>
        </w:trPr>
        <w:tc>
          <w:tcPr>
            <w:tcW w:w="3696"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5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lastRenderedPageBreak/>
              <w:t>Prioritetna os</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20"/>
              <w:rPr>
                <w:rFonts w:ascii="Arial" w:eastAsia="Times New Roman" w:hAnsi="Arial" w:cs="Arial"/>
                <w:sz w:val="20"/>
                <w:szCs w:val="20"/>
                <w:lang w:eastAsia="hr-HR"/>
              </w:rPr>
            </w:pPr>
          </w:p>
        </w:tc>
        <w:tc>
          <w:tcPr>
            <w:tcW w:w="854"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5"/>
                <w:sz w:val="16"/>
                <w:szCs w:val="16"/>
                <w:lang w:eastAsia="hr-HR"/>
              </w:rPr>
              <w:t>Fond</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134"/>
              <w:rPr>
                <w:rFonts w:ascii="Arial" w:eastAsia="Times New Roman" w:hAnsi="Arial" w:cs="Arial"/>
                <w:sz w:val="20"/>
                <w:szCs w:val="20"/>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r w:rsidRPr="009B2E82">
              <w:rPr>
                <w:rFonts w:ascii="Times New Roman" w:eastAsia="Times New Roman" w:hAnsi="Times New Roman" w:cs="Times New Roman"/>
                <w:b/>
                <w:bCs/>
                <w:color w:val="000000"/>
                <w:sz w:val="16"/>
                <w:szCs w:val="16"/>
                <w:lang w:eastAsia="hr-HR"/>
              </w:rPr>
              <w:t>Kategorija regije</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7" w:lineRule="exact"/>
              <w:ind w:left="125" w:right="110"/>
              <w:rPr>
                <w:rFonts w:ascii="Times New Roman" w:eastAsia="Times New Roman" w:hAnsi="Times New Roman" w:cs="Times New Roman"/>
                <w:color w:val="000000"/>
                <w:spacing w:val="-5"/>
                <w:sz w:val="18"/>
                <w:szCs w:val="18"/>
                <w:lang w:eastAsia="hr-HR"/>
              </w:rPr>
            </w:pPr>
          </w:p>
        </w:tc>
        <w:tc>
          <w:tcPr>
            <w:tcW w:w="1421"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r w:rsidRPr="009B2E82">
              <w:rPr>
                <w:rFonts w:ascii="Times New Roman" w:eastAsia="Times New Roman" w:hAnsi="Times New Roman" w:cs="Times New Roman"/>
                <w:b/>
                <w:bCs/>
                <w:color w:val="000000"/>
                <w:spacing w:val="-2"/>
                <w:sz w:val="16"/>
                <w:szCs w:val="16"/>
                <w:lang w:eastAsia="hr-HR"/>
              </w:rPr>
              <w:t>Pokazatelj ili glavni provedbeni korak</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43" w:right="48"/>
              <w:rPr>
                <w:rFonts w:ascii="Times New Roman" w:eastAsia="Times New Roman" w:hAnsi="Times New Roman" w:cs="Times New Roman"/>
                <w:color w:val="000000"/>
                <w:spacing w:val="-4"/>
                <w:sz w:val="18"/>
                <w:szCs w:val="18"/>
                <w:lang w:eastAsia="hr-HR"/>
              </w:rPr>
            </w:pPr>
          </w:p>
        </w:tc>
        <w:tc>
          <w:tcPr>
            <w:tcW w:w="1277" w:type="dxa"/>
            <w:tcBorders>
              <w:top w:val="single" w:sz="6" w:space="0" w:color="auto"/>
              <w:left w:val="single" w:sz="6" w:space="0" w:color="auto"/>
              <w:bottom w:val="nil"/>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53" w:right="58"/>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Mjerna jedinica, po potrebi</w:t>
            </w: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182" w:lineRule="exact"/>
              <w:ind w:left="53" w:right="58"/>
              <w:rPr>
                <w:rFonts w:ascii="Times New Roman" w:eastAsia="Times New Roman" w:hAnsi="Times New Roman" w:cs="Times New Roman"/>
                <w:color w:val="000000"/>
                <w:spacing w:val="-5"/>
                <w:sz w:val="18"/>
                <w:szCs w:val="18"/>
                <w:lang w:eastAsia="hr-HR"/>
              </w:rPr>
            </w:pPr>
          </w:p>
        </w:tc>
        <w:tc>
          <w:tcPr>
            <w:tcW w:w="2976"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39"/>
              <w:rPr>
                <w:rFonts w:ascii="Times New Roman" w:eastAsia="Times New Roman" w:hAnsi="Times New Roman" w:cs="Times New Roman"/>
                <w:color w:val="000000"/>
                <w:spacing w:val="-8"/>
                <w:sz w:val="18"/>
                <w:szCs w:val="18"/>
                <w:lang w:eastAsia="hr-HR"/>
              </w:rPr>
            </w:pPr>
            <w:r w:rsidRPr="009B2E82">
              <w:rPr>
                <w:rFonts w:ascii="Times New Roman" w:eastAsia="Times New Roman" w:hAnsi="Times New Roman" w:cs="Times New Roman"/>
                <w:b/>
                <w:bCs/>
                <w:color w:val="000000"/>
                <w:spacing w:val="-1"/>
                <w:sz w:val="16"/>
                <w:szCs w:val="16"/>
                <w:lang w:eastAsia="hr-HR"/>
              </w:rPr>
              <w:t>Kontrolna točka za 2018.</w:t>
            </w:r>
          </w:p>
        </w:tc>
        <w:tc>
          <w:tcPr>
            <w:tcW w:w="3437" w:type="dxa"/>
            <w:gridSpan w:val="3"/>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960"/>
              <w:rPr>
                <w:rFonts w:ascii="Times New Roman" w:eastAsia="Times New Roman" w:hAnsi="Times New Roman" w:cs="Times New Roman"/>
                <w:color w:val="000000"/>
                <w:spacing w:val="-6"/>
                <w:sz w:val="18"/>
                <w:szCs w:val="18"/>
                <w:lang w:eastAsia="hr-HR"/>
              </w:rPr>
            </w:pPr>
            <w:r w:rsidRPr="009B2E82">
              <w:rPr>
                <w:rFonts w:ascii="Times New Roman" w:eastAsia="Times New Roman" w:hAnsi="Times New Roman" w:cs="Times New Roman"/>
                <w:b/>
                <w:bCs/>
                <w:color w:val="000000"/>
                <w:sz w:val="16"/>
                <w:szCs w:val="16"/>
                <w:lang w:eastAsia="hr-HR"/>
              </w:rPr>
              <w:t>Konačni cilj (2023.)</w:t>
            </w:r>
          </w:p>
        </w:tc>
      </w:tr>
      <w:tr w:rsidR="009B2E82" w:rsidRPr="009B2E82" w:rsidTr="009B2E82">
        <w:trPr>
          <w:trHeight w:hRule="exact" w:val="490"/>
        </w:trPr>
        <w:tc>
          <w:tcPr>
            <w:tcW w:w="3696"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854"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421"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1277" w:type="dxa"/>
            <w:tcBorders>
              <w:top w:val="nil"/>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88"/>
              <w:rPr>
                <w:rFonts w:ascii="Arial" w:eastAsia="Times New Roman" w:hAnsi="Arial" w:cs="Arial"/>
                <w:sz w:val="20"/>
                <w:szCs w:val="20"/>
                <w:lang w:eastAsia="hr-HR"/>
              </w:rPr>
            </w:pPr>
            <w:r w:rsidRPr="009B2E82">
              <w:rPr>
                <w:rFonts w:ascii="Times New Roman" w:eastAsia="Times New Roman" w:hAnsi="Times New Roman" w:cs="Times New Roman"/>
                <w:b/>
                <w:bCs/>
                <w:color w:val="000000"/>
                <w:sz w:val="20"/>
                <w:szCs w:val="20"/>
                <w:lang w:eastAsia="hr-HR"/>
              </w:rPr>
              <w:t>M</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78"/>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U</w:t>
            </w:r>
          </w:p>
          <w:p w:rsidR="009B2E82" w:rsidRPr="009B2E82" w:rsidRDefault="009B2E82" w:rsidP="009B2E82">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b/>
                <w:sz w:val="20"/>
                <w:szCs w:val="20"/>
                <w:lang w:eastAsia="hr-HR"/>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M</w:t>
            </w:r>
          </w:p>
          <w:p w:rsidR="009B2E82" w:rsidRPr="009B2E82" w:rsidRDefault="009B2E82" w:rsidP="009B2E82">
            <w:pPr>
              <w:widowControl w:val="0"/>
              <w:shd w:val="clear" w:color="auto" w:fill="FFFFFF"/>
              <w:autoSpaceDE w:val="0"/>
              <w:autoSpaceDN w:val="0"/>
              <w:adjustRightInd w:val="0"/>
              <w:spacing w:after="0" w:line="240" w:lineRule="auto"/>
              <w:ind w:left="322"/>
              <w:jc w:val="right"/>
              <w:rPr>
                <w:rFonts w:ascii="Times New Roman" w:eastAsia="Times New Roman" w:hAnsi="Times New Roman" w:cs="Times New Roman"/>
                <w:b/>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b/>
                <w:sz w:val="20"/>
                <w:szCs w:val="20"/>
                <w:lang w:eastAsia="hr-HR"/>
              </w:rPr>
            </w:pPr>
          </w:p>
          <w:p w:rsidR="009B2E82" w:rsidRPr="009B2E82" w:rsidRDefault="009B2E82" w:rsidP="009B2E82">
            <w:pPr>
              <w:widowControl w:val="0"/>
              <w:shd w:val="clear" w:color="auto" w:fill="FFFFFF"/>
              <w:autoSpaceDE w:val="0"/>
              <w:autoSpaceDN w:val="0"/>
              <w:adjustRightInd w:val="0"/>
              <w:spacing w:after="0" w:line="240" w:lineRule="auto"/>
              <w:ind w:left="346"/>
              <w:rPr>
                <w:rFonts w:ascii="Times New Roman" w:eastAsia="Times New Roman" w:hAnsi="Times New Roman" w:cs="Times New Roman"/>
                <w:b/>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jc w:val="right"/>
              <w:rPr>
                <w:rFonts w:ascii="Times New Roman" w:eastAsia="Times New Roman" w:hAnsi="Times New Roman" w:cs="Times New Roman"/>
                <w:b/>
                <w:sz w:val="20"/>
                <w:szCs w:val="20"/>
                <w:lang w:eastAsia="hr-HR"/>
              </w:rPr>
            </w:pPr>
            <w:r w:rsidRPr="009B2E82">
              <w:rPr>
                <w:rFonts w:ascii="Times New Roman" w:eastAsia="Times New Roman" w:hAnsi="Times New Roman" w:cs="Times New Roman"/>
                <w:b/>
                <w:sz w:val="20"/>
                <w:szCs w:val="20"/>
                <w:lang w:eastAsia="hr-HR"/>
              </w:rPr>
              <w:t>U</w:t>
            </w:r>
          </w:p>
          <w:p w:rsidR="009B2E82" w:rsidRPr="009B2E82" w:rsidRDefault="009B2E82" w:rsidP="009B2E82">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b/>
                <w:sz w:val="20"/>
                <w:szCs w:val="20"/>
                <w:lang w:eastAsia="hr-HR"/>
              </w:rPr>
            </w:pP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8 - Socijalno uključivanje i zdravlje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4" w:lineRule="exact"/>
              <w:ind w:hanging="5"/>
              <w:rPr>
                <w:rFonts w:ascii="Arial" w:eastAsia="Times New Roman" w:hAnsi="Arial" w:cs="Arial"/>
                <w:sz w:val="20"/>
                <w:szCs w:val="20"/>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96,929.702,00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69"/>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442,941.176,00</w:t>
            </w:r>
          </w:p>
        </w:tc>
      </w:tr>
      <w:tr w:rsidR="009B2E82" w:rsidRPr="009B2E82" w:rsidTr="009B2E82">
        <w:trPr>
          <w:trHeight w:hRule="exact" w:val="528"/>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8 - Socijalno uključivanje i zdravlje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Pružatelji zdravstvenih usluga koji primaju potporu</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5</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49"/>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30,00</w:t>
            </w:r>
          </w:p>
        </w:tc>
      </w:tr>
      <w:tr w:rsidR="009B2E82" w:rsidRPr="009B2E82" w:rsidTr="009B2E82">
        <w:trPr>
          <w:trHeight w:hRule="exact" w:val="806"/>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8 - Socijalno uključivanje i zdravlje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izgrađenih/rekonstruiranih i opremljenih jedinica infrastrukture</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400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10"/>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2"/>
                <w:szCs w:val="12"/>
                <w:lang w:eastAsia="hr-HR"/>
              </w:rPr>
              <w:t>1.700,00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9 - Obrazovanje, vještine i cjeloživotno učenje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34" w:lineRule="exact"/>
              <w:ind w:hanging="5"/>
              <w:rPr>
                <w:rFonts w:ascii="Arial" w:eastAsia="Times New Roman" w:hAnsi="Arial" w:cs="Arial"/>
                <w:sz w:val="20"/>
                <w:szCs w:val="20"/>
                <w:lang w:eastAsia="hr-HR"/>
              </w:rPr>
            </w:pPr>
            <w:r w:rsidRPr="009B2E82">
              <w:rPr>
                <w:rFonts w:ascii="Times New Roman" w:eastAsia="Times New Roman" w:hAnsi="Times New Roman" w:cs="Times New Roman"/>
                <w:sz w:val="12"/>
                <w:szCs w:val="12"/>
                <w:lang w:eastAsia="hr-HR"/>
              </w:rPr>
              <w:t>Ukupni iznos potvrđenih/prihvatljivih izdataka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Milijun EUR</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66.914,913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269"/>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2"/>
                <w:szCs w:val="12"/>
                <w:lang w:eastAsia="hr-HR"/>
              </w:rPr>
              <w:t>305,820.700</w:t>
            </w:r>
          </w:p>
        </w:tc>
      </w:tr>
      <w:tr w:rsidR="009B2E82" w:rsidRPr="009B2E82" w:rsidTr="009B2E82">
        <w:trPr>
          <w:trHeight w:hRule="exact" w:val="66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9 - Obrazovanje, vještine i cjeloživotno učenje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obnovljenih/izgrađenih studentskih domova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806"/>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4,00</w:t>
            </w:r>
          </w:p>
        </w:tc>
      </w:tr>
      <w:tr w:rsidR="009B2E82" w:rsidRPr="009B2E82" w:rsidTr="009B2E82">
        <w:trPr>
          <w:trHeight w:hRule="exact" w:val="941"/>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9 - Obrazovanje, vještine i cjeloživotno učenje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Broj ustanova za SOO opremljenih specijaliziranom opremom i suvremenim tehnologijama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Broj</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2"/>
                <w:szCs w:val="12"/>
                <w:lang w:eastAsia="hr-HR"/>
              </w:rPr>
              <w:t>5.00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749"/>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20,00</w:t>
            </w:r>
          </w:p>
        </w:tc>
      </w:tr>
      <w:tr w:rsidR="009B2E82" w:rsidRPr="009B2E82" w:rsidTr="009B2E82">
        <w:trPr>
          <w:trHeight w:hRule="exact" w:val="672"/>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9 - Obrazovanje, vještine i cjeloživotno učenje</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3"/>
                <w:sz w:val="12"/>
                <w:szCs w:val="12"/>
                <w:lang w:eastAsia="hr-HR"/>
              </w:rPr>
              <w:t>EFRR</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right="307"/>
              <w:jc w:val="right"/>
              <w:rPr>
                <w:rFonts w:ascii="Times New Roman" w:eastAsia="Times New Roman" w:hAnsi="Times New Roman" w:cs="Times New Roman"/>
                <w:color w:val="000000"/>
                <w:spacing w:val="-1"/>
                <w:sz w:val="12"/>
                <w:szCs w:val="12"/>
                <w:lang w:eastAsia="hr-HR"/>
              </w:rPr>
            </w:pPr>
            <w:r w:rsidRPr="009B2E82">
              <w:rPr>
                <w:rFonts w:ascii="Times New Roman" w:eastAsia="Times New Roman" w:hAnsi="Times New Roman" w:cs="Times New Roman"/>
                <w:color w:val="000000"/>
                <w:spacing w:val="-1"/>
                <w:sz w:val="12"/>
                <w:szCs w:val="12"/>
                <w:lang w:eastAsia="hr-HR"/>
              </w:rPr>
              <w:t>Manje razvijena</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2"/>
                <w:szCs w:val="12"/>
                <w:lang w:eastAsia="hr-HR"/>
              </w:rPr>
            </w:pPr>
            <w:r w:rsidRPr="009B2E82">
              <w:rPr>
                <w:rFonts w:ascii="Times New Roman" w:eastAsia="Times New Roman" w:hAnsi="Times New Roman" w:cs="Times New Roman"/>
                <w:sz w:val="12"/>
                <w:szCs w:val="12"/>
                <w:lang w:eastAsia="hr-HR"/>
              </w:rPr>
              <w:t>Radovi započeti na postotku odabranih lokacija</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2"/>
                <w:szCs w:val="12"/>
                <w:lang w:eastAsia="hr-HR"/>
              </w:rPr>
              <w:t>50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696"/>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2"/>
                <w:szCs w:val="12"/>
                <w:lang w:eastAsia="hr-HR"/>
              </w:rPr>
              <w:t>100,00</w:t>
            </w:r>
          </w:p>
        </w:tc>
      </w:tr>
    </w:tbl>
    <w:p w:rsidR="009B2E82" w:rsidRPr="009B2E82" w:rsidRDefault="009B2E82" w:rsidP="009B2E82">
      <w:pPr>
        <w:widowControl w:val="0"/>
        <w:shd w:val="clear" w:color="auto" w:fill="FFFFFF"/>
        <w:autoSpaceDE w:val="0"/>
        <w:autoSpaceDN w:val="0"/>
        <w:adjustRightInd w:val="0"/>
        <w:spacing w:before="254" w:after="100" w:afterAutospacing="1" w:line="240" w:lineRule="auto"/>
        <w:ind w:left="552"/>
        <w:rPr>
          <w:rFonts w:ascii="Times New Roman" w:eastAsia="Times New Roman" w:hAnsi="Times New Roman" w:cs="Times New Roman"/>
          <w:b/>
          <w:bCs/>
          <w:color w:val="000000"/>
          <w:spacing w:val="-1"/>
          <w:sz w:val="24"/>
          <w:szCs w:val="24"/>
          <w:lang w:eastAsia="hr-HR"/>
        </w:rPr>
      </w:pPr>
      <w:r w:rsidRPr="009B2E82">
        <w:rPr>
          <w:rFonts w:ascii="Times New Roman" w:eastAsia="Times New Roman" w:hAnsi="Times New Roman" w:cs="Times New Roman"/>
          <w:b/>
          <w:bCs/>
          <w:color w:val="000000"/>
          <w:spacing w:val="-1"/>
          <w:sz w:val="24"/>
          <w:szCs w:val="24"/>
          <w:lang w:eastAsia="hr-HR"/>
        </w:rPr>
        <w:t xml:space="preserve">12.3 Relevantni partneri uključeni u izradu programa </w:t>
      </w:r>
    </w:p>
    <w:p w:rsidR="009B2E82" w:rsidRPr="009B2E82" w:rsidRDefault="009B2E82" w:rsidP="009B2E82">
      <w:pPr>
        <w:widowControl w:val="0"/>
        <w:shd w:val="clear" w:color="auto" w:fill="FFFFFF"/>
        <w:autoSpaceDE w:val="0"/>
        <w:autoSpaceDN w:val="0"/>
        <w:adjustRightInd w:val="0"/>
        <w:spacing w:before="254" w:after="100" w:afterAutospacing="1" w:line="240" w:lineRule="auto"/>
        <w:ind w:left="552"/>
        <w:rPr>
          <w:rFonts w:ascii="Times New Roman" w:eastAsia="Times New Roman" w:hAnsi="Times New Roman" w:cs="Times New Roman"/>
          <w:b/>
          <w:bCs/>
          <w:i/>
          <w:color w:val="000000"/>
          <w:spacing w:val="-1"/>
          <w:sz w:val="24"/>
          <w:szCs w:val="24"/>
          <w:lang w:eastAsia="hr-HR"/>
        </w:rPr>
      </w:pPr>
      <w:r w:rsidRPr="009B2E82">
        <w:rPr>
          <w:rFonts w:ascii="Times New Roman" w:eastAsia="Times New Roman" w:hAnsi="Times New Roman" w:cs="Times New Roman"/>
          <w:b/>
          <w:bCs/>
          <w:i/>
          <w:color w:val="000000"/>
          <w:spacing w:val="-1"/>
          <w:sz w:val="24"/>
          <w:szCs w:val="24"/>
          <w:lang w:eastAsia="hr-HR"/>
        </w:rPr>
        <w:t>Tematska radna skupina I</w:t>
      </w:r>
    </w:p>
    <w:p w:rsidR="009B2E82" w:rsidRPr="009B2E82" w:rsidRDefault="009B2E82" w:rsidP="009B2E82">
      <w:pPr>
        <w:widowControl w:val="0"/>
        <w:shd w:val="clear" w:color="auto" w:fill="FFFFFF"/>
        <w:autoSpaceDE w:val="0"/>
        <w:autoSpaceDN w:val="0"/>
        <w:adjustRightInd w:val="0"/>
        <w:spacing w:before="254" w:after="100" w:afterAutospacing="1" w:line="240" w:lineRule="auto"/>
        <w:ind w:left="552"/>
        <w:rPr>
          <w:rFonts w:ascii="Times New Roman" w:eastAsia="Times New Roman" w:hAnsi="Times New Roman" w:cs="Times New Roman"/>
          <w:i/>
          <w:iCs/>
          <w:color w:val="000000"/>
          <w:spacing w:val="2"/>
          <w:sz w:val="24"/>
          <w:szCs w:val="24"/>
          <w:lang w:eastAsia="hr-HR"/>
        </w:rPr>
      </w:pPr>
      <w:r w:rsidRPr="009B2E82">
        <w:rPr>
          <w:rFonts w:ascii="Times New Roman" w:eastAsia="Times New Roman" w:hAnsi="Times New Roman" w:cs="Times New Roman"/>
          <w:b/>
          <w:bCs/>
          <w:i/>
          <w:color w:val="000000"/>
          <w:spacing w:val="-1"/>
          <w:sz w:val="24"/>
          <w:szCs w:val="24"/>
          <w:lang w:eastAsia="hr-HR"/>
        </w:rPr>
        <w:t>Tematski cilj:</w:t>
      </w:r>
    </w:p>
    <w:p w:rsidR="009B2E82" w:rsidRPr="009B2E82" w:rsidRDefault="009B2E82" w:rsidP="009B2E82">
      <w:pPr>
        <w:widowControl w:val="0"/>
        <w:shd w:val="clear" w:color="auto" w:fill="FFFFFF"/>
        <w:autoSpaceDE w:val="0"/>
        <w:autoSpaceDN w:val="0"/>
        <w:adjustRightInd w:val="0"/>
        <w:spacing w:before="278" w:after="100" w:afterAutospacing="1" w:line="240" w:lineRule="auto"/>
        <w:ind w:left="538"/>
        <w:rPr>
          <w:rFonts w:ascii="Arial" w:eastAsia="Times New Roman" w:hAnsi="Arial" w:cs="Arial"/>
          <w:b/>
          <w:sz w:val="20"/>
          <w:szCs w:val="20"/>
          <w:lang w:eastAsia="hr-HR"/>
        </w:rPr>
      </w:pPr>
      <w:r w:rsidRPr="009B2E82">
        <w:rPr>
          <w:rFonts w:ascii="Times New Roman" w:eastAsia="Times New Roman" w:hAnsi="Times New Roman" w:cs="Times New Roman"/>
          <w:b/>
          <w:i/>
          <w:iCs/>
          <w:color w:val="000000"/>
          <w:spacing w:val="2"/>
          <w:sz w:val="24"/>
          <w:szCs w:val="24"/>
          <w:lang w:eastAsia="hr-HR"/>
        </w:rPr>
        <w:t>1. Jačanje istraživanja, tehnološkog razvoja i inovacija</w:t>
      </w:r>
    </w:p>
    <w:p w:rsidR="009B2E82" w:rsidRPr="009B2E82" w:rsidRDefault="009B2E82" w:rsidP="009B2E82">
      <w:pPr>
        <w:widowControl w:val="0"/>
        <w:shd w:val="clear" w:color="auto" w:fill="FFFFFF"/>
        <w:autoSpaceDE w:val="0"/>
        <w:autoSpaceDN w:val="0"/>
        <w:adjustRightInd w:val="0"/>
        <w:spacing w:before="278" w:after="100" w:afterAutospacing="1" w:line="240" w:lineRule="auto"/>
        <w:ind w:left="538"/>
        <w:rPr>
          <w:rFonts w:ascii="Arial" w:eastAsia="Times New Roman" w:hAnsi="Arial" w:cs="Arial"/>
          <w:sz w:val="20"/>
          <w:szCs w:val="20"/>
          <w:lang w:eastAsia="hr-HR"/>
        </w:rPr>
        <w:sectPr w:rsidR="009B2E82" w:rsidRPr="009B2E82">
          <w:pgSz w:w="16834" w:h="11909" w:orient="landscape"/>
          <w:pgMar w:top="1169"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100" w:afterAutospacing="1"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100" w:afterAutospacing="1" w:line="346" w:lineRule="exact"/>
        <w:rPr>
          <w:rFonts w:ascii="Arial" w:eastAsia="Times New Roman" w:hAnsi="Arial" w:cs="Arial"/>
          <w:sz w:val="20"/>
          <w:szCs w:val="20"/>
          <w:lang w:eastAsia="hr-HR"/>
        </w:rPr>
        <w:sectPr w:rsidR="009B2E82" w:rsidRPr="009B2E82">
          <w:type w:val="continuous"/>
          <w:pgSz w:w="16834" w:h="11909" w:orient="landscape"/>
          <w:pgMar w:top="1169" w:right="541" w:bottom="360" w:left="540" w:header="720" w:footer="720" w:gutter="0"/>
          <w:cols w:num="3" w:space="720" w:equalWidth="0">
            <w:col w:w="720" w:space="6922"/>
            <w:col w:w="720" w:space="6672"/>
            <w:col w:w="720"/>
          </w:cols>
          <w:noEndnote/>
        </w:sectPr>
      </w:pPr>
    </w:p>
    <w:p w:rsidR="009B2E82" w:rsidRPr="009B2E82" w:rsidRDefault="009B2E82" w:rsidP="009B2E82">
      <w:pPr>
        <w:widowControl w:val="0"/>
        <w:numPr>
          <w:ilvl w:val="0"/>
          <w:numId w:val="19"/>
        </w:numPr>
        <w:shd w:val="clear" w:color="auto" w:fill="FFFFFF"/>
        <w:autoSpaceDE w:val="0"/>
        <w:autoSpaceDN w:val="0"/>
        <w:adjustRightInd w:val="0"/>
        <w:spacing w:after="100" w:afterAutospacing="1" w:line="552" w:lineRule="exact"/>
        <w:ind w:left="523" w:right="9715"/>
        <w:rPr>
          <w:rFonts w:ascii="Times New Roman" w:eastAsia="Times New Roman" w:hAnsi="Times New Roman" w:cs="Times New Roman"/>
          <w:b/>
          <w:bCs/>
          <w:i/>
          <w:iCs/>
          <w:color w:val="000000"/>
          <w:sz w:val="24"/>
          <w:szCs w:val="24"/>
          <w:lang w:eastAsia="hr-HR"/>
        </w:rPr>
      </w:pPr>
      <w:r w:rsidRPr="009B2E82">
        <w:rPr>
          <w:rFonts w:ascii="Times New Roman" w:eastAsia="Times New Roman" w:hAnsi="Times New Roman" w:cs="Times New Roman"/>
          <w:b/>
          <w:bCs/>
          <w:i/>
          <w:iCs/>
          <w:color w:val="000000"/>
          <w:sz w:val="24"/>
          <w:szCs w:val="24"/>
          <w:lang w:eastAsia="hr-HR"/>
        </w:rPr>
        <w:lastRenderedPageBreak/>
        <w:t xml:space="preserve">Poboljšanje dostupnosti, korištenja i kvalitete IKT-a Glavna institucija:Ministarstvo gospodarstva </w:t>
      </w:r>
    </w:p>
    <w:p w:rsidR="009B2E82" w:rsidRPr="009B2E82" w:rsidRDefault="009B2E82" w:rsidP="009B2E82">
      <w:pPr>
        <w:widowControl w:val="0"/>
        <w:shd w:val="clear" w:color="auto" w:fill="FFFFFF"/>
        <w:autoSpaceDE w:val="0"/>
        <w:autoSpaceDN w:val="0"/>
        <w:adjustRightInd w:val="0"/>
        <w:spacing w:after="100" w:afterAutospacing="1" w:line="240" w:lineRule="auto"/>
        <w:ind w:left="523" w:right="9715"/>
        <w:rPr>
          <w:rFonts w:ascii="Times New Roman" w:eastAsia="Times New Roman" w:hAnsi="Times New Roman" w:cs="Times New Roman"/>
          <w:b/>
          <w:bCs/>
          <w:i/>
          <w:iCs/>
          <w:color w:val="000000"/>
          <w:sz w:val="24"/>
          <w:szCs w:val="24"/>
          <w:lang w:eastAsia="hr-HR"/>
        </w:rPr>
      </w:pPr>
      <w:r w:rsidRPr="009B2E82">
        <w:rPr>
          <w:rFonts w:ascii="Times New Roman" w:eastAsia="Times New Roman" w:hAnsi="Times New Roman" w:cs="Times New Roman"/>
          <w:b/>
          <w:bCs/>
          <w:i/>
          <w:iCs/>
          <w:color w:val="000000"/>
          <w:sz w:val="24"/>
          <w:szCs w:val="24"/>
          <w:lang w:eastAsia="hr-HR"/>
        </w:rPr>
        <w:t>Institucije članice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regionalnoga razvoja i fondova Europske unije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pomorstva, prometa i infrastrukture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znanosti, obrazovanja i sporta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socijalne politike i mladih</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pravosuđa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unutarnjih poslova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uprave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vanjskih i europskih poslova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graditeljstva i prostornog uređenja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obrane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color w:val="000000"/>
          <w:sz w:val="24"/>
          <w:szCs w:val="24"/>
          <w:lang w:eastAsia="hr-HR"/>
        </w:rPr>
        <w:t>Ministarstvo poduzetništva i obrta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rada i mirovinskoga sustava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kulture</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Ministarstvo zdravlja - HZZO (Hrvatski zavod za zdravstveno osiguranje)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turizma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zaštite okoliša i prirode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gospodarstva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Državna uprava za zaštitu i spašavanje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Državni zavod za statistiku</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Zavod za sigurnost informacijskih sustava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BICRO - Poslovno-inovacijska agencija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Vladin ured za razminiranje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udruge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ljudska prava i prava nacionalnih manjina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Državna geodetska uprava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Hrvatska regulatorna agencija za mrežne djelatnosti (HAKOM)</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SRCE - Sveučilišni računski centar</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CARNET - Hrvatska akademska i istraživačka mreža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Agencija za investicije i konkurentnost </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CEI - Centar za praćenje poslovanja energetskog sektora i investicija</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Agencija za poljoprivredno zemljište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Jadranska Hrvatska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Istočni dio kontinentalne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Zapadni dio kontinentalne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financija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branitelja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poljoprivrede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Tematska radna skupina  II</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Tematski cilj</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727"/>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3. Poboljšanje konkurentnosti MSP-ova, poljoprivrednog sektora i sektora za ribarstvo i akvakulturu</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i/>
          <w:color w:val="000000"/>
          <w:sz w:val="24"/>
          <w:szCs w:val="24"/>
          <w:lang w:eastAsia="hr-HR"/>
        </w:rPr>
        <w:t>Glavna institucija: Ministarstvo poduzetništva i obrta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color w:val="000000"/>
          <w:sz w:val="24"/>
          <w:szCs w:val="24"/>
          <w:lang w:eastAsia="hr-HR"/>
        </w:rPr>
        <w:t>Institucije članice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regionalnoga razvoja i fondova Europske unije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color w:val="000000"/>
          <w:sz w:val="24"/>
          <w:szCs w:val="24"/>
          <w:lang w:eastAsia="hr-HR"/>
        </w:rPr>
        <w:t>Ministarstvo poduzetništva i obrta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graditeljstva i prostornog uređenja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gospodarstva</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Ministarstvo kulture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vanjskih i europskih poslova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rada i mirovinskoga sustava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poljoprivrede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turizma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znanosti, obrazovanja i sporta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zaštite okoliša i prirode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ljudska prava i prava nacionalnih manjina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udruge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ravnopravnost spolova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BICRO - Poslovno-inovacijska agencija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HOK - Hrvatska obrtnička komora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HGK - Hrvatska gospodarska komora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HBOR - Hrvatska banka za obnovu i razvitak</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HUB - Hrvatska udruga banaka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Vladin ured za razminiranje</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HUP - Hrvatska udruga poslodavaca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Državni zavod za trgovinsku politiku</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Hrvatski savez zadruga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financija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Hrvatska agencija za malo gospodarstvo i investicije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Agencija za poljoprivredno zemljište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Jadranska Hrvatska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Istočni dio kontinentalne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ACI d.d. Opatija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Tehnička pomoć, vanjski stručnjaci</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Tematska radna skupina III</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i/>
          <w:color w:val="000000"/>
          <w:sz w:val="24"/>
          <w:szCs w:val="24"/>
          <w:lang w:eastAsia="hr-HR"/>
        </w:rPr>
        <w:t>Tematski cilj</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i/>
          <w:color w:val="000000"/>
          <w:sz w:val="24"/>
          <w:szCs w:val="24"/>
          <w:lang w:eastAsia="hr-HR"/>
        </w:rPr>
      </w:pPr>
      <w:r w:rsidRPr="009B2E82">
        <w:rPr>
          <w:rFonts w:ascii="Times New Roman" w:eastAsia="Times New Roman" w:hAnsi="Times New Roman" w:cs="Times New Roman"/>
          <w:i/>
          <w:color w:val="000000"/>
          <w:sz w:val="24"/>
          <w:szCs w:val="24"/>
          <w:lang w:eastAsia="hr-HR"/>
        </w:rPr>
        <w:t>4. Potpora prelasku na niskougljično gospodarstvo u svim sektorima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i/>
          <w:color w:val="000000"/>
          <w:sz w:val="24"/>
          <w:szCs w:val="24"/>
          <w:lang w:eastAsia="hr-HR"/>
        </w:rPr>
      </w:pPr>
      <w:r w:rsidRPr="009B2E82">
        <w:rPr>
          <w:rFonts w:ascii="Times New Roman" w:eastAsia="Times New Roman" w:hAnsi="Times New Roman" w:cs="Times New Roman"/>
          <w:i/>
          <w:color w:val="000000"/>
          <w:sz w:val="24"/>
          <w:szCs w:val="24"/>
          <w:lang w:eastAsia="hr-HR"/>
        </w:rPr>
        <w:t>5. Promicanje prilagodbe na klimatske promjene, prevencije i upravljanja rizicima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i/>
          <w:color w:val="000000"/>
          <w:sz w:val="24"/>
          <w:szCs w:val="24"/>
          <w:lang w:eastAsia="hr-HR"/>
        </w:rPr>
        <w:t>6. Očuvanje i zaštita okoliša i promicanje resursne učinkovitosti</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lastRenderedPageBreak/>
        <w:t xml:space="preserve">Glavna institucija: Ministarstvo zaštite okoliša i prirode </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color w:val="000000"/>
          <w:sz w:val="24"/>
          <w:szCs w:val="24"/>
          <w:lang w:eastAsia="hr-HR"/>
        </w:rPr>
        <w:t>Institucije članice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zaštite okoliša i prirode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pomorstva, prometa i infrastrukture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graditeljstva i prostornog uređenja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poljoprivrede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regionalnoga razvoja i fondova Europske unije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znanosti, obrazovanja i sporta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zdravlja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turizma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kulture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vanjskih i europskih poslova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color w:val="000000"/>
          <w:sz w:val="24"/>
          <w:szCs w:val="24"/>
          <w:lang w:eastAsia="hr-HR"/>
        </w:rPr>
        <w:t>Ministarstvo poduzetništva i obrta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pravosuđa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gospodarstva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obrane</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Ministarstvo financija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Državni zavod za zaštitu prirode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DHZ - Državni hidrometeorološki zavod</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DUZS - Državna uprava za zaštitu i spašavanje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ljudska prava i prava nacionalnih manjina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Hrvatski centar za razminiranje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Vladin ured za razminiranje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Državna geodetska uprava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Hrvatska vatrogasna zajednica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HBOR - Hrvatska banka za obnovu i razvitak</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FZOEU - Fond za zaštitu okoliša i energetsku učinkovitost</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Agencija za zaštitu okoliša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Agencija za zaštitu tržišnog natjecanja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udruge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HP - Hrvatska pošta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LIRA - Razvojna agencija Ličko-senjske županije</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BICRO - Poslovno-inovacijska agencija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Razvojna agencija Sisačko-moslavačke županije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color w:val="000000"/>
          <w:sz w:val="24"/>
          <w:szCs w:val="24"/>
          <w:lang w:eastAsia="hr-HR"/>
        </w:rPr>
        <w:t>ZACORDA - Regionalna razvojna agencija Zagrebačke županije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Zelena akcija (NVO)</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HGSS - Hrvatska gorska služba spašavanja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Šibensko-kninska županija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Bjelovarsko-bilogorska županija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HV - Hrvatska vojska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HGK - Hrvatska gospodarska komora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HOK - Hrvatska obrtnička komora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1011"/>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Tematska radna skupina IV</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1011"/>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Tematski cilj</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1011"/>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7. Promicanje održivog transporta i micanje uskih grla u ključnim mrežnim infrastrukturama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1011"/>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i/>
          <w:color w:val="000000"/>
          <w:sz w:val="24"/>
          <w:szCs w:val="24"/>
          <w:lang w:eastAsia="hr-HR"/>
        </w:rPr>
        <w:t>Glavna institucija: Ministarstvo pomorstva, prometa i infrastrukture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color w:val="000000"/>
          <w:sz w:val="24"/>
          <w:szCs w:val="24"/>
          <w:lang w:eastAsia="hr-HR"/>
        </w:rPr>
        <w:t>Institucije članice</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Ministarstvo pomorstva, prometa i infrastrukture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regionalnoga razvoja i fondova EU</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financija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gospodarstva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kulture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zaštite okoliša i prirode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graditeljstva i prostornog uređenja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turizma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vanjskih i europskih poslova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Zelena akcija (NVO)</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Energetski institut Hrvoje Požar</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HBOR - Hrvatska banka za obnovu i razvitak</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HŽ infrastruktura d.o.o.</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HAC - Hrvatske autoceste d.o.o.</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Hrvatske ceste d.o.o.</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REGIJE</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444"/>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lastRenderedPageBreak/>
        <w:t xml:space="preserve">Tematska radna skupina V </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444"/>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Tematski cilj</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444"/>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 xml:space="preserve">8. Promicanje održivog i kvalitetnog zapošljavanja te  podržavanje mobilnosti radne snage </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444"/>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 xml:space="preserve">9. Promicanje socijalne uključenosti, borbe protiv siromaštva i svih oblika diskriminacije </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444"/>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10. Ulaganje u obrazovanje, izobrazbu i strukovno osposobljavanje te cjeloživotno učenje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444"/>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i/>
          <w:color w:val="000000"/>
          <w:sz w:val="24"/>
          <w:szCs w:val="24"/>
          <w:lang w:eastAsia="hr-HR"/>
        </w:rPr>
        <w:t>Glavna institucija: Ministarstvo rada i mirovinskoga sustava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444"/>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color w:val="000000"/>
          <w:sz w:val="24"/>
          <w:szCs w:val="24"/>
          <w:lang w:eastAsia="hr-HR"/>
        </w:rPr>
        <w:t>Institucije članice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rada i mirovinskoga sustava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regionalnoga razvoja i fondova Europske unije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branitelja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gospodarstva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graditeljstva i prostornog uređenja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kulture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obrane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color w:val="000000"/>
          <w:sz w:val="24"/>
          <w:szCs w:val="24"/>
          <w:lang w:eastAsia="hr-HR"/>
        </w:rPr>
        <w:t>Ministarstvo poduzetništva i obrta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kulture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socijalne politike i mladih</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turizma</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Ministarstvo vanjskih i europskih poslova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Ministarstvo zaštite okoliša i prirode </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zdravlja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znanosti, obrazovanja i športa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financija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uprave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HZZ - Hrvatski zavod za zapošljavanje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HZMO - Hrvatski zavod za mirovinsko osiguranje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ljudska prava i prava nacionalnih manjina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ravnopravnost spolova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Vladini ured za razminiranje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udruge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HGK - Hrvatska gospodarska komora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HBOR - Hrvatska banka za obnovu i razvitak</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Predstavnici sindikata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HUP - Hrvatska udruga poslodavaca</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HOK - Hrvatska obrtnička komora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Hrvatska vatrogasna zajednica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Grad Zagreb</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REGOS - Središnji registar osiguranika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DUZS - Državna uprava za zaštitu i spašavanje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Jadranska Hrvatska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Istočni dio kontinentalne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Zapadni dio kontinentalne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Tematska radna skupina VI</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Tematski cilj</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i/>
          <w:color w:val="000000"/>
          <w:sz w:val="24"/>
          <w:szCs w:val="24"/>
          <w:lang w:eastAsia="hr-HR"/>
        </w:rPr>
      </w:pPr>
      <w:r w:rsidRPr="009B2E82">
        <w:rPr>
          <w:rFonts w:ascii="Times New Roman" w:eastAsia="Times New Roman" w:hAnsi="Times New Roman" w:cs="Times New Roman"/>
          <w:b/>
          <w:i/>
          <w:color w:val="000000"/>
          <w:sz w:val="24"/>
          <w:szCs w:val="24"/>
          <w:lang w:eastAsia="hr-HR"/>
        </w:rPr>
        <w:t>11. Poboljšanje institucionalnih kapaciteta i učinkovita javna uprava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i/>
          <w:color w:val="000000"/>
          <w:sz w:val="24"/>
          <w:szCs w:val="24"/>
          <w:lang w:eastAsia="hr-HR"/>
        </w:rPr>
        <w:t>Glavna institucija: Ministarstvo uprave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b/>
          <w:color w:val="000000"/>
          <w:sz w:val="24"/>
          <w:szCs w:val="24"/>
          <w:lang w:eastAsia="hr-HR"/>
        </w:rPr>
        <w:t>Institucije članice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GONG - organizacija civilnog društva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socijalne politike i mladih</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regionalnoga razvoja i fondova Europske unije</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Ministarstvo branitelja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DUSZ - Državna uprava za zaštitu i spašavanje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Državna geodetska uprava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udruge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uprave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turizma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zaštite okoliša i prirode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pravosuđa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vanjskih i europskih poslova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kulture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financija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znanosti, obrazovanja i sporta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b/>
          <w:color w:val="000000"/>
          <w:sz w:val="24"/>
          <w:szCs w:val="24"/>
          <w:lang w:eastAsia="hr-HR"/>
        </w:rPr>
      </w:pPr>
      <w:r w:rsidRPr="009B2E82">
        <w:rPr>
          <w:rFonts w:ascii="Times New Roman" w:eastAsia="Times New Roman" w:hAnsi="Times New Roman" w:cs="Times New Roman"/>
          <w:b/>
          <w:color w:val="000000"/>
          <w:sz w:val="24"/>
          <w:szCs w:val="24"/>
          <w:lang w:eastAsia="hr-HR"/>
        </w:rPr>
        <w:t>Ministarstvo poduzetništva i obrta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zdravlja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DŠJU - Državna škola za javnu upravu</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 xml:space="preserve">Pravosudna akademija </w:t>
      </w:r>
    </w:p>
    <w:p w:rsidR="009B2E82" w:rsidRPr="009B2E82" w:rsidRDefault="009B2E82" w:rsidP="009B2E82">
      <w:pPr>
        <w:spacing w:after="0" w:line="240" w:lineRule="auto"/>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br w:type="page"/>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lastRenderedPageBreak/>
        <w:t>Hrvatska vatrogasna zajednica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pomorstva, prometa i infrastrukture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gospodarstva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Sindikati</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HUP - Hrvatska udruga poslodavaca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graditeljstva i prostornog uređenja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Ministarstvo rada i mirovinskoga sustava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Ured za ljudska prava i prava nacionalnih manjina Vlade Republike Hrvatske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HGK - Hrvatska gospodarska komora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DZS - Hrvatski zavod za statistiku</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Agencija za poljoprivredno zemljište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REDEA - Regionalna razvojna agencija Međimurje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Udruga gradova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SI-MO-RA (Razvojna agencija Sisačko-moslavačke županije)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Carinska uprava</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Agencija za elektroničke medije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z w:val="24"/>
          <w:szCs w:val="24"/>
          <w:lang w:eastAsia="hr-HR"/>
        </w:rPr>
      </w:pPr>
      <w:r w:rsidRPr="009B2E82">
        <w:rPr>
          <w:rFonts w:ascii="Times New Roman" w:eastAsia="Times New Roman" w:hAnsi="Times New Roman" w:cs="Times New Roman"/>
          <w:color w:val="000000"/>
          <w:sz w:val="24"/>
          <w:szCs w:val="24"/>
          <w:lang w:eastAsia="hr-HR"/>
        </w:rPr>
        <w:t>RERA SD (Javna ustanova za koordinaciju i razvoj Splitsko-dalmatinske županije)</w:t>
      </w:r>
    </w:p>
    <w:p w:rsidR="009B2E82" w:rsidRPr="009B2E82" w:rsidRDefault="009B2E82" w:rsidP="009B2E82">
      <w:pPr>
        <w:widowControl w:val="0"/>
        <w:shd w:val="clear" w:color="auto" w:fill="FFFFFF"/>
        <w:autoSpaceDE w:val="0"/>
        <w:autoSpaceDN w:val="0"/>
        <w:adjustRightInd w:val="0"/>
        <w:spacing w:after="100" w:afterAutospacing="1" w:line="240" w:lineRule="exact"/>
        <w:ind w:left="544" w:right="6180"/>
        <w:rPr>
          <w:rFonts w:ascii="Times New Roman" w:eastAsia="Times New Roman" w:hAnsi="Times New Roman" w:cs="Times New Roman"/>
          <w:color w:val="000000"/>
          <w:spacing w:val="-1"/>
          <w:sz w:val="24"/>
          <w:szCs w:val="24"/>
          <w:lang w:eastAsia="hr-HR"/>
        </w:rPr>
        <w:sectPr w:rsidR="009B2E82" w:rsidRPr="009B2E82">
          <w:pgSz w:w="16834" w:h="11909" w:orient="landscape"/>
          <w:pgMar w:top="1056" w:right="541" w:bottom="360" w:left="540" w:header="720" w:footer="720" w:gutter="0"/>
          <w:cols w:space="60"/>
          <w:noEndnote/>
        </w:sectPr>
      </w:pPr>
      <w:r w:rsidRPr="009B2E82">
        <w:rPr>
          <w:rFonts w:ascii="Times New Roman" w:eastAsia="Times New Roman" w:hAnsi="Times New Roman" w:cs="Times New Roman"/>
          <w:color w:val="000000"/>
          <w:sz w:val="24"/>
          <w:szCs w:val="24"/>
          <w:lang w:eastAsia="hr-HR"/>
        </w:rPr>
        <w:t>Hrvatska obrtnička komora</w:t>
      </w: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056" w:right="541" w:bottom="360" w:left="540" w:header="720" w:footer="720" w:gutter="0"/>
          <w:cols w:num="3" w:space="720" w:equalWidth="0">
            <w:col w:w="720" w:space="6922"/>
            <w:col w:w="720" w:space="6672"/>
            <w:col w:w="720"/>
          </w:cols>
          <w:noEndnote/>
        </w:sectPr>
      </w:pPr>
    </w:p>
    <w:p w:rsidR="009B2E82" w:rsidRPr="009B2E82" w:rsidRDefault="009B2E82" w:rsidP="009B2E82">
      <w:pPr>
        <w:widowControl w:val="0"/>
        <w:shd w:val="clear" w:color="auto" w:fill="FFFFFF"/>
        <w:autoSpaceDE w:val="0"/>
        <w:autoSpaceDN w:val="0"/>
        <w:adjustRightInd w:val="0"/>
        <w:spacing w:after="0" w:line="240" w:lineRule="auto"/>
        <w:ind w:left="538"/>
        <w:rPr>
          <w:rFonts w:ascii="Arial" w:eastAsia="Times New Roman" w:hAnsi="Arial" w:cs="Arial"/>
          <w:b/>
          <w:sz w:val="20"/>
          <w:szCs w:val="20"/>
          <w:lang w:eastAsia="hr-HR"/>
        </w:rPr>
      </w:pPr>
      <w:r w:rsidRPr="009B2E82">
        <w:rPr>
          <w:rFonts w:ascii="Times New Roman" w:eastAsia="Times New Roman" w:hAnsi="Times New Roman" w:cs="Times New Roman"/>
          <w:b/>
          <w:color w:val="000000"/>
          <w:spacing w:val="2"/>
          <w:sz w:val="24"/>
          <w:szCs w:val="24"/>
          <w:lang w:eastAsia="hr-HR"/>
        </w:rPr>
        <w:lastRenderedPageBreak/>
        <w:t>Dokumenti</w:t>
      </w:r>
    </w:p>
    <w:p w:rsidR="009B2E82" w:rsidRPr="009B2E82" w:rsidRDefault="009B2E82" w:rsidP="009B2E82">
      <w:pPr>
        <w:widowControl w:val="0"/>
        <w:autoSpaceDE w:val="0"/>
        <w:autoSpaceDN w:val="0"/>
        <w:adjustRightInd w:val="0"/>
        <w:spacing w:after="110" w:line="1" w:lineRule="exact"/>
        <w:rPr>
          <w:rFonts w:ascii="Times New Roman" w:eastAsia="Times New Roman" w:hAnsi="Times New Roman" w:cs="Times New Roman"/>
          <w:sz w:val="2"/>
          <w:szCs w:val="2"/>
          <w:lang w:eastAsia="hr-HR"/>
        </w:rPr>
      </w:pPr>
    </w:p>
    <w:tbl>
      <w:tblPr>
        <w:tblW w:w="0" w:type="auto"/>
        <w:tblInd w:w="-38" w:type="dxa"/>
        <w:tblLayout w:type="fixed"/>
        <w:tblCellMar>
          <w:left w:w="40" w:type="dxa"/>
          <w:right w:w="40" w:type="dxa"/>
        </w:tblCellMar>
        <w:tblLook w:val="0000" w:firstRow="0" w:lastRow="0" w:firstColumn="0" w:lastColumn="0" w:noHBand="0" w:noVBand="0"/>
      </w:tblPr>
      <w:tblGrid>
        <w:gridCol w:w="2179"/>
        <w:gridCol w:w="2035"/>
        <w:gridCol w:w="1325"/>
        <w:gridCol w:w="1142"/>
        <w:gridCol w:w="1411"/>
        <w:gridCol w:w="4166"/>
        <w:gridCol w:w="1536"/>
        <w:gridCol w:w="1114"/>
      </w:tblGrid>
      <w:tr w:rsidR="009B2E82" w:rsidRPr="009B2E82" w:rsidTr="009B2E82">
        <w:trPr>
          <w:trHeight w:hRule="exact" w:val="624"/>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7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16"/>
                <w:szCs w:val="16"/>
                <w:lang w:eastAsia="hr-HR"/>
              </w:rPr>
              <w:t>Naziv dokumenta</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8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Vrsta dokumenta</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Datum dokumenta</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39" w:right="14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Lokalna referenca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68" w:right="173"/>
              <w:rPr>
                <w:rFonts w:ascii="Times New Roman" w:eastAsia="Times New Roman" w:hAnsi="Times New Roman" w:cs="Times New Roman"/>
                <w:b/>
                <w:bCs/>
                <w:color w:val="000000"/>
                <w:spacing w:val="-1"/>
                <w:sz w:val="16"/>
                <w:szCs w:val="16"/>
                <w:lang w:eastAsia="hr-HR"/>
              </w:rPr>
            </w:pPr>
            <w:r w:rsidRPr="009B2E82">
              <w:rPr>
                <w:rFonts w:ascii="Times New Roman" w:eastAsia="Times New Roman" w:hAnsi="Times New Roman" w:cs="Times New Roman"/>
                <w:b/>
                <w:bCs/>
                <w:color w:val="000000"/>
                <w:spacing w:val="-1"/>
                <w:sz w:val="16"/>
                <w:szCs w:val="16"/>
                <w:lang w:eastAsia="hr-HR"/>
              </w:rPr>
              <w:t xml:space="preserve">Referenca Komisije </w:t>
            </w: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8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4"/>
                <w:sz w:val="16"/>
                <w:szCs w:val="16"/>
                <w:lang w:eastAsia="hr-HR"/>
              </w:rPr>
              <w:t>Datoteka</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3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Datum slanja</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16"/>
                <w:szCs w:val="16"/>
                <w:lang w:eastAsia="hr-HR"/>
              </w:rPr>
              <w:t>Poslao</w:t>
            </w:r>
          </w:p>
        </w:tc>
      </w:tr>
      <w:tr w:rsidR="009B2E82" w:rsidRPr="009B2E82" w:rsidTr="009B2E82">
        <w:trPr>
          <w:trHeight w:hRule="exact" w:val="806"/>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z w:val="16"/>
                <w:szCs w:val="16"/>
                <w:lang w:eastAsia="hr-HR"/>
              </w:rPr>
              <w:t xml:space="preserve">4_5 EUS Adriatic and Ionian Region Corelation Table for </w:t>
            </w:r>
            <w:r w:rsidRPr="009B2E82">
              <w:rPr>
                <w:rFonts w:ascii="Times New Roman" w:eastAsia="Times New Roman" w:hAnsi="Times New Roman" w:cs="Times New Roman"/>
                <w:color w:val="000000"/>
                <w:spacing w:val="-5"/>
                <w:sz w:val="16"/>
                <w:szCs w:val="16"/>
                <w:lang w:eastAsia="hr-HR"/>
              </w:rPr>
              <w:t>SFC</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Prilozi programu</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18"/>
                <w:szCs w:val="18"/>
                <w:lang w:eastAsia="hr-HR"/>
              </w:rPr>
              <w:t>21. srpnja 2014.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230"/>
              <w:rPr>
                <w:rFonts w:ascii="Arial" w:eastAsia="Times New Roman" w:hAnsi="Arial" w:cs="Arial"/>
                <w:sz w:val="20"/>
                <w:szCs w:val="20"/>
                <w:lang w:eastAsia="hr-HR"/>
              </w:rPr>
            </w:pPr>
            <w:r w:rsidRPr="009B2E82">
              <w:rPr>
                <w:rFonts w:ascii="Times New Roman" w:eastAsia="Times New Roman" w:hAnsi="Times New Roman" w:cs="Times New Roman"/>
                <w:color w:val="000000"/>
                <w:sz w:val="16"/>
                <w:szCs w:val="16"/>
                <w:lang w:eastAsia="hr-HR"/>
              </w:rPr>
              <w:t xml:space="preserve">4 5 EUS Adriatic and Ionian Region Corelation Table for </w:t>
            </w:r>
            <w:r w:rsidRPr="009B2E82">
              <w:rPr>
                <w:rFonts w:ascii="Times New Roman" w:eastAsia="Times New Roman" w:hAnsi="Times New Roman" w:cs="Times New Roman"/>
                <w:color w:val="000000"/>
                <w:spacing w:val="-5"/>
                <w:sz w:val="16"/>
                <w:szCs w:val="16"/>
                <w:lang w:eastAsia="hr-HR"/>
              </w:rPr>
              <w:t>SFC</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1171"/>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1"/>
                <w:sz w:val="16"/>
                <w:szCs w:val="16"/>
                <w:lang w:eastAsia="hr-HR"/>
              </w:rPr>
              <w:t xml:space="preserve">Action Plan for fulfilment of </w:t>
            </w:r>
            <w:r w:rsidRPr="009B2E82">
              <w:rPr>
                <w:rFonts w:ascii="Times New Roman" w:eastAsia="Times New Roman" w:hAnsi="Times New Roman" w:cs="Times New Roman"/>
                <w:color w:val="000000"/>
                <w:spacing w:val="1"/>
                <w:sz w:val="16"/>
                <w:szCs w:val="16"/>
                <w:lang w:eastAsia="hr-HR"/>
              </w:rPr>
              <w:t>ex ante conditionality -</w:t>
            </w:r>
            <w:r w:rsidRPr="009B2E82">
              <w:rPr>
                <w:rFonts w:ascii="Times New Roman" w:eastAsia="Times New Roman" w:hAnsi="Times New Roman" w:cs="Times New Roman"/>
                <w:color w:val="000000"/>
                <w:spacing w:val="-1"/>
                <w:sz w:val="16"/>
                <w:szCs w:val="16"/>
                <w:lang w:eastAsia="hr-HR"/>
              </w:rPr>
              <w:t>Croatia-TO7</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408"/>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Dokumentacija o ocjenjivanju primjenjivosti i ispunjavanja ex-ante uvjeta</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18"/>
                <w:szCs w:val="18"/>
                <w:lang w:eastAsia="hr-HR"/>
              </w:rPr>
              <w:t>14. srpnja 2014.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right="557"/>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Action Plan for fulfilment of ex ante conditionality -Croatia-TO7</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979"/>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2"/>
                <w:sz w:val="16"/>
                <w:szCs w:val="16"/>
                <w:lang w:eastAsia="hr-HR"/>
              </w:rPr>
              <w:t xml:space="preserve">Section 7 Authorities and </w:t>
            </w:r>
            <w:r w:rsidRPr="009B2E82">
              <w:rPr>
                <w:rFonts w:ascii="Times New Roman" w:eastAsia="Times New Roman" w:hAnsi="Times New Roman" w:cs="Times New Roman"/>
                <w:color w:val="000000"/>
                <w:sz w:val="16"/>
                <w:szCs w:val="16"/>
                <w:lang w:eastAsia="hr-HR"/>
              </w:rPr>
              <w:t xml:space="preserve">Bodies responsible for </w:t>
            </w:r>
            <w:r w:rsidRPr="009B2E82">
              <w:rPr>
                <w:rFonts w:ascii="Times New Roman" w:eastAsia="Times New Roman" w:hAnsi="Times New Roman" w:cs="Times New Roman"/>
                <w:color w:val="000000"/>
                <w:spacing w:val="-1"/>
                <w:sz w:val="16"/>
                <w:szCs w:val="16"/>
                <w:lang w:eastAsia="hr-HR"/>
              </w:rPr>
              <w:t xml:space="preserve">management, control and </w:t>
            </w:r>
            <w:r w:rsidRPr="009B2E82">
              <w:rPr>
                <w:rFonts w:ascii="Times New Roman" w:eastAsia="Times New Roman" w:hAnsi="Times New Roman" w:cs="Times New Roman"/>
                <w:color w:val="000000"/>
                <w:spacing w:val="-2"/>
                <w:sz w:val="16"/>
                <w:szCs w:val="16"/>
                <w:lang w:eastAsia="hr-HR"/>
              </w:rPr>
              <w:t>audit</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Prilozi programu</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8"/>
                <w:sz w:val="18"/>
                <w:szCs w:val="18"/>
                <w:lang w:eastAsia="hr-HR"/>
              </w:rPr>
              <w:t>18. srpnja 2014.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Section 7 1 Relevant authorities and bodies</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624"/>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3"/>
                <w:sz w:val="16"/>
                <w:szCs w:val="16"/>
                <w:lang w:eastAsia="hr-HR"/>
              </w:rPr>
              <w:t xml:space="preserve">4_5 EUS Danube Region </w:t>
            </w:r>
            <w:r w:rsidRPr="009B2E82">
              <w:rPr>
                <w:rFonts w:ascii="Times New Roman" w:eastAsia="Times New Roman" w:hAnsi="Times New Roman" w:cs="Times New Roman"/>
                <w:color w:val="000000"/>
                <w:spacing w:val="-1"/>
                <w:sz w:val="16"/>
                <w:szCs w:val="16"/>
                <w:lang w:eastAsia="hr-HR"/>
              </w:rPr>
              <w:t>Corelation Table for SFC</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Prilozi programu</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18"/>
                <w:szCs w:val="18"/>
                <w:lang w:eastAsia="hr-HR"/>
              </w:rPr>
              <w:t>21. srpnja 2014.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1"/>
                <w:sz w:val="16"/>
                <w:szCs w:val="16"/>
                <w:lang w:eastAsia="hr-HR"/>
              </w:rPr>
              <w:t>45 EUS Danube Region Corelation Table for SFC</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1171"/>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4"/>
                <w:sz w:val="16"/>
                <w:szCs w:val="16"/>
                <w:lang w:eastAsia="hr-HR"/>
              </w:rPr>
              <w:t xml:space="preserve">General _EAC_Public </w:t>
            </w:r>
            <w:r w:rsidRPr="009B2E82">
              <w:rPr>
                <w:rFonts w:ascii="Times New Roman" w:eastAsia="Times New Roman" w:hAnsi="Times New Roman" w:cs="Times New Roman"/>
                <w:color w:val="000000"/>
                <w:spacing w:val="2"/>
                <w:sz w:val="16"/>
                <w:szCs w:val="16"/>
                <w:lang w:eastAsia="hr-HR"/>
              </w:rPr>
              <w:t xml:space="preserve">Procurement_additional_infor </w:t>
            </w:r>
            <w:r w:rsidRPr="009B2E82">
              <w:rPr>
                <w:rFonts w:ascii="Times New Roman" w:eastAsia="Times New Roman" w:hAnsi="Times New Roman" w:cs="Times New Roman"/>
                <w:color w:val="000000"/>
                <w:sz w:val="16"/>
                <w:szCs w:val="16"/>
                <w:lang w:eastAsia="hr-HR"/>
              </w:rPr>
              <w:t>mation_July_2014</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408"/>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Dokumentacija o ocjenjivanju primjenjivosti i ispunjavanja ex-ante uvjeta</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18"/>
                <w:szCs w:val="18"/>
                <w:lang w:eastAsia="hr-HR"/>
              </w:rPr>
              <w:t>3. srpnja 2014.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830"/>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 xml:space="preserve">General EAC Public </w:t>
            </w:r>
            <w:r w:rsidRPr="009B2E82">
              <w:rPr>
                <w:rFonts w:ascii="Times New Roman" w:eastAsia="Times New Roman" w:hAnsi="Times New Roman" w:cs="Times New Roman"/>
                <w:color w:val="000000"/>
                <w:spacing w:val="2"/>
                <w:sz w:val="16"/>
                <w:szCs w:val="16"/>
                <w:lang w:eastAsia="hr-HR"/>
              </w:rPr>
              <w:t>Procurement additional information July 2014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1162"/>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5"/>
                <w:sz w:val="16"/>
                <w:szCs w:val="16"/>
                <w:lang w:eastAsia="hr-HR"/>
              </w:rPr>
              <w:t xml:space="preserve">General_EAC_State Aid_add </w:t>
            </w:r>
            <w:r w:rsidRPr="009B2E82">
              <w:rPr>
                <w:rFonts w:ascii="Times New Roman" w:eastAsia="Times New Roman" w:hAnsi="Times New Roman" w:cs="Times New Roman"/>
                <w:color w:val="000000"/>
                <w:spacing w:val="3"/>
                <w:sz w:val="16"/>
                <w:szCs w:val="16"/>
                <w:lang w:eastAsia="hr-HR"/>
              </w:rPr>
              <w:t>itional_information_July_201</w:t>
            </w:r>
            <w:r w:rsidRPr="009B2E82">
              <w:rPr>
                <w:rFonts w:ascii="Times New Roman" w:eastAsia="Times New Roman" w:hAnsi="Times New Roman" w:cs="Times New Roman"/>
                <w:color w:val="000000"/>
                <w:sz w:val="16"/>
                <w:szCs w:val="16"/>
                <w:lang w:eastAsia="hr-HR"/>
              </w:rPr>
              <w:t>4</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408"/>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Dokumentacija o ocjenjivanju primjenjivosti i ispunjavanja ex-ante uvjeta</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18"/>
                <w:szCs w:val="18"/>
                <w:lang w:eastAsia="hr-HR"/>
              </w:rPr>
              <w:t>3. srpnja 2014.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pacing w:val="4"/>
                <w:sz w:val="16"/>
                <w:szCs w:val="16"/>
                <w:lang w:eastAsia="hr-HR"/>
              </w:rPr>
              <w:t>General EAC State Aid additional information July 2014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r w:rsidR="009B2E82" w:rsidRPr="009B2E82" w:rsidTr="009B2E82">
        <w:trPr>
          <w:trHeight w:hRule="exact" w:val="1190"/>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autoSpaceDE w:val="0"/>
              <w:autoSpaceDN w:val="0"/>
              <w:adjustRightInd w:val="0"/>
              <w:spacing w:after="0" w:line="240" w:lineRule="auto"/>
              <w:rPr>
                <w:rFonts w:ascii="Times New Roman" w:eastAsia="Times New Roman" w:hAnsi="Times New Roman" w:cs="Times New Roman"/>
                <w:sz w:val="16"/>
                <w:szCs w:val="16"/>
                <w:lang w:eastAsia="hr-HR"/>
              </w:rPr>
            </w:pPr>
            <w:r w:rsidRPr="009B2E82">
              <w:rPr>
                <w:rFonts w:ascii="Times New Roman" w:eastAsia="Times New Roman" w:hAnsi="Times New Roman" w:cs="Times New Roman"/>
                <w:color w:val="000000"/>
                <w:spacing w:val="5"/>
                <w:sz w:val="16"/>
                <w:szCs w:val="16"/>
                <w:lang w:eastAsia="hr-HR"/>
              </w:rPr>
              <w:t xml:space="preserve">OPKK_EAC_MASTER_Fina </w:t>
            </w:r>
            <w:r w:rsidRPr="009B2E82">
              <w:rPr>
                <w:rFonts w:ascii="Times New Roman" w:eastAsia="Times New Roman" w:hAnsi="Times New Roman" w:cs="Times New Roman"/>
                <w:color w:val="000000"/>
                <w:spacing w:val="4"/>
                <w:sz w:val="16"/>
                <w:szCs w:val="16"/>
                <w:lang w:eastAsia="hr-HR"/>
              </w:rPr>
              <w:t>121.7.2014.pdf</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408"/>
              <w:rPr>
                <w:rFonts w:ascii="Times New Roman" w:eastAsia="Times New Roman" w:hAnsi="Times New Roman" w:cs="Times New Roman"/>
                <w:color w:val="000000"/>
                <w:spacing w:val="-2"/>
                <w:sz w:val="16"/>
                <w:szCs w:val="16"/>
                <w:lang w:eastAsia="hr-HR"/>
              </w:rPr>
            </w:pPr>
            <w:r w:rsidRPr="009B2E82">
              <w:rPr>
                <w:rFonts w:ascii="Times New Roman" w:eastAsia="Times New Roman" w:hAnsi="Times New Roman" w:cs="Times New Roman"/>
                <w:color w:val="000000"/>
                <w:spacing w:val="-2"/>
                <w:sz w:val="16"/>
                <w:szCs w:val="16"/>
                <w:lang w:eastAsia="hr-HR"/>
              </w:rPr>
              <w:t>Dokumentacija o ocjenjivanju primjenjivosti i ispunjavanja ex-ante uvjeta</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18"/>
                <w:szCs w:val="18"/>
                <w:lang w:eastAsia="hr-HR"/>
              </w:rPr>
              <w:t>21. srpnja 2014.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r w:rsidRPr="009B2E82">
              <w:rPr>
                <w:rFonts w:ascii="Times New Roman" w:eastAsia="Times New Roman" w:hAnsi="Times New Roman" w:cs="Times New Roman"/>
                <w:color w:val="000000"/>
                <w:sz w:val="16"/>
                <w:szCs w:val="16"/>
                <w:lang w:eastAsia="hr-HR"/>
              </w:rPr>
              <w:t>OPKK_EAC_MASTER_Final21.7.2014..pdf</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361" w:right="541" w:bottom="360" w:left="540"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46" w:lineRule="exact"/>
        <w:rPr>
          <w:rFonts w:ascii="Arial" w:eastAsia="Times New Roman" w:hAnsi="Arial" w:cs="Arial"/>
          <w:sz w:val="20"/>
          <w:szCs w:val="20"/>
          <w:lang w:eastAsia="hr-HR"/>
        </w:rPr>
        <w:sectPr w:rsidR="009B2E82" w:rsidRPr="009B2E82">
          <w:type w:val="continuous"/>
          <w:pgSz w:w="16834" w:h="11909" w:orient="landscape"/>
          <w:pgMar w:top="1361" w:right="541" w:bottom="360" w:left="540" w:header="720" w:footer="720" w:gutter="0"/>
          <w:cols w:num="3" w:space="720" w:equalWidth="0">
            <w:col w:w="720" w:space="6922"/>
            <w:col w:w="720" w:space="6672"/>
            <w:col w:w="720"/>
          </w:cols>
          <w:noEndnote/>
        </w:sectPr>
      </w:pPr>
    </w:p>
    <w:tbl>
      <w:tblPr>
        <w:tblW w:w="0" w:type="auto"/>
        <w:tblInd w:w="-38" w:type="dxa"/>
        <w:tblLayout w:type="fixed"/>
        <w:tblCellMar>
          <w:left w:w="40" w:type="dxa"/>
          <w:right w:w="40" w:type="dxa"/>
        </w:tblCellMar>
        <w:tblLook w:val="0000" w:firstRow="0" w:lastRow="0" w:firstColumn="0" w:lastColumn="0" w:noHBand="0" w:noVBand="0"/>
      </w:tblPr>
      <w:tblGrid>
        <w:gridCol w:w="2179"/>
        <w:gridCol w:w="2035"/>
        <w:gridCol w:w="1325"/>
        <w:gridCol w:w="1142"/>
        <w:gridCol w:w="1411"/>
        <w:gridCol w:w="4166"/>
        <w:gridCol w:w="1536"/>
        <w:gridCol w:w="1114"/>
      </w:tblGrid>
      <w:tr w:rsidR="009B2E82" w:rsidRPr="009B2E82" w:rsidTr="009B2E82">
        <w:trPr>
          <w:trHeight w:hRule="exact" w:val="624"/>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475"/>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1"/>
                <w:sz w:val="16"/>
                <w:szCs w:val="16"/>
                <w:lang w:eastAsia="hr-HR"/>
              </w:rPr>
              <w:lastRenderedPageBreak/>
              <w:t>Naziv dokumenta</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8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Vrsta dokumenta</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Datum dokumenta</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39" w:right="144"/>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Lokalna referenca</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7" w:lineRule="exact"/>
              <w:ind w:left="168" w:right="173"/>
              <w:rPr>
                <w:rFonts w:ascii="Times New Roman" w:eastAsia="Times New Roman" w:hAnsi="Times New Roman" w:cs="Times New Roman"/>
                <w:b/>
                <w:bCs/>
                <w:color w:val="000000"/>
                <w:spacing w:val="-1"/>
                <w:sz w:val="16"/>
                <w:szCs w:val="16"/>
                <w:lang w:eastAsia="hr-HR"/>
              </w:rPr>
            </w:pPr>
            <w:r w:rsidRPr="009B2E82">
              <w:rPr>
                <w:rFonts w:ascii="Times New Roman" w:eastAsia="Times New Roman" w:hAnsi="Times New Roman" w:cs="Times New Roman"/>
                <w:b/>
                <w:bCs/>
                <w:color w:val="000000"/>
                <w:spacing w:val="-1"/>
                <w:sz w:val="16"/>
                <w:szCs w:val="16"/>
                <w:lang w:eastAsia="hr-HR"/>
              </w:rPr>
              <w:t xml:space="preserve">Referenca Komisije </w:t>
            </w: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810"/>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4"/>
                <w:sz w:val="16"/>
                <w:szCs w:val="16"/>
                <w:lang w:eastAsia="hr-HR"/>
              </w:rPr>
              <w:t>Datoteka</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336"/>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2"/>
                <w:sz w:val="16"/>
                <w:szCs w:val="16"/>
                <w:lang w:eastAsia="hr-HR"/>
              </w:rPr>
              <w:t>Datum slanja</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ind w:left="173"/>
              <w:rPr>
                <w:rFonts w:ascii="Arial" w:eastAsia="Times New Roman" w:hAnsi="Arial" w:cs="Arial"/>
                <w:sz w:val="20"/>
                <w:szCs w:val="20"/>
                <w:lang w:eastAsia="hr-HR"/>
              </w:rPr>
            </w:pPr>
            <w:r w:rsidRPr="009B2E82">
              <w:rPr>
                <w:rFonts w:ascii="Times New Roman" w:eastAsia="Times New Roman" w:hAnsi="Times New Roman" w:cs="Times New Roman"/>
                <w:b/>
                <w:bCs/>
                <w:color w:val="000000"/>
                <w:spacing w:val="-3"/>
                <w:sz w:val="16"/>
                <w:szCs w:val="16"/>
                <w:lang w:eastAsia="hr-HR"/>
              </w:rPr>
              <w:t>Poslao</w:t>
            </w:r>
          </w:p>
        </w:tc>
      </w:tr>
      <w:tr w:rsidR="009B2E82" w:rsidRPr="009B2E82" w:rsidTr="009B2E82">
        <w:trPr>
          <w:trHeight w:hRule="exact" w:val="816"/>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left="10" w:right="24"/>
              <w:rPr>
                <w:rFonts w:ascii="Arial" w:eastAsia="Times New Roman" w:hAnsi="Arial" w:cs="Arial"/>
                <w:sz w:val="20"/>
                <w:szCs w:val="20"/>
                <w:lang w:eastAsia="hr-HR"/>
              </w:rPr>
            </w:pPr>
            <w:r w:rsidRPr="009B2E82">
              <w:rPr>
                <w:rFonts w:ascii="Times New Roman" w:eastAsia="Times New Roman" w:hAnsi="Times New Roman" w:cs="Times New Roman"/>
                <w:color w:val="000000"/>
                <w:spacing w:val="5"/>
                <w:sz w:val="16"/>
                <w:szCs w:val="16"/>
                <w:lang w:eastAsia="hr-HR"/>
              </w:rPr>
              <w:t>HR DRAFT EX-ANTE REPORT OPCC 201 4 2020 21  07 2014</w:t>
            </w:r>
          </w:p>
        </w:tc>
        <w:tc>
          <w:tcPr>
            <w:tcW w:w="203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475"/>
              <w:rPr>
                <w:rFonts w:ascii="Arial" w:eastAsia="Times New Roman" w:hAnsi="Arial" w:cs="Arial"/>
                <w:sz w:val="20"/>
                <w:szCs w:val="20"/>
                <w:lang w:eastAsia="hr-HR"/>
              </w:rPr>
            </w:pPr>
            <w:r w:rsidRPr="009B2E82">
              <w:rPr>
                <w:rFonts w:ascii="Times New Roman" w:eastAsia="Times New Roman" w:hAnsi="Times New Roman" w:cs="Times New Roman"/>
                <w:color w:val="000000"/>
                <w:spacing w:val="-2"/>
                <w:sz w:val="16"/>
                <w:szCs w:val="16"/>
                <w:lang w:eastAsia="hr-HR"/>
              </w:rPr>
              <w:t xml:space="preserve">Izvještaj o ex-ante </w:t>
            </w:r>
            <w:r w:rsidRPr="009B2E82">
              <w:rPr>
                <w:rFonts w:ascii="Times New Roman" w:eastAsia="Times New Roman" w:hAnsi="Times New Roman" w:cs="Times New Roman"/>
                <w:color w:val="000000"/>
                <w:spacing w:val="-1"/>
                <w:sz w:val="16"/>
                <w:szCs w:val="16"/>
                <w:lang w:eastAsia="hr-HR"/>
              </w:rPr>
              <w:t>procjeni</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jc w:val="center"/>
              <w:rPr>
                <w:rFonts w:ascii="Arial" w:eastAsia="Times New Roman" w:hAnsi="Arial" w:cs="Arial"/>
                <w:sz w:val="20"/>
                <w:szCs w:val="20"/>
                <w:lang w:eastAsia="hr-HR"/>
              </w:rPr>
            </w:pPr>
            <w:r w:rsidRPr="009B2E82">
              <w:rPr>
                <w:rFonts w:ascii="Times New Roman" w:eastAsia="Times New Roman" w:hAnsi="Times New Roman" w:cs="Times New Roman"/>
                <w:color w:val="000000"/>
                <w:spacing w:val="-7"/>
                <w:sz w:val="18"/>
                <w:szCs w:val="18"/>
                <w:lang w:eastAsia="hr-HR"/>
              </w:rPr>
              <w:t>21. srpnja 2014.</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416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182" w:lineRule="exact"/>
              <w:ind w:right="653"/>
              <w:rPr>
                <w:rFonts w:ascii="Arial" w:eastAsia="Times New Roman" w:hAnsi="Arial" w:cs="Arial"/>
                <w:sz w:val="20"/>
                <w:szCs w:val="20"/>
                <w:lang w:eastAsia="hr-HR"/>
              </w:rPr>
            </w:pPr>
            <w:r w:rsidRPr="009B2E82">
              <w:rPr>
                <w:rFonts w:ascii="Times New Roman" w:eastAsia="Times New Roman" w:hAnsi="Times New Roman" w:cs="Times New Roman"/>
                <w:color w:val="000000"/>
                <w:spacing w:val="17"/>
                <w:sz w:val="14"/>
                <w:szCs w:val="14"/>
                <w:lang w:eastAsia="hr-HR"/>
              </w:rPr>
              <w:t>HR DRAFT EX-ANTEREPORTOPCC2014202021072014</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9B2E82" w:rsidRPr="009B2E82" w:rsidRDefault="009B2E82" w:rsidP="009B2E82">
            <w:pPr>
              <w:widowControl w:val="0"/>
              <w:shd w:val="clear" w:color="auto" w:fill="FFFFFF"/>
              <w:autoSpaceDE w:val="0"/>
              <w:autoSpaceDN w:val="0"/>
              <w:adjustRightInd w:val="0"/>
              <w:spacing w:after="0" w:line="240" w:lineRule="auto"/>
              <w:rPr>
                <w:rFonts w:ascii="Arial" w:eastAsia="Times New Roman" w:hAnsi="Arial" w:cs="Arial"/>
                <w:sz w:val="20"/>
                <w:szCs w:val="20"/>
                <w:lang w:eastAsia="hr-HR"/>
              </w:rPr>
            </w:pPr>
          </w:p>
        </w:tc>
      </w:tr>
    </w:tbl>
    <w:p w:rsidR="009B2E82" w:rsidRPr="009B2E82" w:rsidRDefault="009B2E82" w:rsidP="009B2E82">
      <w:pPr>
        <w:widowControl w:val="0"/>
        <w:autoSpaceDE w:val="0"/>
        <w:autoSpaceDN w:val="0"/>
        <w:adjustRightInd w:val="0"/>
        <w:spacing w:after="0" w:line="240" w:lineRule="auto"/>
        <w:rPr>
          <w:rFonts w:ascii="Arial" w:eastAsia="Times New Roman" w:hAnsi="Arial" w:cs="Arial"/>
          <w:sz w:val="20"/>
          <w:szCs w:val="20"/>
          <w:lang w:eastAsia="hr-HR"/>
        </w:rPr>
        <w:sectPr w:rsidR="009B2E82" w:rsidRPr="009B2E82">
          <w:pgSz w:w="16834" w:h="11909" w:orient="landscape"/>
          <w:pgMar w:top="1356" w:right="536" w:bottom="360" w:left="535" w:header="720" w:footer="720" w:gutter="0"/>
          <w:cols w:space="60"/>
          <w:noEndnote/>
        </w:sectPr>
      </w:pPr>
    </w:p>
    <w:p w:rsidR="009B2E82" w:rsidRPr="009B2E82" w:rsidRDefault="009B2E82" w:rsidP="009B2E82">
      <w:pPr>
        <w:widowControl w:val="0"/>
        <w:shd w:val="clear" w:color="auto" w:fill="FFFFFF"/>
        <w:autoSpaceDE w:val="0"/>
        <w:autoSpaceDN w:val="0"/>
        <w:adjustRightInd w:val="0"/>
        <w:spacing w:after="0" w:line="240" w:lineRule="auto"/>
        <w:ind w:left="552"/>
        <w:rPr>
          <w:rFonts w:ascii="Arial" w:eastAsia="Times New Roman" w:hAnsi="Arial" w:cs="Arial"/>
          <w:sz w:val="20"/>
          <w:szCs w:val="20"/>
          <w:lang w:eastAsia="hr-HR"/>
        </w:rPr>
      </w:pPr>
    </w:p>
    <w:p w:rsidR="009B2E82" w:rsidRPr="009B2E82" w:rsidRDefault="009B2E82" w:rsidP="009B2E82">
      <w:pPr>
        <w:widowControl w:val="0"/>
        <w:shd w:val="clear" w:color="auto" w:fill="FFFFFF"/>
        <w:autoSpaceDE w:val="0"/>
        <w:autoSpaceDN w:val="0"/>
        <w:adjustRightInd w:val="0"/>
        <w:spacing w:after="0" w:line="355" w:lineRule="exact"/>
        <w:rPr>
          <w:rFonts w:ascii="Arial" w:eastAsia="Times New Roman" w:hAnsi="Arial" w:cs="Arial"/>
          <w:sz w:val="20"/>
          <w:szCs w:val="20"/>
          <w:lang w:eastAsia="hr-HR"/>
        </w:rPr>
      </w:pPr>
    </w:p>
    <w:p w:rsidR="009B2E82" w:rsidRPr="00576C1D" w:rsidRDefault="009B2E82">
      <w:pPr>
        <w:rPr>
          <w:rFonts w:ascii="Times New Roman" w:hAnsi="Times New Roman" w:cs="Times New Roman"/>
        </w:rPr>
      </w:pPr>
    </w:p>
    <w:sectPr w:rsidR="009B2E82" w:rsidRPr="00576C1D" w:rsidSect="0010379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E95" w:rsidRDefault="00942E95" w:rsidP="006A290F">
      <w:pPr>
        <w:spacing w:after="0" w:line="240" w:lineRule="auto"/>
      </w:pPr>
      <w:r>
        <w:separator/>
      </w:r>
    </w:p>
  </w:endnote>
  <w:endnote w:type="continuationSeparator" w:id="0">
    <w:p w:rsidR="00942E95" w:rsidRDefault="00942E95" w:rsidP="006A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8B" w:rsidRDefault="00324C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8B" w:rsidRDefault="00324C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8B" w:rsidRDefault="00324C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E82" w:rsidRDefault="009B2E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E82" w:rsidRDefault="009B2E8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E82" w:rsidRDefault="009B2E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E95" w:rsidRDefault="00942E95" w:rsidP="006A290F">
      <w:pPr>
        <w:spacing w:after="0" w:line="240" w:lineRule="auto"/>
      </w:pPr>
      <w:r>
        <w:separator/>
      </w:r>
    </w:p>
  </w:footnote>
  <w:footnote w:type="continuationSeparator" w:id="0">
    <w:p w:rsidR="00942E95" w:rsidRDefault="00942E95" w:rsidP="006A2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8B" w:rsidRDefault="00324C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8B" w:rsidRDefault="00324C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8B" w:rsidRDefault="00324C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E82" w:rsidRDefault="009B2E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E82" w:rsidRDefault="009B2E8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E82" w:rsidRDefault="009B2E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3BEE996"/>
    <w:lvl w:ilvl="0">
      <w:numFmt w:val="bullet"/>
      <w:lvlText w:val="*"/>
      <w:lvlJc w:val="left"/>
    </w:lvl>
  </w:abstractNum>
  <w:abstractNum w:abstractNumId="1">
    <w:nsid w:val="03DE051C"/>
    <w:multiLevelType w:val="hybridMultilevel"/>
    <w:tmpl w:val="919A6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4653CB2"/>
    <w:multiLevelType w:val="hybridMultilevel"/>
    <w:tmpl w:val="777892C6"/>
    <w:lvl w:ilvl="0" w:tplc="041A0001">
      <w:start w:val="1"/>
      <w:numFmt w:val="bullet"/>
      <w:lvlText w:val=""/>
      <w:lvlJc w:val="left"/>
      <w:pPr>
        <w:ind w:left="2078" w:hanging="360"/>
      </w:pPr>
      <w:rPr>
        <w:rFonts w:ascii="Symbol" w:hAnsi="Symbol" w:hint="default"/>
      </w:rPr>
    </w:lvl>
    <w:lvl w:ilvl="1" w:tplc="041A0003" w:tentative="1">
      <w:start w:val="1"/>
      <w:numFmt w:val="bullet"/>
      <w:lvlText w:val="o"/>
      <w:lvlJc w:val="left"/>
      <w:pPr>
        <w:ind w:left="2798" w:hanging="360"/>
      </w:pPr>
      <w:rPr>
        <w:rFonts w:ascii="Courier New" w:hAnsi="Courier New" w:cs="Courier New" w:hint="default"/>
      </w:rPr>
    </w:lvl>
    <w:lvl w:ilvl="2" w:tplc="041A0005" w:tentative="1">
      <w:start w:val="1"/>
      <w:numFmt w:val="bullet"/>
      <w:lvlText w:val=""/>
      <w:lvlJc w:val="left"/>
      <w:pPr>
        <w:ind w:left="3518" w:hanging="360"/>
      </w:pPr>
      <w:rPr>
        <w:rFonts w:ascii="Wingdings" w:hAnsi="Wingdings" w:hint="default"/>
      </w:rPr>
    </w:lvl>
    <w:lvl w:ilvl="3" w:tplc="041A0001" w:tentative="1">
      <w:start w:val="1"/>
      <w:numFmt w:val="bullet"/>
      <w:lvlText w:val=""/>
      <w:lvlJc w:val="left"/>
      <w:pPr>
        <w:ind w:left="4238" w:hanging="360"/>
      </w:pPr>
      <w:rPr>
        <w:rFonts w:ascii="Symbol" w:hAnsi="Symbol" w:hint="default"/>
      </w:rPr>
    </w:lvl>
    <w:lvl w:ilvl="4" w:tplc="041A0003" w:tentative="1">
      <w:start w:val="1"/>
      <w:numFmt w:val="bullet"/>
      <w:lvlText w:val="o"/>
      <w:lvlJc w:val="left"/>
      <w:pPr>
        <w:ind w:left="4958" w:hanging="360"/>
      </w:pPr>
      <w:rPr>
        <w:rFonts w:ascii="Courier New" w:hAnsi="Courier New" w:cs="Courier New" w:hint="default"/>
      </w:rPr>
    </w:lvl>
    <w:lvl w:ilvl="5" w:tplc="041A0005" w:tentative="1">
      <w:start w:val="1"/>
      <w:numFmt w:val="bullet"/>
      <w:lvlText w:val=""/>
      <w:lvlJc w:val="left"/>
      <w:pPr>
        <w:ind w:left="5678" w:hanging="360"/>
      </w:pPr>
      <w:rPr>
        <w:rFonts w:ascii="Wingdings" w:hAnsi="Wingdings" w:hint="default"/>
      </w:rPr>
    </w:lvl>
    <w:lvl w:ilvl="6" w:tplc="041A0001" w:tentative="1">
      <w:start w:val="1"/>
      <w:numFmt w:val="bullet"/>
      <w:lvlText w:val=""/>
      <w:lvlJc w:val="left"/>
      <w:pPr>
        <w:ind w:left="6398" w:hanging="360"/>
      </w:pPr>
      <w:rPr>
        <w:rFonts w:ascii="Symbol" w:hAnsi="Symbol" w:hint="default"/>
      </w:rPr>
    </w:lvl>
    <w:lvl w:ilvl="7" w:tplc="041A0003" w:tentative="1">
      <w:start w:val="1"/>
      <w:numFmt w:val="bullet"/>
      <w:lvlText w:val="o"/>
      <w:lvlJc w:val="left"/>
      <w:pPr>
        <w:ind w:left="7118" w:hanging="360"/>
      </w:pPr>
      <w:rPr>
        <w:rFonts w:ascii="Courier New" w:hAnsi="Courier New" w:cs="Courier New" w:hint="default"/>
      </w:rPr>
    </w:lvl>
    <w:lvl w:ilvl="8" w:tplc="041A0005" w:tentative="1">
      <w:start w:val="1"/>
      <w:numFmt w:val="bullet"/>
      <w:lvlText w:val=""/>
      <w:lvlJc w:val="left"/>
      <w:pPr>
        <w:ind w:left="7838" w:hanging="360"/>
      </w:pPr>
      <w:rPr>
        <w:rFonts w:ascii="Wingdings" w:hAnsi="Wingdings" w:hint="default"/>
      </w:rPr>
    </w:lvl>
  </w:abstractNum>
  <w:abstractNum w:abstractNumId="3">
    <w:nsid w:val="06633478"/>
    <w:multiLevelType w:val="singleLevel"/>
    <w:tmpl w:val="5BF2CD14"/>
    <w:lvl w:ilvl="0">
      <w:start w:val="1"/>
      <w:numFmt w:val="decimal"/>
      <w:lvlText w:val="(%1)"/>
      <w:legacy w:legacy="1" w:legacySpace="0" w:legacyIndent="340"/>
      <w:lvlJc w:val="left"/>
      <w:rPr>
        <w:rFonts w:ascii="Times New Roman" w:hAnsi="Times New Roman" w:cs="Times New Roman" w:hint="default"/>
      </w:rPr>
    </w:lvl>
  </w:abstractNum>
  <w:abstractNum w:abstractNumId="4">
    <w:nsid w:val="0BBD7E30"/>
    <w:multiLevelType w:val="hybridMultilevel"/>
    <w:tmpl w:val="C1AA2F4C"/>
    <w:lvl w:ilvl="0" w:tplc="E9A27F5E">
      <w:start w:val="2"/>
      <w:numFmt w:val="bullet"/>
      <w:lvlText w:val="-"/>
      <w:lvlJc w:val="left"/>
      <w:pPr>
        <w:ind w:left="1773" w:hanging="360"/>
      </w:pPr>
      <w:rPr>
        <w:rFonts w:ascii="Times New Roman" w:eastAsia="Times New Roman" w:hAnsi="Times New Roman" w:cs="Times New Roman" w:hint="default"/>
        <w:color w:val="000000"/>
        <w:sz w:val="24"/>
      </w:rPr>
    </w:lvl>
    <w:lvl w:ilvl="1" w:tplc="041A0003" w:tentative="1">
      <w:start w:val="1"/>
      <w:numFmt w:val="bullet"/>
      <w:lvlText w:val="o"/>
      <w:lvlJc w:val="left"/>
      <w:pPr>
        <w:ind w:left="2493" w:hanging="360"/>
      </w:pPr>
      <w:rPr>
        <w:rFonts w:ascii="Courier New" w:hAnsi="Courier New" w:cs="Courier New" w:hint="default"/>
      </w:rPr>
    </w:lvl>
    <w:lvl w:ilvl="2" w:tplc="041A0005" w:tentative="1">
      <w:start w:val="1"/>
      <w:numFmt w:val="bullet"/>
      <w:lvlText w:val=""/>
      <w:lvlJc w:val="left"/>
      <w:pPr>
        <w:ind w:left="3213" w:hanging="360"/>
      </w:pPr>
      <w:rPr>
        <w:rFonts w:ascii="Wingdings" w:hAnsi="Wingdings" w:hint="default"/>
      </w:rPr>
    </w:lvl>
    <w:lvl w:ilvl="3" w:tplc="041A0001" w:tentative="1">
      <w:start w:val="1"/>
      <w:numFmt w:val="bullet"/>
      <w:lvlText w:val=""/>
      <w:lvlJc w:val="left"/>
      <w:pPr>
        <w:ind w:left="3933" w:hanging="360"/>
      </w:pPr>
      <w:rPr>
        <w:rFonts w:ascii="Symbol" w:hAnsi="Symbol" w:hint="default"/>
      </w:rPr>
    </w:lvl>
    <w:lvl w:ilvl="4" w:tplc="041A0003" w:tentative="1">
      <w:start w:val="1"/>
      <w:numFmt w:val="bullet"/>
      <w:lvlText w:val="o"/>
      <w:lvlJc w:val="left"/>
      <w:pPr>
        <w:ind w:left="4653" w:hanging="360"/>
      </w:pPr>
      <w:rPr>
        <w:rFonts w:ascii="Courier New" w:hAnsi="Courier New" w:cs="Courier New" w:hint="default"/>
      </w:rPr>
    </w:lvl>
    <w:lvl w:ilvl="5" w:tplc="041A0005" w:tentative="1">
      <w:start w:val="1"/>
      <w:numFmt w:val="bullet"/>
      <w:lvlText w:val=""/>
      <w:lvlJc w:val="left"/>
      <w:pPr>
        <w:ind w:left="5373" w:hanging="360"/>
      </w:pPr>
      <w:rPr>
        <w:rFonts w:ascii="Wingdings" w:hAnsi="Wingdings" w:hint="default"/>
      </w:rPr>
    </w:lvl>
    <w:lvl w:ilvl="6" w:tplc="041A0001" w:tentative="1">
      <w:start w:val="1"/>
      <w:numFmt w:val="bullet"/>
      <w:lvlText w:val=""/>
      <w:lvlJc w:val="left"/>
      <w:pPr>
        <w:ind w:left="6093" w:hanging="360"/>
      </w:pPr>
      <w:rPr>
        <w:rFonts w:ascii="Symbol" w:hAnsi="Symbol" w:hint="default"/>
      </w:rPr>
    </w:lvl>
    <w:lvl w:ilvl="7" w:tplc="041A0003" w:tentative="1">
      <w:start w:val="1"/>
      <w:numFmt w:val="bullet"/>
      <w:lvlText w:val="o"/>
      <w:lvlJc w:val="left"/>
      <w:pPr>
        <w:ind w:left="6813" w:hanging="360"/>
      </w:pPr>
      <w:rPr>
        <w:rFonts w:ascii="Courier New" w:hAnsi="Courier New" w:cs="Courier New" w:hint="default"/>
      </w:rPr>
    </w:lvl>
    <w:lvl w:ilvl="8" w:tplc="041A0005" w:tentative="1">
      <w:start w:val="1"/>
      <w:numFmt w:val="bullet"/>
      <w:lvlText w:val=""/>
      <w:lvlJc w:val="left"/>
      <w:pPr>
        <w:ind w:left="7533" w:hanging="360"/>
      </w:pPr>
      <w:rPr>
        <w:rFonts w:ascii="Wingdings" w:hAnsi="Wingdings" w:hint="default"/>
      </w:rPr>
    </w:lvl>
  </w:abstractNum>
  <w:abstractNum w:abstractNumId="5">
    <w:nsid w:val="0D3E3766"/>
    <w:multiLevelType w:val="singleLevel"/>
    <w:tmpl w:val="21344F5C"/>
    <w:lvl w:ilvl="0">
      <w:start w:val="2"/>
      <w:numFmt w:val="decimal"/>
      <w:lvlText w:val="7.2.%1"/>
      <w:legacy w:legacy="1" w:legacySpace="0" w:legacyIndent="499"/>
      <w:lvlJc w:val="left"/>
      <w:rPr>
        <w:rFonts w:ascii="Times New Roman" w:hAnsi="Times New Roman" w:cs="Times New Roman" w:hint="default"/>
      </w:rPr>
    </w:lvl>
  </w:abstractNum>
  <w:abstractNum w:abstractNumId="6">
    <w:nsid w:val="0E2B2EE9"/>
    <w:multiLevelType w:val="hybridMultilevel"/>
    <w:tmpl w:val="8714A4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EED16A6"/>
    <w:multiLevelType w:val="hybridMultilevel"/>
    <w:tmpl w:val="25B024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15867C0"/>
    <w:multiLevelType w:val="hybridMultilevel"/>
    <w:tmpl w:val="699E406E"/>
    <w:lvl w:ilvl="0" w:tplc="C3BEE996">
      <w:start w:val="65535"/>
      <w:numFmt w:val="bullet"/>
      <w:lvlText w:val="-"/>
      <w:lvlJc w:val="left"/>
      <w:pPr>
        <w:ind w:left="1798" w:hanging="360"/>
      </w:pPr>
      <w:rPr>
        <w:rFonts w:ascii="Times New Roman" w:hAnsi="Times New Roman" w:cs="Times New Roman" w:hint="default"/>
      </w:rPr>
    </w:lvl>
    <w:lvl w:ilvl="1" w:tplc="041A0003" w:tentative="1">
      <w:start w:val="1"/>
      <w:numFmt w:val="bullet"/>
      <w:lvlText w:val="o"/>
      <w:lvlJc w:val="left"/>
      <w:pPr>
        <w:ind w:left="2518" w:hanging="360"/>
      </w:pPr>
      <w:rPr>
        <w:rFonts w:ascii="Courier New" w:hAnsi="Courier New" w:cs="Courier New" w:hint="default"/>
      </w:rPr>
    </w:lvl>
    <w:lvl w:ilvl="2" w:tplc="041A0005" w:tentative="1">
      <w:start w:val="1"/>
      <w:numFmt w:val="bullet"/>
      <w:lvlText w:val=""/>
      <w:lvlJc w:val="left"/>
      <w:pPr>
        <w:ind w:left="3238" w:hanging="360"/>
      </w:pPr>
      <w:rPr>
        <w:rFonts w:ascii="Wingdings" w:hAnsi="Wingdings" w:hint="default"/>
      </w:rPr>
    </w:lvl>
    <w:lvl w:ilvl="3" w:tplc="041A0001" w:tentative="1">
      <w:start w:val="1"/>
      <w:numFmt w:val="bullet"/>
      <w:lvlText w:val=""/>
      <w:lvlJc w:val="left"/>
      <w:pPr>
        <w:ind w:left="3958" w:hanging="360"/>
      </w:pPr>
      <w:rPr>
        <w:rFonts w:ascii="Symbol" w:hAnsi="Symbol" w:hint="default"/>
      </w:rPr>
    </w:lvl>
    <w:lvl w:ilvl="4" w:tplc="041A0003" w:tentative="1">
      <w:start w:val="1"/>
      <w:numFmt w:val="bullet"/>
      <w:lvlText w:val="o"/>
      <w:lvlJc w:val="left"/>
      <w:pPr>
        <w:ind w:left="4678" w:hanging="360"/>
      </w:pPr>
      <w:rPr>
        <w:rFonts w:ascii="Courier New" w:hAnsi="Courier New" w:cs="Courier New" w:hint="default"/>
      </w:rPr>
    </w:lvl>
    <w:lvl w:ilvl="5" w:tplc="041A0005" w:tentative="1">
      <w:start w:val="1"/>
      <w:numFmt w:val="bullet"/>
      <w:lvlText w:val=""/>
      <w:lvlJc w:val="left"/>
      <w:pPr>
        <w:ind w:left="5398" w:hanging="360"/>
      </w:pPr>
      <w:rPr>
        <w:rFonts w:ascii="Wingdings" w:hAnsi="Wingdings" w:hint="default"/>
      </w:rPr>
    </w:lvl>
    <w:lvl w:ilvl="6" w:tplc="041A0001" w:tentative="1">
      <w:start w:val="1"/>
      <w:numFmt w:val="bullet"/>
      <w:lvlText w:val=""/>
      <w:lvlJc w:val="left"/>
      <w:pPr>
        <w:ind w:left="6118" w:hanging="360"/>
      </w:pPr>
      <w:rPr>
        <w:rFonts w:ascii="Symbol" w:hAnsi="Symbol" w:hint="default"/>
      </w:rPr>
    </w:lvl>
    <w:lvl w:ilvl="7" w:tplc="041A0003" w:tentative="1">
      <w:start w:val="1"/>
      <w:numFmt w:val="bullet"/>
      <w:lvlText w:val="o"/>
      <w:lvlJc w:val="left"/>
      <w:pPr>
        <w:ind w:left="6838" w:hanging="360"/>
      </w:pPr>
      <w:rPr>
        <w:rFonts w:ascii="Courier New" w:hAnsi="Courier New" w:cs="Courier New" w:hint="default"/>
      </w:rPr>
    </w:lvl>
    <w:lvl w:ilvl="8" w:tplc="041A0005" w:tentative="1">
      <w:start w:val="1"/>
      <w:numFmt w:val="bullet"/>
      <w:lvlText w:val=""/>
      <w:lvlJc w:val="left"/>
      <w:pPr>
        <w:ind w:left="7558" w:hanging="360"/>
      </w:pPr>
      <w:rPr>
        <w:rFonts w:ascii="Wingdings" w:hAnsi="Wingdings" w:hint="default"/>
      </w:rPr>
    </w:lvl>
  </w:abstractNum>
  <w:abstractNum w:abstractNumId="9">
    <w:nsid w:val="29D91DE0"/>
    <w:multiLevelType w:val="hybridMultilevel"/>
    <w:tmpl w:val="A3DA7B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ADE3EF3"/>
    <w:multiLevelType w:val="hybridMultilevel"/>
    <w:tmpl w:val="3F3C66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C3B21D2"/>
    <w:multiLevelType w:val="hybridMultilevel"/>
    <w:tmpl w:val="39EA2D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E8673DD"/>
    <w:multiLevelType w:val="hybridMultilevel"/>
    <w:tmpl w:val="4D8C7EEA"/>
    <w:lvl w:ilvl="0" w:tplc="041A0001">
      <w:start w:val="1"/>
      <w:numFmt w:val="bullet"/>
      <w:lvlText w:val=""/>
      <w:lvlJc w:val="left"/>
      <w:pPr>
        <w:ind w:left="2078" w:hanging="360"/>
      </w:pPr>
      <w:rPr>
        <w:rFonts w:ascii="Symbol" w:hAnsi="Symbol" w:hint="default"/>
      </w:rPr>
    </w:lvl>
    <w:lvl w:ilvl="1" w:tplc="041A0003" w:tentative="1">
      <w:start w:val="1"/>
      <w:numFmt w:val="bullet"/>
      <w:lvlText w:val="o"/>
      <w:lvlJc w:val="left"/>
      <w:pPr>
        <w:ind w:left="2798" w:hanging="360"/>
      </w:pPr>
      <w:rPr>
        <w:rFonts w:ascii="Courier New" w:hAnsi="Courier New" w:cs="Courier New" w:hint="default"/>
      </w:rPr>
    </w:lvl>
    <w:lvl w:ilvl="2" w:tplc="041A0005" w:tentative="1">
      <w:start w:val="1"/>
      <w:numFmt w:val="bullet"/>
      <w:lvlText w:val=""/>
      <w:lvlJc w:val="left"/>
      <w:pPr>
        <w:ind w:left="3518" w:hanging="360"/>
      </w:pPr>
      <w:rPr>
        <w:rFonts w:ascii="Wingdings" w:hAnsi="Wingdings" w:hint="default"/>
      </w:rPr>
    </w:lvl>
    <w:lvl w:ilvl="3" w:tplc="041A0001" w:tentative="1">
      <w:start w:val="1"/>
      <w:numFmt w:val="bullet"/>
      <w:lvlText w:val=""/>
      <w:lvlJc w:val="left"/>
      <w:pPr>
        <w:ind w:left="4238" w:hanging="360"/>
      </w:pPr>
      <w:rPr>
        <w:rFonts w:ascii="Symbol" w:hAnsi="Symbol" w:hint="default"/>
      </w:rPr>
    </w:lvl>
    <w:lvl w:ilvl="4" w:tplc="041A0003" w:tentative="1">
      <w:start w:val="1"/>
      <w:numFmt w:val="bullet"/>
      <w:lvlText w:val="o"/>
      <w:lvlJc w:val="left"/>
      <w:pPr>
        <w:ind w:left="4958" w:hanging="360"/>
      </w:pPr>
      <w:rPr>
        <w:rFonts w:ascii="Courier New" w:hAnsi="Courier New" w:cs="Courier New" w:hint="default"/>
      </w:rPr>
    </w:lvl>
    <w:lvl w:ilvl="5" w:tplc="041A0005" w:tentative="1">
      <w:start w:val="1"/>
      <w:numFmt w:val="bullet"/>
      <w:lvlText w:val=""/>
      <w:lvlJc w:val="left"/>
      <w:pPr>
        <w:ind w:left="5678" w:hanging="360"/>
      </w:pPr>
      <w:rPr>
        <w:rFonts w:ascii="Wingdings" w:hAnsi="Wingdings" w:hint="default"/>
      </w:rPr>
    </w:lvl>
    <w:lvl w:ilvl="6" w:tplc="041A0001" w:tentative="1">
      <w:start w:val="1"/>
      <w:numFmt w:val="bullet"/>
      <w:lvlText w:val=""/>
      <w:lvlJc w:val="left"/>
      <w:pPr>
        <w:ind w:left="6398" w:hanging="360"/>
      </w:pPr>
      <w:rPr>
        <w:rFonts w:ascii="Symbol" w:hAnsi="Symbol" w:hint="default"/>
      </w:rPr>
    </w:lvl>
    <w:lvl w:ilvl="7" w:tplc="041A0003" w:tentative="1">
      <w:start w:val="1"/>
      <w:numFmt w:val="bullet"/>
      <w:lvlText w:val="o"/>
      <w:lvlJc w:val="left"/>
      <w:pPr>
        <w:ind w:left="7118" w:hanging="360"/>
      </w:pPr>
      <w:rPr>
        <w:rFonts w:ascii="Courier New" w:hAnsi="Courier New" w:cs="Courier New" w:hint="default"/>
      </w:rPr>
    </w:lvl>
    <w:lvl w:ilvl="8" w:tplc="041A0005" w:tentative="1">
      <w:start w:val="1"/>
      <w:numFmt w:val="bullet"/>
      <w:lvlText w:val=""/>
      <w:lvlJc w:val="left"/>
      <w:pPr>
        <w:ind w:left="7838" w:hanging="360"/>
      </w:pPr>
      <w:rPr>
        <w:rFonts w:ascii="Wingdings" w:hAnsi="Wingdings" w:hint="default"/>
      </w:rPr>
    </w:lvl>
  </w:abstractNum>
  <w:abstractNum w:abstractNumId="13">
    <w:nsid w:val="2E9965F4"/>
    <w:multiLevelType w:val="hybridMultilevel"/>
    <w:tmpl w:val="21D0895C"/>
    <w:lvl w:ilvl="0" w:tplc="C3BEE996">
      <w:start w:val="65535"/>
      <w:numFmt w:val="bullet"/>
      <w:lvlText w:val="•"/>
      <w:lvlJc w:val="left"/>
      <w:pPr>
        <w:ind w:left="1080" w:hanging="360"/>
      </w:pPr>
      <w:rPr>
        <w:rFonts w:ascii="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nsid w:val="3581604C"/>
    <w:multiLevelType w:val="hybridMultilevel"/>
    <w:tmpl w:val="8BBC3ACE"/>
    <w:lvl w:ilvl="0" w:tplc="C3BEE996">
      <w:start w:val="65535"/>
      <w:numFmt w:val="bullet"/>
      <w:lvlText w:val="-"/>
      <w:lvlJc w:val="left"/>
      <w:pPr>
        <w:ind w:left="1798" w:hanging="360"/>
      </w:pPr>
      <w:rPr>
        <w:rFonts w:ascii="Times New Roman" w:hAnsi="Times New Roman" w:cs="Times New Roman" w:hint="default"/>
      </w:rPr>
    </w:lvl>
    <w:lvl w:ilvl="1" w:tplc="041A0003" w:tentative="1">
      <w:start w:val="1"/>
      <w:numFmt w:val="bullet"/>
      <w:lvlText w:val="o"/>
      <w:lvlJc w:val="left"/>
      <w:pPr>
        <w:ind w:left="2518" w:hanging="360"/>
      </w:pPr>
      <w:rPr>
        <w:rFonts w:ascii="Courier New" w:hAnsi="Courier New" w:cs="Courier New" w:hint="default"/>
      </w:rPr>
    </w:lvl>
    <w:lvl w:ilvl="2" w:tplc="041A0005" w:tentative="1">
      <w:start w:val="1"/>
      <w:numFmt w:val="bullet"/>
      <w:lvlText w:val=""/>
      <w:lvlJc w:val="left"/>
      <w:pPr>
        <w:ind w:left="3238" w:hanging="360"/>
      </w:pPr>
      <w:rPr>
        <w:rFonts w:ascii="Wingdings" w:hAnsi="Wingdings" w:hint="default"/>
      </w:rPr>
    </w:lvl>
    <w:lvl w:ilvl="3" w:tplc="041A0001" w:tentative="1">
      <w:start w:val="1"/>
      <w:numFmt w:val="bullet"/>
      <w:lvlText w:val=""/>
      <w:lvlJc w:val="left"/>
      <w:pPr>
        <w:ind w:left="3958" w:hanging="360"/>
      </w:pPr>
      <w:rPr>
        <w:rFonts w:ascii="Symbol" w:hAnsi="Symbol" w:hint="default"/>
      </w:rPr>
    </w:lvl>
    <w:lvl w:ilvl="4" w:tplc="041A0003" w:tentative="1">
      <w:start w:val="1"/>
      <w:numFmt w:val="bullet"/>
      <w:lvlText w:val="o"/>
      <w:lvlJc w:val="left"/>
      <w:pPr>
        <w:ind w:left="4678" w:hanging="360"/>
      </w:pPr>
      <w:rPr>
        <w:rFonts w:ascii="Courier New" w:hAnsi="Courier New" w:cs="Courier New" w:hint="default"/>
      </w:rPr>
    </w:lvl>
    <w:lvl w:ilvl="5" w:tplc="041A0005" w:tentative="1">
      <w:start w:val="1"/>
      <w:numFmt w:val="bullet"/>
      <w:lvlText w:val=""/>
      <w:lvlJc w:val="left"/>
      <w:pPr>
        <w:ind w:left="5398" w:hanging="360"/>
      </w:pPr>
      <w:rPr>
        <w:rFonts w:ascii="Wingdings" w:hAnsi="Wingdings" w:hint="default"/>
      </w:rPr>
    </w:lvl>
    <w:lvl w:ilvl="6" w:tplc="041A0001" w:tentative="1">
      <w:start w:val="1"/>
      <w:numFmt w:val="bullet"/>
      <w:lvlText w:val=""/>
      <w:lvlJc w:val="left"/>
      <w:pPr>
        <w:ind w:left="6118" w:hanging="360"/>
      </w:pPr>
      <w:rPr>
        <w:rFonts w:ascii="Symbol" w:hAnsi="Symbol" w:hint="default"/>
      </w:rPr>
    </w:lvl>
    <w:lvl w:ilvl="7" w:tplc="041A0003" w:tentative="1">
      <w:start w:val="1"/>
      <w:numFmt w:val="bullet"/>
      <w:lvlText w:val="o"/>
      <w:lvlJc w:val="left"/>
      <w:pPr>
        <w:ind w:left="6838" w:hanging="360"/>
      </w:pPr>
      <w:rPr>
        <w:rFonts w:ascii="Courier New" w:hAnsi="Courier New" w:cs="Courier New" w:hint="default"/>
      </w:rPr>
    </w:lvl>
    <w:lvl w:ilvl="8" w:tplc="041A0005" w:tentative="1">
      <w:start w:val="1"/>
      <w:numFmt w:val="bullet"/>
      <w:lvlText w:val=""/>
      <w:lvlJc w:val="left"/>
      <w:pPr>
        <w:ind w:left="7558" w:hanging="360"/>
      </w:pPr>
      <w:rPr>
        <w:rFonts w:ascii="Wingdings" w:hAnsi="Wingdings" w:hint="default"/>
      </w:rPr>
    </w:lvl>
  </w:abstractNum>
  <w:abstractNum w:abstractNumId="15">
    <w:nsid w:val="366F7F9E"/>
    <w:multiLevelType w:val="singleLevel"/>
    <w:tmpl w:val="341091C0"/>
    <w:lvl w:ilvl="0">
      <w:start w:val="1"/>
      <w:numFmt w:val="decimal"/>
      <w:lvlText w:val="%1."/>
      <w:legacy w:legacy="1" w:legacySpace="0" w:legacyIndent="413"/>
      <w:lvlJc w:val="left"/>
      <w:rPr>
        <w:rFonts w:ascii="Times New Roman" w:hAnsi="Times New Roman" w:cs="Times New Roman" w:hint="default"/>
      </w:rPr>
    </w:lvl>
  </w:abstractNum>
  <w:abstractNum w:abstractNumId="16">
    <w:nsid w:val="3A4E1516"/>
    <w:multiLevelType w:val="hybridMultilevel"/>
    <w:tmpl w:val="4B208906"/>
    <w:lvl w:ilvl="0" w:tplc="C3BEE996">
      <w:start w:val="65535"/>
      <w:numFmt w:val="bullet"/>
      <w:lvlText w:val="-"/>
      <w:lvlJc w:val="left"/>
      <w:pPr>
        <w:ind w:left="1798" w:hanging="360"/>
      </w:pPr>
      <w:rPr>
        <w:rFonts w:ascii="Times New Roman" w:hAnsi="Times New Roman" w:cs="Times New Roman" w:hint="default"/>
      </w:rPr>
    </w:lvl>
    <w:lvl w:ilvl="1" w:tplc="041A0003" w:tentative="1">
      <w:start w:val="1"/>
      <w:numFmt w:val="bullet"/>
      <w:lvlText w:val="o"/>
      <w:lvlJc w:val="left"/>
      <w:pPr>
        <w:ind w:left="2518" w:hanging="360"/>
      </w:pPr>
      <w:rPr>
        <w:rFonts w:ascii="Courier New" w:hAnsi="Courier New" w:cs="Courier New" w:hint="default"/>
      </w:rPr>
    </w:lvl>
    <w:lvl w:ilvl="2" w:tplc="041A0005" w:tentative="1">
      <w:start w:val="1"/>
      <w:numFmt w:val="bullet"/>
      <w:lvlText w:val=""/>
      <w:lvlJc w:val="left"/>
      <w:pPr>
        <w:ind w:left="3238" w:hanging="360"/>
      </w:pPr>
      <w:rPr>
        <w:rFonts w:ascii="Wingdings" w:hAnsi="Wingdings" w:hint="default"/>
      </w:rPr>
    </w:lvl>
    <w:lvl w:ilvl="3" w:tplc="041A0001" w:tentative="1">
      <w:start w:val="1"/>
      <w:numFmt w:val="bullet"/>
      <w:lvlText w:val=""/>
      <w:lvlJc w:val="left"/>
      <w:pPr>
        <w:ind w:left="3958" w:hanging="360"/>
      </w:pPr>
      <w:rPr>
        <w:rFonts w:ascii="Symbol" w:hAnsi="Symbol" w:hint="default"/>
      </w:rPr>
    </w:lvl>
    <w:lvl w:ilvl="4" w:tplc="041A0003" w:tentative="1">
      <w:start w:val="1"/>
      <w:numFmt w:val="bullet"/>
      <w:lvlText w:val="o"/>
      <w:lvlJc w:val="left"/>
      <w:pPr>
        <w:ind w:left="4678" w:hanging="360"/>
      </w:pPr>
      <w:rPr>
        <w:rFonts w:ascii="Courier New" w:hAnsi="Courier New" w:cs="Courier New" w:hint="default"/>
      </w:rPr>
    </w:lvl>
    <w:lvl w:ilvl="5" w:tplc="041A0005" w:tentative="1">
      <w:start w:val="1"/>
      <w:numFmt w:val="bullet"/>
      <w:lvlText w:val=""/>
      <w:lvlJc w:val="left"/>
      <w:pPr>
        <w:ind w:left="5398" w:hanging="360"/>
      </w:pPr>
      <w:rPr>
        <w:rFonts w:ascii="Wingdings" w:hAnsi="Wingdings" w:hint="default"/>
      </w:rPr>
    </w:lvl>
    <w:lvl w:ilvl="6" w:tplc="041A0001" w:tentative="1">
      <w:start w:val="1"/>
      <w:numFmt w:val="bullet"/>
      <w:lvlText w:val=""/>
      <w:lvlJc w:val="left"/>
      <w:pPr>
        <w:ind w:left="6118" w:hanging="360"/>
      </w:pPr>
      <w:rPr>
        <w:rFonts w:ascii="Symbol" w:hAnsi="Symbol" w:hint="default"/>
      </w:rPr>
    </w:lvl>
    <w:lvl w:ilvl="7" w:tplc="041A0003" w:tentative="1">
      <w:start w:val="1"/>
      <w:numFmt w:val="bullet"/>
      <w:lvlText w:val="o"/>
      <w:lvlJc w:val="left"/>
      <w:pPr>
        <w:ind w:left="6838" w:hanging="360"/>
      </w:pPr>
      <w:rPr>
        <w:rFonts w:ascii="Courier New" w:hAnsi="Courier New" w:cs="Courier New" w:hint="default"/>
      </w:rPr>
    </w:lvl>
    <w:lvl w:ilvl="8" w:tplc="041A0005" w:tentative="1">
      <w:start w:val="1"/>
      <w:numFmt w:val="bullet"/>
      <w:lvlText w:val=""/>
      <w:lvlJc w:val="left"/>
      <w:pPr>
        <w:ind w:left="7558" w:hanging="360"/>
      </w:pPr>
      <w:rPr>
        <w:rFonts w:ascii="Wingdings" w:hAnsi="Wingdings" w:hint="default"/>
      </w:rPr>
    </w:lvl>
  </w:abstractNum>
  <w:abstractNum w:abstractNumId="17">
    <w:nsid w:val="3D67573E"/>
    <w:multiLevelType w:val="hybridMultilevel"/>
    <w:tmpl w:val="63FE6B56"/>
    <w:lvl w:ilvl="0" w:tplc="C3BEE996">
      <w:start w:val="65535"/>
      <w:numFmt w:val="bullet"/>
      <w:lvlText w:val="•"/>
      <w:lvlJc w:val="left"/>
      <w:pPr>
        <w:ind w:left="1090" w:hanging="360"/>
      </w:pPr>
      <w:rPr>
        <w:rFonts w:ascii="Times New Roman" w:hAnsi="Times New Roman" w:cs="Times New Roman" w:hint="default"/>
      </w:rPr>
    </w:lvl>
    <w:lvl w:ilvl="1" w:tplc="041A0003" w:tentative="1">
      <w:start w:val="1"/>
      <w:numFmt w:val="bullet"/>
      <w:lvlText w:val="o"/>
      <w:lvlJc w:val="left"/>
      <w:pPr>
        <w:ind w:left="1810" w:hanging="360"/>
      </w:pPr>
      <w:rPr>
        <w:rFonts w:ascii="Courier New" w:hAnsi="Courier New" w:cs="Courier New" w:hint="default"/>
      </w:rPr>
    </w:lvl>
    <w:lvl w:ilvl="2" w:tplc="041A0005" w:tentative="1">
      <w:start w:val="1"/>
      <w:numFmt w:val="bullet"/>
      <w:lvlText w:val=""/>
      <w:lvlJc w:val="left"/>
      <w:pPr>
        <w:ind w:left="2530" w:hanging="360"/>
      </w:pPr>
      <w:rPr>
        <w:rFonts w:ascii="Wingdings" w:hAnsi="Wingdings" w:hint="default"/>
      </w:rPr>
    </w:lvl>
    <w:lvl w:ilvl="3" w:tplc="041A0001" w:tentative="1">
      <w:start w:val="1"/>
      <w:numFmt w:val="bullet"/>
      <w:lvlText w:val=""/>
      <w:lvlJc w:val="left"/>
      <w:pPr>
        <w:ind w:left="3250" w:hanging="360"/>
      </w:pPr>
      <w:rPr>
        <w:rFonts w:ascii="Symbol" w:hAnsi="Symbol" w:hint="default"/>
      </w:rPr>
    </w:lvl>
    <w:lvl w:ilvl="4" w:tplc="041A0003" w:tentative="1">
      <w:start w:val="1"/>
      <w:numFmt w:val="bullet"/>
      <w:lvlText w:val="o"/>
      <w:lvlJc w:val="left"/>
      <w:pPr>
        <w:ind w:left="3970" w:hanging="360"/>
      </w:pPr>
      <w:rPr>
        <w:rFonts w:ascii="Courier New" w:hAnsi="Courier New" w:cs="Courier New" w:hint="default"/>
      </w:rPr>
    </w:lvl>
    <w:lvl w:ilvl="5" w:tplc="041A0005" w:tentative="1">
      <w:start w:val="1"/>
      <w:numFmt w:val="bullet"/>
      <w:lvlText w:val=""/>
      <w:lvlJc w:val="left"/>
      <w:pPr>
        <w:ind w:left="4690" w:hanging="360"/>
      </w:pPr>
      <w:rPr>
        <w:rFonts w:ascii="Wingdings" w:hAnsi="Wingdings" w:hint="default"/>
      </w:rPr>
    </w:lvl>
    <w:lvl w:ilvl="6" w:tplc="041A0001" w:tentative="1">
      <w:start w:val="1"/>
      <w:numFmt w:val="bullet"/>
      <w:lvlText w:val=""/>
      <w:lvlJc w:val="left"/>
      <w:pPr>
        <w:ind w:left="5410" w:hanging="360"/>
      </w:pPr>
      <w:rPr>
        <w:rFonts w:ascii="Symbol" w:hAnsi="Symbol" w:hint="default"/>
      </w:rPr>
    </w:lvl>
    <w:lvl w:ilvl="7" w:tplc="041A0003" w:tentative="1">
      <w:start w:val="1"/>
      <w:numFmt w:val="bullet"/>
      <w:lvlText w:val="o"/>
      <w:lvlJc w:val="left"/>
      <w:pPr>
        <w:ind w:left="6130" w:hanging="360"/>
      </w:pPr>
      <w:rPr>
        <w:rFonts w:ascii="Courier New" w:hAnsi="Courier New" w:cs="Courier New" w:hint="default"/>
      </w:rPr>
    </w:lvl>
    <w:lvl w:ilvl="8" w:tplc="041A0005" w:tentative="1">
      <w:start w:val="1"/>
      <w:numFmt w:val="bullet"/>
      <w:lvlText w:val=""/>
      <w:lvlJc w:val="left"/>
      <w:pPr>
        <w:ind w:left="6850" w:hanging="360"/>
      </w:pPr>
      <w:rPr>
        <w:rFonts w:ascii="Wingdings" w:hAnsi="Wingdings" w:hint="default"/>
      </w:rPr>
    </w:lvl>
  </w:abstractNum>
  <w:abstractNum w:abstractNumId="18">
    <w:nsid w:val="3DC2795E"/>
    <w:multiLevelType w:val="hybridMultilevel"/>
    <w:tmpl w:val="B614934A"/>
    <w:lvl w:ilvl="0" w:tplc="041A0003">
      <w:start w:val="1"/>
      <w:numFmt w:val="bullet"/>
      <w:lvlText w:val="o"/>
      <w:lvlJc w:val="left"/>
      <w:pPr>
        <w:ind w:left="2453" w:hanging="360"/>
      </w:pPr>
      <w:rPr>
        <w:rFonts w:ascii="Courier New" w:hAnsi="Courier New" w:cs="Courier New" w:hint="default"/>
      </w:rPr>
    </w:lvl>
    <w:lvl w:ilvl="1" w:tplc="041A0003" w:tentative="1">
      <w:start w:val="1"/>
      <w:numFmt w:val="bullet"/>
      <w:lvlText w:val="o"/>
      <w:lvlJc w:val="left"/>
      <w:pPr>
        <w:ind w:left="3173" w:hanging="360"/>
      </w:pPr>
      <w:rPr>
        <w:rFonts w:ascii="Courier New" w:hAnsi="Courier New" w:cs="Courier New" w:hint="default"/>
      </w:rPr>
    </w:lvl>
    <w:lvl w:ilvl="2" w:tplc="041A0005" w:tentative="1">
      <w:start w:val="1"/>
      <w:numFmt w:val="bullet"/>
      <w:lvlText w:val=""/>
      <w:lvlJc w:val="left"/>
      <w:pPr>
        <w:ind w:left="3893" w:hanging="360"/>
      </w:pPr>
      <w:rPr>
        <w:rFonts w:ascii="Wingdings" w:hAnsi="Wingdings" w:hint="default"/>
      </w:rPr>
    </w:lvl>
    <w:lvl w:ilvl="3" w:tplc="041A0001" w:tentative="1">
      <w:start w:val="1"/>
      <w:numFmt w:val="bullet"/>
      <w:lvlText w:val=""/>
      <w:lvlJc w:val="left"/>
      <w:pPr>
        <w:ind w:left="4613" w:hanging="360"/>
      </w:pPr>
      <w:rPr>
        <w:rFonts w:ascii="Symbol" w:hAnsi="Symbol" w:hint="default"/>
      </w:rPr>
    </w:lvl>
    <w:lvl w:ilvl="4" w:tplc="041A0003" w:tentative="1">
      <w:start w:val="1"/>
      <w:numFmt w:val="bullet"/>
      <w:lvlText w:val="o"/>
      <w:lvlJc w:val="left"/>
      <w:pPr>
        <w:ind w:left="5333" w:hanging="360"/>
      </w:pPr>
      <w:rPr>
        <w:rFonts w:ascii="Courier New" w:hAnsi="Courier New" w:cs="Courier New" w:hint="default"/>
      </w:rPr>
    </w:lvl>
    <w:lvl w:ilvl="5" w:tplc="041A0005" w:tentative="1">
      <w:start w:val="1"/>
      <w:numFmt w:val="bullet"/>
      <w:lvlText w:val=""/>
      <w:lvlJc w:val="left"/>
      <w:pPr>
        <w:ind w:left="6053" w:hanging="360"/>
      </w:pPr>
      <w:rPr>
        <w:rFonts w:ascii="Wingdings" w:hAnsi="Wingdings" w:hint="default"/>
      </w:rPr>
    </w:lvl>
    <w:lvl w:ilvl="6" w:tplc="041A0001" w:tentative="1">
      <w:start w:val="1"/>
      <w:numFmt w:val="bullet"/>
      <w:lvlText w:val=""/>
      <w:lvlJc w:val="left"/>
      <w:pPr>
        <w:ind w:left="6773" w:hanging="360"/>
      </w:pPr>
      <w:rPr>
        <w:rFonts w:ascii="Symbol" w:hAnsi="Symbol" w:hint="default"/>
      </w:rPr>
    </w:lvl>
    <w:lvl w:ilvl="7" w:tplc="041A0003" w:tentative="1">
      <w:start w:val="1"/>
      <w:numFmt w:val="bullet"/>
      <w:lvlText w:val="o"/>
      <w:lvlJc w:val="left"/>
      <w:pPr>
        <w:ind w:left="7493" w:hanging="360"/>
      </w:pPr>
      <w:rPr>
        <w:rFonts w:ascii="Courier New" w:hAnsi="Courier New" w:cs="Courier New" w:hint="default"/>
      </w:rPr>
    </w:lvl>
    <w:lvl w:ilvl="8" w:tplc="041A0005" w:tentative="1">
      <w:start w:val="1"/>
      <w:numFmt w:val="bullet"/>
      <w:lvlText w:val=""/>
      <w:lvlJc w:val="left"/>
      <w:pPr>
        <w:ind w:left="8213" w:hanging="360"/>
      </w:pPr>
      <w:rPr>
        <w:rFonts w:ascii="Wingdings" w:hAnsi="Wingdings" w:hint="default"/>
      </w:rPr>
    </w:lvl>
  </w:abstractNum>
  <w:abstractNum w:abstractNumId="19">
    <w:nsid w:val="44123219"/>
    <w:multiLevelType w:val="hybridMultilevel"/>
    <w:tmpl w:val="35D6D004"/>
    <w:lvl w:ilvl="0" w:tplc="C3BEE996">
      <w:start w:val="65535"/>
      <w:numFmt w:val="bullet"/>
      <w:lvlText w:val="•"/>
      <w:lvlJc w:val="left"/>
      <w:pPr>
        <w:ind w:left="1090" w:hanging="360"/>
      </w:pPr>
      <w:rPr>
        <w:rFonts w:ascii="Times New Roman" w:hAnsi="Times New Roman" w:cs="Times New Roman" w:hint="default"/>
      </w:rPr>
    </w:lvl>
    <w:lvl w:ilvl="1" w:tplc="041A0003" w:tentative="1">
      <w:start w:val="1"/>
      <w:numFmt w:val="bullet"/>
      <w:lvlText w:val="o"/>
      <w:lvlJc w:val="left"/>
      <w:pPr>
        <w:ind w:left="1810" w:hanging="360"/>
      </w:pPr>
      <w:rPr>
        <w:rFonts w:ascii="Courier New" w:hAnsi="Courier New" w:cs="Courier New" w:hint="default"/>
      </w:rPr>
    </w:lvl>
    <w:lvl w:ilvl="2" w:tplc="041A0005" w:tentative="1">
      <w:start w:val="1"/>
      <w:numFmt w:val="bullet"/>
      <w:lvlText w:val=""/>
      <w:lvlJc w:val="left"/>
      <w:pPr>
        <w:ind w:left="2530" w:hanging="360"/>
      </w:pPr>
      <w:rPr>
        <w:rFonts w:ascii="Wingdings" w:hAnsi="Wingdings" w:hint="default"/>
      </w:rPr>
    </w:lvl>
    <w:lvl w:ilvl="3" w:tplc="041A0001" w:tentative="1">
      <w:start w:val="1"/>
      <w:numFmt w:val="bullet"/>
      <w:lvlText w:val=""/>
      <w:lvlJc w:val="left"/>
      <w:pPr>
        <w:ind w:left="3250" w:hanging="360"/>
      </w:pPr>
      <w:rPr>
        <w:rFonts w:ascii="Symbol" w:hAnsi="Symbol" w:hint="default"/>
      </w:rPr>
    </w:lvl>
    <w:lvl w:ilvl="4" w:tplc="041A0003" w:tentative="1">
      <w:start w:val="1"/>
      <w:numFmt w:val="bullet"/>
      <w:lvlText w:val="o"/>
      <w:lvlJc w:val="left"/>
      <w:pPr>
        <w:ind w:left="3970" w:hanging="360"/>
      </w:pPr>
      <w:rPr>
        <w:rFonts w:ascii="Courier New" w:hAnsi="Courier New" w:cs="Courier New" w:hint="default"/>
      </w:rPr>
    </w:lvl>
    <w:lvl w:ilvl="5" w:tplc="041A0005" w:tentative="1">
      <w:start w:val="1"/>
      <w:numFmt w:val="bullet"/>
      <w:lvlText w:val=""/>
      <w:lvlJc w:val="left"/>
      <w:pPr>
        <w:ind w:left="4690" w:hanging="360"/>
      </w:pPr>
      <w:rPr>
        <w:rFonts w:ascii="Wingdings" w:hAnsi="Wingdings" w:hint="default"/>
      </w:rPr>
    </w:lvl>
    <w:lvl w:ilvl="6" w:tplc="041A0001" w:tentative="1">
      <w:start w:val="1"/>
      <w:numFmt w:val="bullet"/>
      <w:lvlText w:val=""/>
      <w:lvlJc w:val="left"/>
      <w:pPr>
        <w:ind w:left="5410" w:hanging="360"/>
      </w:pPr>
      <w:rPr>
        <w:rFonts w:ascii="Symbol" w:hAnsi="Symbol" w:hint="default"/>
      </w:rPr>
    </w:lvl>
    <w:lvl w:ilvl="7" w:tplc="041A0003" w:tentative="1">
      <w:start w:val="1"/>
      <w:numFmt w:val="bullet"/>
      <w:lvlText w:val="o"/>
      <w:lvlJc w:val="left"/>
      <w:pPr>
        <w:ind w:left="6130" w:hanging="360"/>
      </w:pPr>
      <w:rPr>
        <w:rFonts w:ascii="Courier New" w:hAnsi="Courier New" w:cs="Courier New" w:hint="default"/>
      </w:rPr>
    </w:lvl>
    <w:lvl w:ilvl="8" w:tplc="041A0005" w:tentative="1">
      <w:start w:val="1"/>
      <w:numFmt w:val="bullet"/>
      <w:lvlText w:val=""/>
      <w:lvlJc w:val="left"/>
      <w:pPr>
        <w:ind w:left="6850" w:hanging="360"/>
      </w:pPr>
      <w:rPr>
        <w:rFonts w:ascii="Wingdings" w:hAnsi="Wingdings" w:hint="default"/>
      </w:rPr>
    </w:lvl>
  </w:abstractNum>
  <w:abstractNum w:abstractNumId="20">
    <w:nsid w:val="459D6171"/>
    <w:multiLevelType w:val="hybridMultilevel"/>
    <w:tmpl w:val="E0C6C5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522807DB"/>
    <w:multiLevelType w:val="singleLevel"/>
    <w:tmpl w:val="68723538"/>
    <w:lvl w:ilvl="0">
      <w:start w:val="1"/>
      <w:numFmt w:val="decimal"/>
      <w:lvlText w:val="%1."/>
      <w:legacy w:legacy="1" w:legacySpace="0" w:legacyIndent="365"/>
      <w:lvlJc w:val="left"/>
      <w:rPr>
        <w:rFonts w:ascii="Times New Roman" w:hAnsi="Times New Roman" w:cs="Times New Roman" w:hint="default"/>
      </w:rPr>
    </w:lvl>
  </w:abstractNum>
  <w:abstractNum w:abstractNumId="22">
    <w:nsid w:val="553C2323"/>
    <w:multiLevelType w:val="singleLevel"/>
    <w:tmpl w:val="9BD84D3E"/>
    <w:lvl w:ilvl="0">
      <w:start w:val="1"/>
      <w:numFmt w:val="decimal"/>
      <w:lvlText w:val="%1."/>
      <w:legacy w:legacy="1" w:legacySpace="0" w:legacyIndent="355"/>
      <w:lvlJc w:val="left"/>
      <w:rPr>
        <w:rFonts w:ascii="Times New Roman" w:hAnsi="Times New Roman" w:cs="Times New Roman" w:hint="default"/>
      </w:rPr>
    </w:lvl>
  </w:abstractNum>
  <w:abstractNum w:abstractNumId="23">
    <w:nsid w:val="5889593C"/>
    <w:multiLevelType w:val="singleLevel"/>
    <w:tmpl w:val="2A463060"/>
    <w:lvl w:ilvl="0">
      <w:start w:val="1"/>
      <w:numFmt w:val="decimal"/>
      <w:lvlText w:val="(%1)"/>
      <w:legacy w:legacy="1" w:legacySpace="0" w:legacyIndent="279"/>
      <w:lvlJc w:val="left"/>
      <w:rPr>
        <w:rFonts w:ascii="Times New Roman" w:hAnsi="Times New Roman" w:cs="Times New Roman" w:hint="default"/>
      </w:rPr>
    </w:lvl>
  </w:abstractNum>
  <w:abstractNum w:abstractNumId="24">
    <w:nsid w:val="60765354"/>
    <w:multiLevelType w:val="singleLevel"/>
    <w:tmpl w:val="9BD84D3E"/>
    <w:lvl w:ilvl="0">
      <w:start w:val="1"/>
      <w:numFmt w:val="decimal"/>
      <w:lvlText w:val="%1."/>
      <w:legacy w:legacy="1" w:legacySpace="0" w:legacyIndent="355"/>
      <w:lvlJc w:val="left"/>
      <w:rPr>
        <w:rFonts w:ascii="Times New Roman" w:hAnsi="Times New Roman" w:cs="Times New Roman" w:hint="default"/>
      </w:rPr>
    </w:lvl>
  </w:abstractNum>
  <w:abstractNum w:abstractNumId="25">
    <w:nsid w:val="636D1440"/>
    <w:multiLevelType w:val="hybridMultilevel"/>
    <w:tmpl w:val="310ADB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5F356C5"/>
    <w:multiLevelType w:val="singleLevel"/>
    <w:tmpl w:val="FE2A31B2"/>
    <w:lvl w:ilvl="0">
      <w:start w:val="1"/>
      <w:numFmt w:val="decimal"/>
      <w:lvlText w:val="%1."/>
      <w:legacy w:legacy="1" w:legacySpace="0" w:legacyIndent="360"/>
      <w:lvlJc w:val="left"/>
      <w:rPr>
        <w:rFonts w:ascii="Times New Roman" w:hAnsi="Times New Roman" w:cs="Times New Roman" w:hint="default"/>
      </w:rPr>
    </w:lvl>
  </w:abstractNum>
  <w:abstractNum w:abstractNumId="27">
    <w:nsid w:val="74BD3699"/>
    <w:multiLevelType w:val="singleLevel"/>
    <w:tmpl w:val="B84608BE"/>
    <w:lvl w:ilvl="0">
      <w:start w:val="1"/>
      <w:numFmt w:val="decimal"/>
      <w:lvlText w:val="%1."/>
      <w:legacy w:legacy="1" w:legacySpace="0" w:legacyIndent="235"/>
      <w:lvlJc w:val="left"/>
      <w:rPr>
        <w:rFonts w:ascii="Times New Roman" w:hAnsi="Times New Roman" w:cs="Times New Roman" w:hint="default"/>
      </w:rPr>
    </w:lvl>
  </w:abstractNum>
  <w:abstractNum w:abstractNumId="28">
    <w:nsid w:val="78DE39E9"/>
    <w:multiLevelType w:val="singleLevel"/>
    <w:tmpl w:val="9BD84D3E"/>
    <w:lvl w:ilvl="0">
      <w:start w:val="1"/>
      <w:numFmt w:val="decimal"/>
      <w:lvlText w:val="%1."/>
      <w:legacy w:legacy="1" w:legacySpace="0" w:legacyIndent="355"/>
      <w:lvlJc w:val="left"/>
      <w:rPr>
        <w:rFonts w:ascii="Times New Roman" w:hAnsi="Times New Roman" w:cs="Times New Roman" w:hint="default"/>
      </w:rPr>
    </w:lvl>
  </w:abstractNum>
  <w:abstractNum w:abstractNumId="29">
    <w:nsid w:val="7ACE75C4"/>
    <w:multiLevelType w:val="hybridMultilevel"/>
    <w:tmpl w:val="6658AA8C"/>
    <w:lvl w:ilvl="0" w:tplc="C3BEE996">
      <w:start w:val="65535"/>
      <w:numFmt w:val="bullet"/>
      <w:lvlText w:val="-"/>
      <w:lvlJc w:val="left"/>
      <w:pPr>
        <w:ind w:left="1805" w:hanging="360"/>
      </w:pPr>
      <w:rPr>
        <w:rFonts w:ascii="Times New Roman" w:hAnsi="Times New Roman" w:cs="Times New Roman" w:hint="default"/>
      </w:rPr>
    </w:lvl>
    <w:lvl w:ilvl="1" w:tplc="041A0003" w:tentative="1">
      <w:start w:val="1"/>
      <w:numFmt w:val="bullet"/>
      <w:lvlText w:val="o"/>
      <w:lvlJc w:val="left"/>
      <w:pPr>
        <w:ind w:left="2525" w:hanging="360"/>
      </w:pPr>
      <w:rPr>
        <w:rFonts w:ascii="Courier New" w:hAnsi="Courier New" w:cs="Courier New" w:hint="default"/>
      </w:rPr>
    </w:lvl>
    <w:lvl w:ilvl="2" w:tplc="041A0005" w:tentative="1">
      <w:start w:val="1"/>
      <w:numFmt w:val="bullet"/>
      <w:lvlText w:val=""/>
      <w:lvlJc w:val="left"/>
      <w:pPr>
        <w:ind w:left="3245" w:hanging="360"/>
      </w:pPr>
      <w:rPr>
        <w:rFonts w:ascii="Wingdings" w:hAnsi="Wingdings" w:hint="default"/>
      </w:rPr>
    </w:lvl>
    <w:lvl w:ilvl="3" w:tplc="041A0001" w:tentative="1">
      <w:start w:val="1"/>
      <w:numFmt w:val="bullet"/>
      <w:lvlText w:val=""/>
      <w:lvlJc w:val="left"/>
      <w:pPr>
        <w:ind w:left="3965" w:hanging="360"/>
      </w:pPr>
      <w:rPr>
        <w:rFonts w:ascii="Symbol" w:hAnsi="Symbol" w:hint="default"/>
      </w:rPr>
    </w:lvl>
    <w:lvl w:ilvl="4" w:tplc="041A0003" w:tentative="1">
      <w:start w:val="1"/>
      <w:numFmt w:val="bullet"/>
      <w:lvlText w:val="o"/>
      <w:lvlJc w:val="left"/>
      <w:pPr>
        <w:ind w:left="4685" w:hanging="360"/>
      </w:pPr>
      <w:rPr>
        <w:rFonts w:ascii="Courier New" w:hAnsi="Courier New" w:cs="Courier New" w:hint="default"/>
      </w:rPr>
    </w:lvl>
    <w:lvl w:ilvl="5" w:tplc="041A0005" w:tentative="1">
      <w:start w:val="1"/>
      <w:numFmt w:val="bullet"/>
      <w:lvlText w:val=""/>
      <w:lvlJc w:val="left"/>
      <w:pPr>
        <w:ind w:left="5405" w:hanging="360"/>
      </w:pPr>
      <w:rPr>
        <w:rFonts w:ascii="Wingdings" w:hAnsi="Wingdings" w:hint="default"/>
      </w:rPr>
    </w:lvl>
    <w:lvl w:ilvl="6" w:tplc="041A0001" w:tentative="1">
      <w:start w:val="1"/>
      <w:numFmt w:val="bullet"/>
      <w:lvlText w:val=""/>
      <w:lvlJc w:val="left"/>
      <w:pPr>
        <w:ind w:left="6125" w:hanging="360"/>
      </w:pPr>
      <w:rPr>
        <w:rFonts w:ascii="Symbol" w:hAnsi="Symbol" w:hint="default"/>
      </w:rPr>
    </w:lvl>
    <w:lvl w:ilvl="7" w:tplc="041A0003" w:tentative="1">
      <w:start w:val="1"/>
      <w:numFmt w:val="bullet"/>
      <w:lvlText w:val="o"/>
      <w:lvlJc w:val="left"/>
      <w:pPr>
        <w:ind w:left="6845" w:hanging="360"/>
      </w:pPr>
      <w:rPr>
        <w:rFonts w:ascii="Courier New" w:hAnsi="Courier New" w:cs="Courier New" w:hint="default"/>
      </w:rPr>
    </w:lvl>
    <w:lvl w:ilvl="8" w:tplc="041A0005" w:tentative="1">
      <w:start w:val="1"/>
      <w:numFmt w:val="bullet"/>
      <w:lvlText w:val=""/>
      <w:lvlJc w:val="left"/>
      <w:pPr>
        <w:ind w:left="7565" w:hanging="360"/>
      </w:pPr>
      <w:rPr>
        <w:rFonts w:ascii="Wingdings" w:hAnsi="Wingdings" w:hint="default"/>
      </w:rPr>
    </w:lvl>
  </w:abstractNum>
  <w:num w:numId="1">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4">
    <w:abstractNumId w:val="21"/>
  </w:num>
  <w:num w:numId="5">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6">
    <w:abstractNumId w:val="3"/>
  </w:num>
  <w:num w:numId="7">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8">
    <w:abstractNumId w:val="28"/>
  </w:num>
  <w:num w:numId="9">
    <w:abstractNumId w:val="22"/>
  </w:num>
  <w:num w:numId="10">
    <w:abstractNumId w:val="26"/>
  </w:num>
  <w:num w:numId="11">
    <w:abstractNumId w:val="24"/>
  </w:num>
  <w:num w:numId="12">
    <w:abstractNumId w:val="15"/>
  </w:num>
  <w:num w:numId="13">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74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754"/>
        <w:lvlJc w:val="left"/>
        <w:rPr>
          <w:rFonts w:ascii="Times New Roman" w:hAnsi="Times New Roman" w:cs="Times New Roman" w:hint="default"/>
        </w:rPr>
      </w:lvl>
    </w:lvlOverride>
  </w:num>
  <w:num w:numId="19">
    <w:abstractNumId w:val="27"/>
  </w:num>
  <w:num w:numId="20">
    <w:abstractNumId w:val="23"/>
  </w:num>
  <w:num w:numId="21">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2">
    <w:abstractNumId w:val="5"/>
  </w:num>
  <w:num w:numId="23">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5">
    <w:abstractNumId w:val="4"/>
  </w:num>
  <w:num w:numId="26">
    <w:abstractNumId w:val="29"/>
  </w:num>
  <w:num w:numId="27">
    <w:abstractNumId w:val="8"/>
  </w:num>
  <w:num w:numId="28">
    <w:abstractNumId w:val="14"/>
  </w:num>
  <w:num w:numId="29">
    <w:abstractNumId w:val="16"/>
  </w:num>
  <w:num w:numId="30">
    <w:abstractNumId w:val="20"/>
  </w:num>
  <w:num w:numId="31">
    <w:abstractNumId w:val="9"/>
  </w:num>
  <w:num w:numId="32">
    <w:abstractNumId w:val="11"/>
  </w:num>
  <w:num w:numId="33">
    <w:abstractNumId w:val="2"/>
  </w:num>
  <w:num w:numId="34">
    <w:abstractNumId w:val="12"/>
  </w:num>
  <w:num w:numId="35">
    <w:abstractNumId w:val="10"/>
  </w:num>
  <w:num w:numId="36">
    <w:abstractNumId w:val="7"/>
  </w:num>
  <w:num w:numId="37">
    <w:abstractNumId w:val="25"/>
  </w:num>
  <w:num w:numId="38">
    <w:abstractNumId w:val="1"/>
  </w:num>
  <w:num w:numId="39">
    <w:abstractNumId w:val="6"/>
  </w:num>
  <w:num w:numId="40">
    <w:abstractNumId w:val="19"/>
  </w:num>
  <w:num w:numId="41">
    <w:abstractNumId w:val="17"/>
  </w:num>
  <w:num w:numId="42">
    <w:abstractNumId w:val="13"/>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31FA6"/>
    <w:rsid w:val="00013FAE"/>
    <w:rsid w:val="00024555"/>
    <w:rsid w:val="00031A65"/>
    <w:rsid w:val="00055062"/>
    <w:rsid w:val="00082CF4"/>
    <w:rsid w:val="00087359"/>
    <w:rsid w:val="000C5259"/>
    <w:rsid w:val="000E45B1"/>
    <w:rsid w:val="00103797"/>
    <w:rsid w:val="00112000"/>
    <w:rsid w:val="00112AA2"/>
    <w:rsid w:val="001A0292"/>
    <w:rsid w:val="002176D9"/>
    <w:rsid w:val="00235DF3"/>
    <w:rsid w:val="00251335"/>
    <w:rsid w:val="002C6A26"/>
    <w:rsid w:val="002C6D55"/>
    <w:rsid w:val="002F173C"/>
    <w:rsid w:val="0032151E"/>
    <w:rsid w:val="00324C8B"/>
    <w:rsid w:val="00394BF8"/>
    <w:rsid w:val="003A2C49"/>
    <w:rsid w:val="003E0BE0"/>
    <w:rsid w:val="004152C2"/>
    <w:rsid w:val="004229A4"/>
    <w:rsid w:val="00470BE0"/>
    <w:rsid w:val="00492C0A"/>
    <w:rsid w:val="00501631"/>
    <w:rsid w:val="0051570D"/>
    <w:rsid w:val="005167AE"/>
    <w:rsid w:val="005748BE"/>
    <w:rsid w:val="00576C1D"/>
    <w:rsid w:val="005B6055"/>
    <w:rsid w:val="005E1F9C"/>
    <w:rsid w:val="006774A5"/>
    <w:rsid w:val="006A290F"/>
    <w:rsid w:val="00706475"/>
    <w:rsid w:val="007D4EF1"/>
    <w:rsid w:val="00806CB9"/>
    <w:rsid w:val="0085073E"/>
    <w:rsid w:val="008B10E6"/>
    <w:rsid w:val="008B33AB"/>
    <w:rsid w:val="008C24C0"/>
    <w:rsid w:val="008C65C4"/>
    <w:rsid w:val="009403E2"/>
    <w:rsid w:val="00942E95"/>
    <w:rsid w:val="00943A84"/>
    <w:rsid w:val="0096120E"/>
    <w:rsid w:val="00993FEE"/>
    <w:rsid w:val="009A3B5E"/>
    <w:rsid w:val="009B2CD9"/>
    <w:rsid w:val="009B2E82"/>
    <w:rsid w:val="009B42E0"/>
    <w:rsid w:val="00A552D9"/>
    <w:rsid w:val="00A8426C"/>
    <w:rsid w:val="00A93DAA"/>
    <w:rsid w:val="00B153D3"/>
    <w:rsid w:val="00B201EA"/>
    <w:rsid w:val="00B43B00"/>
    <w:rsid w:val="00B5658B"/>
    <w:rsid w:val="00C02CB4"/>
    <w:rsid w:val="00C0327C"/>
    <w:rsid w:val="00C061B4"/>
    <w:rsid w:val="00C244E3"/>
    <w:rsid w:val="00C42B8B"/>
    <w:rsid w:val="00C650DE"/>
    <w:rsid w:val="00C94CFC"/>
    <w:rsid w:val="00CD7D77"/>
    <w:rsid w:val="00D314B7"/>
    <w:rsid w:val="00D4618F"/>
    <w:rsid w:val="00D57817"/>
    <w:rsid w:val="00DB5FA7"/>
    <w:rsid w:val="00DD0936"/>
    <w:rsid w:val="00E227D3"/>
    <w:rsid w:val="00E24D45"/>
    <w:rsid w:val="00EB452D"/>
    <w:rsid w:val="00EC613D"/>
    <w:rsid w:val="00EF2354"/>
    <w:rsid w:val="00F31FA6"/>
    <w:rsid w:val="00F37F5D"/>
    <w:rsid w:val="00F91646"/>
    <w:rsid w:val="00FC1F9B"/>
    <w:rsid w:val="00FC3F35"/>
    <w:rsid w:val="00FD71C1"/>
  </w:rsids>
  <m:mathPr>
    <m:mathFont m:val="Cambria Math"/>
    <m:brkBin m:val="before"/>
    <m:brkBinSub m:val="--"/>
    <m:smallFrac/>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1C1"/>
  </w:style>
  <w:style w:type="paragraph" w:styleId="Heading2">
    <w:name w:val="heading 2"/>
    <w:basedOn w:val="Normal"/>
    <w:next w:val="Normal"/>
    <w:link w:val="Heading2Char"/>
    <w:uiPriority w:val="9"/>
    <w:semiHidden/>
    <w:unhideWhenUsed/>
    <w:qFormat/>
    <w:rsid w:val="00FC3F35"/>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lang w:eastAsia="hr-H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C3F35"/>
    <w:rPr>
      <w:rFonts w:asciiTheme="majorHAnsi" w:eastAsiaTheme="majorEastAsia" w:hAnsiTheme="majorHAnsi" w:cstheme="majorBidi"/>
      <w:b/>
      <w:bCs/>
      <w:color w:val="4F81BD" w:themeColor="accent1"/>
      <w:sz w:val="26"/>
      <w:szCs w:val="26"/>
      <w:lang w:eastAsia="hr-HR"/>
    </w:rPr>
  </w:style>
  <w:style w:type="numbering" w:customStyle="1" w:styleId="NoList1">
    <w:name w:val="No List1"/>
    <w:next w:val="NoList"/>
    <w:uiPriority w:val="99"/>
    <w:semiHidden/>
    <w:unhideWhenUsed/>
    <w:rsid w:val="00FC3F35"/>
  </w:style>
  <w:style w:type="paragraph" w:styleId="BalloonText">
    <w:name w:val="Balloon Text"/>
    <w:basedOn w:val="Normal"/>
    <w:link w:val="BalloonTextChar"/>
    <w:uiPriority w:val="99"/>
    <w:semiHidden/>
    <w:unhideWhenUsed/>
    <w:rsid w:val="00FC3F35"/>
    <w:pPr>
      <w:widowControl w:val="0"/>
      <w:autoSpaceDE w:val="0"/>
      <w:autoSpaceDN w:val="0"/>
      <w:adjustRightInd w:val="0"/>
      <w:spacing w:after="0" w:line="240" w:lineRule="auto"/>
    </w:pPr>
    <w:rPr>
      <w:rFonts w:ascii="Tahoma" w:eastAsia="Times New Roman" w:hAnsi="Tahoma" w:cs="Tahoma"/>
      <w:sz w:val="16"/>
      <w:szCs w:val="16"/>
      <w:lang w:eastAsia="hr-HR"/>
    </w:rPr>
  </w:style>
  <w:style w:type="character" w:customStyle="1" w:styleId="BalloonTextChar">
    <w:name w:val="Balloon Text Char"/>
    <w:basedOn w:val="DefaultParagraphFont"/>
    <w:link w:val="BalloonText"/>
    <w:uiPriority w:val="99"/>
    <w:semiHidden/>
    <w:rsid w:val="00FC3F35"/>
    <w:rPr>
      <w:rFonts w:ascii="Tahoma" w:eastAsia="Times New Roman" w:hAnsi="Tahoma" w:cs="Tahoma"/>
      <w:sz w:val="16"/>
      <w:szCs w:val="16"/>
      <w:lang w:eastAsia="hr-HR"/>
    </w:rPr>
  </w:style>
  <w:style w:type="character" w:customStyle="1" w:styleId="st">
    <w:name w:val="st"/>
    <w:basedOn w:val="DefaultParagraphFont"/>
    <w:rsid w:val="00FC3F35"/>
  </w:style>
  <w:style w:type="character" w:styleId="Emphasis">
    <w:name w:val="Emphasis"/>
    <w:basedOn w:val="DefaultParagraphFont"/>
    <w:uiPriority w:val="20"/>
    <w:qFormat/>
    <w:rsid w:val="00FC3F35"/>
    <w:rPr>
      <w:i/>
      <w:iCs/>
    </w:rPr>
  </w:style>
  <w:style w:type="paragraph" w:styleId="ListParagraph">
    <w:name w:val="List Paragraph"/>
    <w:basedOn w:val="Normal"/>
    <w:uiPriority w:val="34"/>
    <w:qFormat/>
    <w:rsid w:val="00FC3F35"/>
    <w:pPr>
      <w:widowControl w:val="0"/>
      <w:autoSpaceDE w:val="0"/>
      <w:autoSpaceDN w:val="0"/>
      <w:adjustRightInd w:val="0"/>
      <w:spacing w:after="0" w:line="240" w:lineRule="auto"/>
      <w:ind w:left="720"/>
      <w:contextualSpacing/>
    </w:pPr>
    <w:rPr>
      <w:rFonts w:ascii="Arial" w:eastAsia="Times New Roman" w:hAnsi="Arial" w:cs="Arial"/>
      <w:sz w:val="20"/>
      <w:szCs w:val="20"/>
      <w:lang w:eastAsia="hr-HR"/>
    </w:rPr>
  </w:style>
  <w:style w:type="table" w:styleId="TableGrid">
    <w:name w:val="Table Grid"/>
    <w:basedOn w:val="TableNormal"/>
    <w:uiPriority w:val="59"/>
    <w:rsid w:val="00FC3F35"/>
    <w:pPr>
      <w:spacing w:after="0" w:line="240" w:lineRule="auto"/>
    </w:pPr>
    <w:rPr>
      <w:rFonts w:ascii="Calibri" w:eastAsia="Times New Roman" w:hAnsi="Calibri" w:cs="Times New Roman"/>
      <w:sz w:val="20"/>
      <w:szCs w:val="20"/>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C3F35"/>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eastAsia="hr-HR"/>
    </w:rPr>
  </w:style>
  <w:style w:type="character" w:customStyle="1" w:styleId="HeaderChar">
    <w:name w:val="Header Char"/>
    <w:basedOn w:val="DefaultParagraphFont"/>
    <w:link w:val="Header"/>
    <w:uiPriority w:val="99"/>
    <w:rsid w:val="00FC3F35"/>
    <w:rPr>
      <w:rFonts w:ascii="Arial" w:eastAsia="Times New Roman" w:hAnsi="Arial" w:cs="Arial"/>
      <w:sz w:val="20"/>
      <w:szCs w:val="20"/>
      <w:lang w:eastAsia="hr-HR"/>
    </w:rPr>
  </w:style>
  <w:style w:type="paragraph" w:styleId="Footer">
    <w:name w:val="footer"/>
    <w:basedOn w:val="Normal"/>
    <w:link w:val="FooterChar"/>
    <w:uiPriority w:val="99"/>
    <w:unhideWhenUsed/>
    <w:rsid w:val="00FC3F35"/>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eastAsia="hr-HR"/>
    </w:rPr>
  </w:style>
  <w:style w:type="character" w:customStyle="1" w:styleId="FooterChar">
    <w:name w:val="Footer Char"/>
    <w:basedOn w:val="DefaultParagraphFont"/>
    <w:link w:val="Footer"/>
    <w:uiPriority w:val="99"/>
    <w:rsid w:val="00FC3F35"/>
    <w:rPr>
      <w:rFonts w:ascii="Arial" w:eastAsia="Times New Roman" w:hAnsi="Arial" w:cs="Arial"/>
      <w:sz w:val="20"/>
      <w:szCs w:val="20"/>
      <w:lang w:eastAsia="hr-HR"/>
    </w:rPr>
  </w:style>
  <w:style w:type="character" w:styleId="Hyperlink">
    <w:name w:val="Hyperlink"/>
    <w:basedOn w:val="DefaultParagraphFont"/>
    <w:uiPriority w:val="99"/>
    <w:unhideWhenUsed/>
    <w:rsid w:val="00FC3F35"/>
    <w:rPr>
      <w:color w:val="0000FF" w:themeColor="hyperlink"/>
      <w:u w:val="single"/>
    </w:rPr>
  </w:style>
  <w:style w:type="character" w:customStyle="1" w:styleId="hps">
    <w:name w:val="hps"/>
    <w:basedOn w:val="DefaultParagraphFont"/>
    <w:rsid w:val="00FC3F35"/>
  </w:style>
  <w:style w:type="character" w:customStyle="1" w:styleId="Heading7Char1">
    <w:name w:val="Heading 7 Char1"/>
    <w:uiPriority w:val="9"/>
    <w:locked/>
    <w:rsid w:val="00FC3F35"/>
    <w:rPr>
      <w:rFonts w:cs="Times New Roman"/>
      <w:sz w:val="24"/>
      <w:lang w:val="en-GB"/>
    </w:rPr>
  </w:style>
  <w:style w:type="paragraph" w:styleId="CommentText">
    <w:name w:val="annotation text"/>
    <w:basedOn w:val="Normal"/>
    <w:link w:val="CommentTextChar"/>
    <w:uiPriority w:val="99"/>
    <w:semiHidden/>
    <w:unhideWhenUsed/>
    <w:rsid w:val="00FC3F35"/>
    <w:pPr>
      <w:widowControl w:val="0"/>
      <w:autoSpaceDE w:val="0"/>
      <w:autoSpaceDN w:val="0"/>
      <w:adjustRightInd w:val="0"/>
      <w:spacing w:after="0" w:line="240" w:lineRule="auto"/>
    </w:pPr>
    <w:rPr>
      <w:rFonts w:ascii="Arial" w:eastAsia="Times New Roman" w:hAnsi="Arial" w:cs="Arial"/>
      <w:sz w:val="20"/>
      <w:szCs w:val="20"/>
      <w:lang w:eastAsia="hr-HR"/>
    </w:rPr>
  </w:style>
  <w:style w:type="character" w:customStyle="1" w:styleId="CommentTextChar">
    <w:name w:val="Comment Text Char"/>
    <w:basedOn w:val="DefaultParagraphFont"/>
    <w:link w:val="CommentText"/>
    <w:uiPriority w:val="99"/>
    <w:semiHidden/>
    <w:rsid w:val="00FC3F35"/>
    <w:rPr>
      <w:rFonts w:ascii="Arial" w:eastAsia="Times New Roman" w:hAnsi="Arial" w:cs="Arial"/>
      <w:sz w:val="20"/>
      <w:szCs w:val="20"/>
      <w:lang w:eastAsia="hr-HR"/>
    </w:rPr>
  </w:style>
  <w:style w:type="paragraph" w:styleId="CommentSubject">
    <w:name w:val="annotation subject"/>
    <w:basedOn w:val="CommentText"/>
    <w:next w:val="CommentText"/>
    <w:link w:val="CommentSubjectChar"/>
    <w:uiPriority w:val="99"/>
    <w:semiHidden/>
    <w:unhideWhenUsed/>
    <w:rsid w:val="00FC3F35"/>
    <w:pPr>
      <w:widowControl/>
      <w:autoSpaceDE/>
      <w:autoSpaceDN/>
      <w:adjustRightInd/>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C3F35"/>
    <w:rPr>
      <w:rFonts w:ascii="Arial" w:eastAsia="Times New Roman" w:hAnsi="Arial" w:cs="Arial"/>
      <w:b/>
      <w:bCs/>
      <w:sz w:val="20"/>
      <w:szCs w:val="20"/>
      <w:lang w:eastAsia="hr-HR"/>
    </w:rPr>
  </w:style>
  <w:style w:type="numbering" w:customStyle="1" w:styleId="NoList11">
    <w:name w:val="No List11"/>
    <w:next w:val="NoList"/>
    <w:uiPriority w:val="99"/>
    <w:semiHidden/>
    <w:unhideWhenUsed/>
    <w:rsid w:val="00FC3F35"/>
  </w:style>
  <w:style w:type="paragraph" w:styleId="NoSpacing">
    <w:name w:val="No Spacing"/>
    <w:uiPriority w:val="1"/>
    <w:qFormat/>
    <w:rsid w:val="00FC3F35"/>
    <w:pPr>
      <w:spacing w:after="0" w:line="240" w:lineRule="auto"/>
    </w:pPr>
    <w:rPr>
      <w:lang w:eastAsia="hr-HR"/>
    </w:rPr>
  </w:style>
  <w:style w:type="paragraph" w:customStyle="1" w:styleId="Normal6">
    <w:name w:val="Normal6"/>
    <w:basedOn w:val="Normal"/>
    <w:rsid w:val="00FC3F35"/>
    <w:pPr>
      <w:widowControl w:val="0"/>
      <w:spacing w:after="120" w:line="240" w:lineRule="auto"/>
    </w:pPr>
    <w:rPr>
      <w:rFonts w:ascii="Times New Roman" w:eastAsia="Times New Roman" w:hAnsi="Times New Roman" w:cs="Times New Roman"/>
      <w:snapToGrid w:val="0"/>
      <w:sz w:val="24"/>
      <w:szCs w:val="20"/>
      <w:lang w:eastAsia="en-GB"/>
    </w:rPr>
  </w:style>
  <w:style w:type="character" w:styleId="CommentReference">
    <w:name w:val="annotation reference"/>
    <w:basedOn w:val="DefaultParagraphFont"/>
    <w:uiPriority w:val="99"/>
    <w:semiHidden/>
    <w:unhideWhenUsed/>
    <w:rsid w:val="00FC3F35"/>
    <w:rPr>
      <w:sz w:val="16"/>
      <w:szCs w:val="16"/>
    </w:rPr>
  </w:style>
  <w:style w:type="numbering" w:customStyle="1" w:styleId="NoList111">
    <w:name w:val="No List111"/>
    <w:next w:val="NoList"/>
    <w:uiPriority w:val="99"/>
    <w:semiHidden/>
    <w:unhideWhenUsed/>
    <w:rsid w:val="00FC3F35"/>
  </w:style>
  <w:style w:type="paragraph" w:styleId="Revision">
    <w:name w:val="Revision"/>
    <w:hidden/>
    <w:uiPriority w:val="99"/>
    <w:semiHidden/>
    <w:rsid w:val="00FC3F35"/>
    <w:pPr>
      <w:spacing w:after="0" w:line="240" w:lineRule="auto"/>
    </w:pPr>
    <w:rPr>
      <w:rFonts w:ascii="Arial" w:eastAsia="Times New Roman" w:hAnsi="Arial" w:cs="Arial"/>
      <w:sz w:val="20"/>
      <w:szCs w:val="20"/>
      <w:lang w:eastAsia="hr-HR"/>
    </w:rPr>
  </w:style>
  <w:style w:type="numbering" w:customStyle="1" w:styleId="NoList2">
    <w:name w:val="No List2"/>
    <w:next w:val="NoList"/>
    <w:uiPriority w:val="99"/>
    <w:semiHidden/>
    <w:unhideWhenUsed/>
    <w:rsid w:val="00C244E3"/>
  </w:style>
  <w:style w:type="numbering" w:customStyle="1" w:styleId="NoList12">
    <w:name w:val="No List12"/>
    <w:next w:val="NoList"/>
    <w:uiPriority w:val="99"/>
    <w:semiHidden/>
    <w:unhideWhenUsed/>
    <w:rsid w:val="00C244E3"/>
  </w:style>
  <w:style w:type="numbering" w:customStyle="1" w:styleId="NoList112">
    <w:name w:val="No List112"/>
    <w:next w:val="NoList"/>
    <w:uiPriority w:val="99"/>
    <w:semiHidden/>
    <w:unhideWhenUsed/>
    <w:rsid w:val="00C244E3"/>
  </w:style>
  <w:style w:type="numbering" w:customStyle="1" w:styleId="NoList3">
    <w:name w:val="No List3"/>
    <w:next w:val="NoList"/>
    <w:uiPriority w:val="99"/>
    <w:semiHidden/>
    <w:unhideWhenUsed/>
    <w:rsid w:val="009B2E82"/>
  </w:style>
  <w:style w:type="numbering" w:customStyle="1" w:styleId="NoList13">
    <w:name w:val="No List13"/>
    <w:next w:val="NoList"/>
    <w:uiPriority w:val="99"/>
    <w:semiHidden/>
    <w:unhideWhenUsed/>
    <w:rsid w:val="009B2E82"/>
  </w:style>
  <w:style w:type="numbering" w:customStyle="1" w:styleId="NoList113">
    <w:name w:val="No List113"/>
    <w:next w:val="NoList"/>
    <w:uiPriority w:val="99"/>
    <w:semiHidden/>
    <w:unhideWhenUsed/>
    <w:rsid w:val="009B2E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C3F35"/>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C3F35"/>
    <w:rPr>
      <w:rFonts w:asciiTheme="majorHAnsi" w:eastAsiaTheme="majorEastAsia" w:hAnsiTheme="majorHAnsi" w:cstheme="majorBidi"/>
      <w:b/>
      <w:bCs/>
      <w:color w:val="4F81BD" w:themeColor="accent1"/>
      <w:sz w:val="26"/>
      <w:szCs w:val="26"/>
      <w:lang w:eastAsia="hr-HR"/>
    </w:rPr>
  </w:style>
  <w:style w:type="numbering" w:customStyle="1" w:styleId="NoList1">
    <w:name w:val="No List1"/>
    <w:next w:val="NoList"/>
    <w:uiPriority w:val="99"/>
    <w:semiHidden/>
    <w:unhideWhenUsed/>
    <w:rsid w:val="00FC3F35"/>
  </w:style>
  <w:style w:type="paragraph" w:styleId="BalloonText">
    <w:name w:val="Balloon Text"/>
    <w:basedOn w:val="Normal"/>
    <w:link w:val="BalloonTextChar"/>
    <w:uiPriority w:val="99"/>
    <w:semiHidden/>
    <w:unhideWhenUsed/>
    <w:rsid w:val="00FC3F35"/>
    <w:pPr>
      <w:widowControl w:val="0"/>
      <w:autoSpaceDE w:val="0"/>
      <w:autoSpaceDN w:val="0"/>
      <w:adjustRightInd w:val="0"/>
      <w:spacing w:after="0" w:line="240" w:lineRule="auto"/>
    </w:pPr>
    <w:rPr>
      <w:rFonts w:ascii="Tahoma" w:eastAsia="Times New Roman" w:hAnsi="Tahoma" w:cs="Tahoma"/>
      <w:sz w:val="16"/>
      <w:szCs w:val="16"/>
      <w:lang w:eastAsia="hr-HR"/>
    </w:rPr>
  </w:style>
  <w:style w:type="character" w:customStyle="1" w:styleId="BalloonTextChar">
    <w:name w:val="Balloon Text Char"/>
    <w:basedOn w:val="DefaultParagraphFont"/>
    <w:link w:val="BalloonText"/>
    <w:uiPriority w:val="99"/>
    <w:semiHidden/>
    <w:rsid w:val="00FC3F35"/>
    <w:rPr>
      <w:rFonts w:ascii="Tahoma" w:eastAsia="Times New Roman" w:hAnsi="Tahoma" w:cs="Tahoma"/>
      <w:sz w:val="16"/>
      <w:szCs w:val="16"/>
      <w:lang w:eastAsia="hr-HR"/>
    </w:rPr>
  </w:style>
  <w:style w:type="character" w:customStyle="1" w:styleId="st">
    <w:name w:val="st"/>
    <w:basedOn w:val="DefaultParagraphFont"/>
    <w:rsid w:val="00FC3F35"/>
  </w:style>
  <w:style w:type="character" w:styleId="Emphasis">
    <w:name w:val="Emphasis"/>
    <w:basedOn w:val="DefaultParagraphFont"/>
    <w:uiPriority w:val="20"/>
    <w:qFormat/>
    <w:rsid w:val="00FC3F35"/>
    <w:rPr>
      <w:i/>
      <w:iCs/>
    </w:rPr>
  </w:style>
  <w:style w:type="paragraph" w:styleId="ListParagraph">
    <w:name w:val="List Paragraph"/>
    <w:basedOn w:val="Normal"/>
    <w:uiPriority w:val="34"/>
    <w:qFormat/>
    <w:rsid w:val="00FC3F35"/>
    <w:pPr>
      <w:widowControl w:val="0"/>
      <w:autoSpaceDE w:val="0"/>
      <w:autoSpaceDN w:val="0"/>
      <w:adjustRightInd w:val="0"/>
      <w:spacing w:after="0" w:line="240" w:lineRule="auto"/>
      <w:ind w:left="720"/>
      <w:contextualSpacing/>
    </w:pPr>
    <w:rPr>
      <w:rFonts w:ascii="Arial" w:eastAsia="Times New Roman" w:hAnsi="Arial" w:cs="Arial"/>
      <w:sz w:val="20"/>
      <w:szCs w:val="20"/>
      <w:lang w:eastAsia="hr-HR"/>
    </w:rPr>
  </w:style>
  <w:style w:type="table" w:styleId="TableGrid">
    <w:name w:val="Table Grid"/>
    <w:basedOn w:val="TableNormal"/>
    <w:uiPriority w:val="39"/>
    <w:rsid w:val="00FC3F35"/>
    <w:pPr>
      <w:spacing w:after="0" w:line="240" w:lineRule="auto"/>
    </w:pPr>
    <w:rPr>
      <w:rFonts w:ascii="Calibri" w:eastAsia="Times New Roman" w:hAnsi="Calibri" w:cs="Times New Roman"/>
      <w:sz w:val="20"/>
      <w:szCs w:val="20"/>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C3F35"/>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eastAsia="hr-HR"/>
    </w:rPr>
  </w:style>
  <w:style w:type="character" w:customStyle="1" w:styleId="HeaderChar">
    <w:name w:val="Header Char"/>
    <w:basedOn w:val="DefaultParagraphFont"/>
    <w:link w:val="Header"/>
    <w:uiPriority w:val="99"/>
    <w:semiHidden/>
    <w:rsid w:val="00FC3F35"/>
    <w:rPr>
      <w:rFonts w:ascii="Arial" w:eastAsia="Times New Roman" w:hAnsi="Arial" w:cs="Arial"/>
      <w:sz w:val="20"/>
      <w:szCs w:val="20"/>
      <w:lang w:eastAsia="hr-HR"/>
    </w:rPr>
  </w:style>
  <w:style w:type="paragraph" w:styleId="Footer">
    <w:name w:val="footer"/>
    <w:basedOn w:val="Normal"/>
    <w:link w:val="FooterChar"/>
    <w:uiPriority w:val="99"/>
    <w:semiHidden/>
    <w:unhideWhenUsed/>
    <w:rsid w:val="00FC3F35"/>
    <w:pPr>
      <w:widowControl w:val="0"/>
      <w:tabs>
        <w:tab w:val="center" w:pos="4536"/>
        <w:tab w:val="right" w:pos="9072"/>
      </w:tabs>
      <w:autoSpaceDE w:val="0"/>
      <w:autoSpaceDN w:val="0"/>
      <w:adjustRightInd w:val="0"/>
      <w:spacing w:after="0" w:line="240" w:lineRule="auto"/>
    </w:pPr>
    <w:rPr>
      <w:rFonts w:ascii="Arial" w:eastAsia="Times New Roman" w:hAnsi="Arial" w:cs="Arial"/>
      <w:sz w:val="20"/>
      <w:szCs w:val="20"/>
      <w:lang w:eastAsia="hr-HR"/>
    </w:rPr>
  </w:style>
  <w:style w:type="character" w:customStyle="1" w:styleId="FooterChar">
    <w:name w:val="Footer Char"/>
    <w:basedOn w:val="DefaultParagraphFont"/>
    <w:link w:val="Footer"/>
    <w:uiPriority w:val="99"/>
    <w:semiHidden/>
    <w:rsid w:val="00FC3F35"/>
    <w:rPr>
      <w:rFonts w:ascii="Arial" w:eastAsia="Times New Roman" w:hAnsi="Arial" w:cs="Arial"/>
      <w:sz w:val="20"/>
      <w:szCs w:val="20"/>
      <w:lang w:eastAsia="hr-HR"/>
    </w:rPr>
  </w:style>
  <w:style w:type="character" w:styleId="Hyperlink">
    <w:name w:val="Hyperlink"/>
    <w:basedOn w:val="DefaultParagraphFont"/>
    <w:uiPriority w:val="99"/>
    <w:unhideWhenUsed/>
    <w:rsid w:val="00FC3F35"/>
    <w:rPr>
      <w:color w:val="0000FF" w:themeColor="hyperlink"/>
      <w:u w:val="single"/>
    </w:rPr>
  </w:style>
  <w:style w:type="character" w:customStyle="1" w:styleId="hps">
    <w:name w:val="hps"/>
    <w:basedOn w:val="DefaultParagraphFont"/>
    <w:rsid w:val="00FC3F35"/>
  </w:style>
  <w:style w:type="character" w:customStyle="1" w:styleId="Heading7Char1">
    <w:name w:val="Heading 7 Char1"/>
    <w:uiPriority w:val="9"/>
    <w:locked/>
    <w:rsid w:val="00FC3F35"/>
    <w:rPr>
      <w:rFonts w:cs="Times New Roman"/>
      <w:sz w:val="24"/>
      <w:lang w:val="en-GB"/>
    </w:rPr>
  </w:style>
  <w:style w:type="paragraph" w:styleId="CommentText">
    <w:name w:val="annotation text"/>
    <w:basedOn w:val="Normal"/>
    <w:link w:val="CommentTextChar"/>
    <w:uiPriority w:val="99"/>
    <w:semiHidden/>
    <w:unhideWhenUsed/>
    <w:rsid w:val="00FC3F35"/>
    <w:pPr>
      <w:widowControl w:val="0"/>
      <w:autoSpaceDE w:val="0"/>
      <w:autoSpaceDN w:val="0"/>
      <w:adjustRightInd w:val="0"/>
      <w:spacing w:after="0" w:line="240" w:lineRule="auto"/>
    </w:pPr>
    <w:rPr>
      <w:rFonts w:ascii="Arial" w:eastAsia="Times New Roman" w:hAnsi="Arial" w:cs="Arial"/>
      <w:sz w:val="20"/>
      <w:szCs w:val="20"/>
      <w:lang w:eastAsia="hr-HR"/>
    </w:rPr>
  </w:style>
  <w:style w:type="character" w:customStyle="1" w:styleId="CommentTextChar">
    <w:name w:val="Comment Text Char"/>
    <w:basedOn w:val="DefaultParagraphFont"/>
    <w:link w:val="CommentText"/>
    <w:uiPriority w:val="99"/>
    <w:semiHidden/>
    <w:rsid w:val="00FC3F35"/>
    <w:rPr>
      <w:rFonts w:ascii="Arial" w:eastAsia="Times New Roman" w:hAnsi="Arial" w:cs="Arial"/>
      <w:sz w:val="20"/>
      <w:szCs w:val="20"/>
      <w:lang w:eastAsia="hr-HR"/>
    </w:rPr>
  </w:style>
  <w:style w:type="paragraph" w:styleId="CommentSubject">
    <w:name w:val="annotation subject"/>
    <w:basedOn w:val="CommentText"/>
    <w:next w:val="CommentText"/>
    <w:link w:val="CommentSubjectChar"/>
    <w:uiPriority w:val="99"/>
    <w:semiHidden/>
    <w:unhideWhenUsed/>
    <w:rsid w:val="00FC3F35"/>
    <w:pPr>
      <w:widowControl/>
      <w:autoSpaceDE/>
      <w:autoSpaceDN/>
      <w:adjustRightInd/>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C3F35"/>
    <w:rPr>
      <w:rFonts w:ascii="Arial" w:eastAsia="Times New Roman" w:hAnsi="Arial" w:cs="Arial"/>
      <w:b/>
      <w:bCs/>
      <w:sz w:val="20"/>
      <w:szCs w:val="20"/>
      <w:lang w:eastAsia="hr-HR"/>
    </w:rPr>
  </w:style>
  <w:style w:type="numbering" w:customStyle="1" w:styleId="NoList11">
    <w:name w:val="No List11"/>
    <w:next w:val="NoList"/>
    <w:uiPriority w:val="99"/>
    <w:semiHidden/>
    <w:unhideWhenUsed/>
    <w:rsid w:val="00FC3F35"/>
  </w:style>
  <w:style w:type="paragraph" w:styleId="NoSpacing">
    <w:name w:val="No Spacing"/>
    <w:uiPriority w:val="1"/>
    <w:qFormat/>
    <w:rsid w:val="00FC3F35"/>
    <w:pPr>
      <w:spacing w:after="0" w:line="240" w:lineRule="auto"/>
    </w:pPr>
    <w:rPr>
      <w:lang w:eastAsia="hr-HR"/>
    </w:rPr>
  </w:style>
  <w:style w:type="paragraph" w:customStyle="1" w:styleId="Normal6">
    <w:name w:val="Normal6"/>
    <w:basedOn w:val="Normal"/>
    <w:rsid w:val="00FC3F35"/>
    <w:pPr>
      <w:widowControl w:val="0"/>
      <w:spacing w:after="120" w:line="240" w:lineRule="auto"/>
    </w:pPr>
    <w:rPr>
      <w:rFonts w:ascii="Times New Roman" w:eastAsia="Times New Roman" w:hAnsi="Times New Roman" w:cs="Times New Roman"/>
      <w:snapToGrid w:val="0"/>
      <w:sz w:val="24"/>
      <w:szCs w:val="20"/>
      <w:lang w:eastAsia="en-GB"/>
    </w:rPr>
  </w:style>
  <w:style w:type="character" w:styleId="CommentReference">
    <w:name w:val="annotation reference"/>
    <w:basedOn w:val="DefaultParagraphFont"/>
    <w:uiPriority w:val="99"/>
    <w:semiHidden/>
    <w:unhideWhenUsed/>
    <w:rsid w:val="00FC3F35"/>
    <w:rPr>
      <w:sz w:val="16"/>
      <w:szCs w:val="16"/>
    </w:rPr>
  </w:style>
  <w:style w:type="numbering" w:customStyle="1" w:styleId="NoList111">
    <w:name w:val="No List111"/>
    <w:next w:val="NoList"/>
    <w:uiPriority w:val="99"/>
    <w:semiHidden/>
    <w:unhideWhenUsed/>
    <w:rsid w:val="00FC3F35"/>
  </w:style>
  <w:style w:type="paragraph" w:styleId="Revision">
    <w:name w:val="Revision"/>
    <w:hidden/>
    <w:uiPriority w:val="99"/>
    <w:semiHidden/>
    <w:rsid w:val="00FC3F35"/>
    <w:pPr>
      <w:spacing w:after="0" w:line="240" w:lineRule="auto"/>
    </w:pPr>
    <w:rPr>
      <w:rFonts w:ascii="Arial" w:eastAsia="Times New Roman" w:hAnsi="Arial" w:cs="Arial"/>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propisi.hr/print.php?id=8207" TargetMode="External"/><Relationship Id="rId3" Type="http://schemas.openxmlformats.org/officeDocument/2006/relationships/styles" Target="styles.xml"/><Relationship Id="rId21" Type="http://schemas.openxmlformats.org/officeDocument/2006/relationships/hyperlink" Target="http://www.strukturnifondovi.h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javnanabava.hr"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google.hr/url?sa=t&amp;rct=j&amp;q=&amp;esrc=s&amp;source=web&amp;cd=1&amp;ved=0CBkQFjAA&amp;url=http%3A%2F%2Fwww.mspm.hr%2Fcontent%2Fdownload%2F9577%2F73417%2Fversion%2F1%2Ffile%2FNacionalni%2Bprogram%2Bza%25C5%25A1tite%2Bi%2Bpromicanja%2Bljudskih%2Bprava%2B2013.-2016..pdf&amp;ei=KErvU_GiOeXOygPs3YCYCQ&amp;usg=AFQjCNEYtG0jZtGZjAaLoknKWajtJgvdRQ&amp;sig2=OwtwrsNABU0pPWvChAG_og&amp;bvm=bv.73231344,d.bGQ"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google.hr/url?sa=t&amp;rct=j&amp;q=&amp;esrc=s&amp;source=web&amp;cd=1&amp;ved=0CBkQFjAA&amp;url=http%3A%2F%2Fwww.mspm.hr%2Fcontent%2Fdownload%2F9577%2F73417%2Fversion%2F1%2Ffile%2FNacionalni%2Bprogram%2Bza%25C5%25A1tite%2Bi%2Bpromicanja%2Bljudskih%2Bprava%2B2013.-2016..pdf&amp;ei=KErvU_GiOeXOygPs3YCYCQ&amp;usg=AFQjCNEYtG0jZtGZjAaLoknKWajtJgvdRQ&amp;sig2=OwtwrsNABU0pPWvChAG_og&amp;bvm=bv.73231344,d.bGQ"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narodne-novine.nn.hr/clanci/sluzbeni/201%203_06_78_1616.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B3DD5-9E4B-43FB-9C97-1F746342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Pages>
  <Words>138685</Words>
  <Characters>790505</Characters>
  <Application>Microsoft Office Word</Application>
  <DocSecurity>0</DocSecurity>
  <Lines>6587</Lines>
  <Paragraphs>1854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Manuela Turković</dc:creator>
  <cp:lastModifiedBy>Manuela Turković</cp:lastModifiedBy>
  <cp:revision>26</cp:revision>
  <dcterms:created xsi:type="dcterms:W3CDTF">2014-10-21T10:25:00Z</dcterms:created>
  <dcterms:modified xsi:type="dcterms:W3CDTF">2014-11-03T11:27:00Z</dcterms:modified>
</cp:coreProperties>
</file>